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d77971e10vk.htm"/>
        <w:bookmarkStart w:id="1" w:name="ksd77971e10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10-K</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2"/>
        <w:gridCol w:w="510"/>
        <w:gridCol w:w="8983"/>
      </w:tblGrid>
      <w:tr>
        <w:trPr/>
        <w:tc>
          <w:tcPr>
            <w:tcW w:w="712" w:type="dxa"/>
            <w:tcBorders/>
            <w:shd w:fill="auto" w:val="clear"/>
            <w:vAlign w:val="center"/>
          </w:tcPr>
          <w:p>
            <w:pPr>
              <w:pStyle w:val="TableContents"/>
              <w:spacing w:before="0" w:after="283"/>
              <w:rPr/>
            </w:pPr>
            <w:r>
              <w:rPr/>
              <w:t> </w:t>
            </w:r>
          </w:p>
        </w:tc>
        <w:tc>
          <w:tcPr>
            <w:tcW w:w="510"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2" w:type="dxa"/>
            <w:tcBorders/>
            <w:shd w:fill="auto" w:val="clear"/>
          </w:tcPr>
          <w:p>
            <w:pPr>
              <w:pStyle w:val="TableContents"/>
              <w:spacing w:before="0" w:after="283"/>
              <w:jc w:val="center"/>
              <w:rPr/>
            </w:pPr>
            <w:r>
              <w:rPr/>
              <w:t xml:space="preserve">☑ </w:t>
            </w:r>
          </w:p>
        </w:tc>
        <w:tc>
          <w:tcPr>
            <w:tcW w:w="51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ANNUAL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For the Fiscal Year Ended September 30, 2010</w:t>
      </w:r>
    </w:p>
    <w:p>
      <w:pPr>
        <w:pStyle w:val="TextBody"/>
        <w:spacing w:before="12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pPr>
            <w:r>
              <w:rPr>
                <w:rFonts w:ascii="Wingdings" w:hAnsi="Wingdings"/>
              </w:rPr>
              <w:t>o</w:t>
            </w:r>
            <w:r>
              <w:rPr/>
              <w:t xml:space="preserve"> </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For the transition period from ___________ to ___________</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Commission File No. 000-19424</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 </w:t>
            </w:r>
          </w:p>
        </w:tc>
      </w:tr>
      <w:tr>
        <w:trPr/>
        <w:tc>
          <w:tcPr>
            <w:tcW w:w="4948"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74-2540145</w:t>
            </w:r>
          </w:p>
        </w:tc>
      </w:tr>
      <w:tr>
        <w:trPr/>
        <w:tc>
          <w:tcPr>
            <w:tcW w:w="4948" w:type="dxa"/>
            <w:tcBorders/>
            <w:shd w:fill="auto" w:val="clear"/>
          </w:tcPr>
          <w:p>
            <w:pPr>
              <w:pStyle w:val="TableContents"/>
              <w:spacing w:before="0" w:after="283"/>
              <w:jc w:val="center"/>
              <w:rPr/>
            </w:pPr>
            <w:r>
              <w:rPr/>
              <w:t xml:space="preserve">(State or other jurisdiction of incorporation or organization)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(I.R.S. Employer Identification No.)</w:t>
            </w:r>
          </w:p>
        </w:tc>
      </w:tr>
      <w:tr>
        <w:trPr/>
        <w:tc>
          <w:tcPr>
            <w:tcW w:w="4948"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 </w:t>
            </w:r>
          </w:p>
        </w:tc>
      </w:tr>
      <w:tr>
        <w:trPr/>
        <w:tc>
          <w:tcPr>
            <w:tcW w:w="4948" w:type="dxa"/>
            <w:tcBorders/>
            <w:shd w:fill="auto" w:val="clear"/>
          </w:tcPr>
          <w:p>
            <w:pPr>
              <w:pStyle w:val="TableContents"/>
              <w:spacing w:before="0" w:after="283"/>
              <w:jc w:val="center"/>
              <w:rPr/>
            </w:pPr>
            <w:r>
              <w:rPr>
                <w:b/>
              </w:rPr>
              <w:t xml:space="preserve">1901 Capital Parkway </w:t>
              <w:br/>
              <w:t>Austin, Texas</w:t>
            </w:r>
            <w:r>
              <w:rPr/>
              <w:t xml:space="preserve">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b/>
              </w:rPr>
            </w:pPr>
            <w:r>
              <w:rPr>
                <w:b/>
              </w:rPr>
              <w:t>78746</w:t>
            </w:r>
          </w:p>
        </w:tc>
      </w:tr>
      <w:tr>
        <w:trPr/>
        <w:tc>
          <w:tcPr>
            <w:tcW w:w="4948" w:type="dxa"/>
            <w:tcBorders/>
            <w:shd w:fill="auto" w:val="clear"/>
          </w:tcPr>
          <w:p>
            <w:pPr>
              <w:pStyle w:val="TableContents"/>
              <w:spacing w:before="0" w:after="283"/>
              <w:jc w:val="center"/>
              <w:rPr/>
            </w:pPr>
            <w:r>
              <w:rPr/>
              <w:t xml:space="preserve">(Address of principal executive offices)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w:t>
        <w:br/>
        <w:t>(</w:t>
      </w:r>
      <w:r>
        <w:rPr>
          <w:rFonts w:ascii="Times New Roman;Times;serif" w:hAnsi="Times New Roman;Times;serif"/>
          <w:b/>
          <w:sz w:val="17"/>
        </w:rPr>
        <w:t>512) 314-3400</w:t>
      </w:r>
    </w:p>
    <w:p>
      <w:pPr>
        <w:pStyle w:val="TextBody"/>
        <w:spacing w:before="240" w:after="283"/>
        <w:jc w:val="center"/>
        <w:rPr>
          <w:rFonts w:ascii="Times New Roman;Times;serif" w:hAnsi="Times New Roman;Times;serif"/>
          <w:sz w:val="17"/>
        </w:rPr>
      </w:pPr>
      <w:r>
        <w:rPr>
          <w:rFonts w:ascii="Times New Roman;Times;serif" w:hAnsi="Times New Roman;Times;serif"/>
          <w:sz w:val="17"/>
        </w:rPr>
        <w:t>Securities Registered Pursuant to Section 12(b) of the Act:</w:t>
      </w:r>
    </w:p>
    <w:tbl>
      <w:tblPr>
        <w:tblW w:w="5000" w:type="pct"/>
        <w:jc w:val="center"/>
        <w:tblInd w:w="0" w:type="dxa"/>
        <w:tblCellMar>
          <w:top w:w="0" w:type="dxa"/>
          <w:left w:w="0" w:type="dxa"/>
          <w:bottom w:w="0" w:type="dxa"/>
          <w:right w:w="0" w:type="dxa"/>
        </w:tblCellMar>
      </w:tblPr>
      <w:tblGrid>
        <w:gridCol w:w="99"/>
        <w:gridCol w:w="5148"/>
        <w:gridCol w:w="188"/>
        <w:gridCol w:w="188"/>
        <w:gridCol w:w="4477"/>
        <w:gridCol w:w="105"/>
      </w:tblGrid>
      <w:tr>
        <w:trPr/>
        <w:tc>
          <w:tcPr>
            <w:tcW w:w="99" w:type="dxa"/>
            <w:tcBorders/>
            <w:shd w:fill="auto" w:val="clear"/>
            <w:vAlign w:val="bottom"/>
          </w:tcPr>
          <w:p>
            <w:pPr>
              <w:pStyle w:val="TableContents"/>
              <w:spacing w:before="0" w:after="283"/>
              <w:rPr/>
            </w:pPr>
            <w:r>
              <w:rPr/>
              <w:t> </w:t>
            </w:r>
          </w:p>
        </w:tc>
        <w:tc>
          <w:tcPr>
            <w:tcW w:w="5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477"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10205" w:type="dxa"/>
            <w:gridSpan w:val="6"/>
            <w:tcBorders>
              <w:bottom w:val="double" w:sz="2" w:space="0" w:color="000000"/>
            </w:tcBorders>
            <w:shd w:fill="auto" w:val="clear"/>
            <w:tcMar>
              <w:bottom w:w="28" w:type="dxa"/>
            </w:tcMar>
            <w:vAlign w:val="bottom"/>
          </w:tcPr>
          <w:p>
            <w:pPr>
              <w:pStyle w:val="TableContents"/>
              <w:spacing w:before="0" w:after="283"/>
              <w:jc w:val="left"/>
              <w:rPr/>
            </w:pPr>
            <w:r>
              <w:rPr/>
              <w:t> </w:t>
            </w:r>
          </w:p>
        </w:tc>
      </w:tr>
      <w:tr>
        <w:trPr/>
        <w:tc>
          <w:tcPr>
            <w:tcW w:w="99" w:type="dxa"/>
            <w:tcBorders/>
            <w:shd w:fill="auto" w:val="clear"/>
            <w:vAlign w:val="bottom"/>
          </w:tcPr>
          <w:p>
            <w:pPr>
              <w:pStyle w:val="TableContents"/>
              <w:spacing w:before="0" w:after="283"/>
              <w:rPr/>
            </w:pPr>
            <w:r>
              <w:rPr/>
              <w:t> </w:t>
            </w:r>
          </w:p>
        </w:tc>
        <w:tc>
          <w:tcPr>
            <w:tcW w:w="5148" w:type="dxa"/>
            <w:tcBorders/>
            <w:shd w:fill="auto" w:val="clear"/>
            <w:vAlign w:val="bottom"/>
          </w:tcPr>
          <w:p>
            <w:pPr>
              <w:pStyle w:val="TableContents"/>
              <w:spacing w:before="0" w:after="283"/>
              <w:jc w:val="center"/>
              <w:rPr/>
            </w:pPr>
            <w:r>
              <w:rPr/>
              <w:t>Title of Each Class</w:t>
            </w:r>
          </w:p>
        </w:tc>
        <w:tc>
          <w:tcPr>
            <w:tcW w:w="188" w:type="dxa"/>
            <w:tcBorders>
              <w:right w:val="single" w:sz="2" w:space="0" w:color="000000"/>
            </w:tcBorders>
            <w:shd w:fill="auto" w:val="clear"/>
            <w:tcMar>
              <w:right w:w="28" w:type="dxa"/>
            </w:tcM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477" w:type="dxa"/>
            <w:tcBorders/>
            <w:shd w:fill="auto" w:val="clear"/>
            <w:vAlign w:val="bottom"/>
          </w:tcPr>
          <w:p>
            <w:pPr>
              <w:pStyle w:val="TableContents"/>
              <w:spacing w:before="0" w:after="283"/>
              <w:jc w:val="center"/>
              <w:rPr/>
            </w:pPr>
            <w:r>
              <w:rPr/>
              <w:t>Name of Each Exchange on Which Registered</w:t>
            </w:r>
          </w:p>
        </w:tc>
        <w:tc>
          <w:tcPr>
            <w:tcW w:w="105" w:type="dxa"/>
            <w:tcBorders/>
            <w:shd w:fill="auto" w:val="clear"/>
            <w:vAlign w:val="bottom"/>
          </w:tcPr>
          <w:p>
            <w:pPr>
              <w:pStyle w:val="TableContents"/>
              <w:spacing w:before="0" w:after="283"/>
              <w:rPr/>
            </w:pPr>
            <w:r>
              <w:rPr/>
              <w:t> </w:t>
            </w:r>
          </w:p>
        </w:tc>
      </w:tr>
      <w:tr>
        <w:trPr/>
        <w:tc>
          <w:tcPr>
            <w:tcW w:w="99" w:type="dxa"/>
            <w:tcBorders>
              <w:top w:val="single" w:sz="2" w:space="0" w:color="000000"/>
            </w:tcBorders>
            <w:shd w:fill="auto" w:val="clear"/>
            <w:tcMar>
              <w:top w:w="28" w:type="dxa"/>
            </w:tcMar>
            <w:vAlign w:val="bottom"/>
          </w:tcPr>
          <w:p>
            <w:pPr>
              <w:pStyle w:val="TableContents"/>
              <w:spacing w:before="0" w:after="283"/>
              <w:rPr/>
            </w:pPr>
            <w:r>
              <w:rPr/>
              <w:t> </w:t>
            </w:r>
          </w:p>
        </w:tc>
        <w:tc>
          <w:tcPr>
            <w:tcW w:w="5148" w:type="dxa"/>
            <w:tcBorders>
              <w:top w:val="single" w:sz="2" w:space="0" w:color="000000"/>
            </w:tcBorders>
            <w:shd w:fill="auto" w:val="clear"/>
            <w:tcMar>
              <w:top w:w="28" w:type="dxa"/>
            </w:tcMar>
            <w:vAlign w:val="bottom"/>
          </w:tcPr>
          <w:p>
            <w:pPr>
              <w:pStyle w:val="TableContents"/>
              <w:spacing w:before="0" w:after="0"/>
              <w:ind w:left="225" w:right="0" w:hanging="225"/>
              <w:rPr>
                <w:b/>
              </w:rPr>
            </w:pPr>
            <w:r>
              <w:rPr>
                <w:b/>
              </w:rPr>
              <w:t>Class A Non-voting Common Stock, $.01 par value per share</w:t>
            </w:r>
          </w:p>
        </w:tc>
        <w:tc>
          <w:tcPr>
            <w:tcW w:w="18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188" w:type="dxa"/>
            <w:tcBorders>
              <w:top w:val="single" w:sz="2" w:space="0" w:color="000000"/>
            </w:tcBorders>
            <w:shd w:fill="auto" w:val="clear"/>
            <w:tcMar>
              <w:top w:w="28" w:type="dxa"/>
            </w:tcMar>
            <w:vAlign w:val="bottom"/>
          </w:tcPr>
          <w:p>
            <w:pPr>
              <w:pStyle w:val="TableContents"/>
              <w:spacing w:before="0" w:after="283"/>
              <w:rPr/>
            </w:pPr>
            <w:r>
              <w:rPr/>
              <w:t> </w:t>
            </w:r>
          </w:p>
        </w:tc>
        <w:tc>
          <w:tcPr>
            <w:tcW w:w="4477" w:type="dxa"/>
            <w:tcBorders>
              <w:top w:val="single" w:sz="2" w:space="0" w:color="000000"/>
            </w:tcBorders>
            <w:shd w:fill="auto" w:val="clear"/>
            <w:tcMar>
              <w:top w:w="28" w:type="dxa"/>
            </w:tcMar>
          </w:tcPr>
          <w:p>
            <w:pPr>
              <w:pStyle w:val="TableContents"/>
              <w:spacing w:before="0" w:after="283"/>
              <w:jc w:val="center"/>
              <w:rPr>
                <w:b/>
              </w:rPr>
            </w:pPr>
            <w:r>
              <w:rPr>
                <w:b/>
              </w:rPr>
              <w:t>The NASDAQ Stock Market</w:t>
            </w:r>
          </w:p>
        </w:tc>
        <w:tc>
          <w:tcPr>
            <w:tcW w:w="10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99" w:type="dxa"/>
            <w:tcBorders>
              <w:top w:val="single" w:sz="2" w:space="0" w:color="000000"/>
            </w:tcBorders>
            <w:shd w:fill="auto" w:val="clear"/>
            <w:tcMar>
              <w:top w:w="28" w:type="dxa"/>
            </w:tcMar>
            <w:vAlign w:val="bottom"/>
          </w:tcPr>
          <w:p>
            <w:pPr>
              <w:pStyle w:val="TableContents"/>
              <w:spacing w:before="0" w:after="283"/>
              <w:rPr/>
            </w:pPr>
            <w:r>
              <w:rPr/>
              <w:t> </w:t>
            </w:r>
          </w:p>
        </w:tc>
        <w:tc>
          <w:tcPr>
            <w:tcW w:w="5148" w:type="dxa"/>
            <w:tcBorders>
              <w:top w:val="single" w:sz="2" w:space="0" w:color="000000"/>
            </w:tcBorders>
            <w:shd w:fill="auto" w:val="clear"/>
            <w:tcMar>
              <w:top w:w="28" w:type="dxa"/>
            </w:tcMar>
            <w:vAlign w:val="bottom"/>
          </w:tcPr>
          <w:p>
            <w:pPr>
              <w:pStyle w:val="TableContents"/>
              <w:spacing w:before="0" w:after="0"/>
              <w:ind w:left="225" w:right="0" w:hanging="225"/>
              <w:rPr/>
            </w:pPr>
            <w:r>
              <w:rPr/>
              <w:t> </w:t>
            </w:r>
          </w:p>
        </w:tc>
        <w:tc>
          <w:tcPr>
            <w:tcW w:w="18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188" w:type="dxa"/>
            <w:tcBorders>
              <w:top w:val="single" w:sz="2" w:space="0" w:color="000000"/>
            </w:tcBorders>
            <w:shd w:fill="auto" w:val="clear"/>
            <w:tcMar>
              <w:top w:w="28" w:type="dxa"/>
            </w:tcMar>
            <w:vAlign w:val="bottom"/>
          </w:tcPr>
          <w:p>
            <w:pPr>
              <w:pStyle w:val="TableContents"/>
              <w:spacing w:before="0" w:after="283"/>
              <w:rPr/>
            </w:pPr>
            <w:r>
              <w:rPr/>
              <w:t> </w:t>
            </w:r>
          </w:p>
        </w:tc>
        <w:tc>
          <w:tcPr>
            <w:tcW w:w="4477" w:type="dxa"/>
            <w:tcBorders>
              <w:top w:val="single" w:sz="2" w:space="0" w:color="000000"/>
            </w:tcBorders>
            <w:shd w:fill="auto" w:val="clear"/>
            <w:tcMar>
              <w:top w:w="28" w:type="dxa"/>
            </w:tcMar>
          </w:tcPr>
          <w:p>
            <w:pPr>
              <w:pStyle w:val="TableContents"/>
              <w:spacing w:before="0" w:after="283"/>
              <w:jc w:val="center"/>
              <w:rPr>
                <w:b/>
              </w:rPr>
            </w:pPr>
            <w:r>
              <w:rPr>
                <w:b/>
              </w:rPr>
              <w:t>(NASDAQ Global Select Market)</w:t>
            </w:r>
          </w:p>
        </w:tc>
        <w:tc>
          <w:tcPr>
            <w:tcW w:w="10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0205" w:type="dxa"/>
            <w:gridSpan w:val="6"/>
            <w:tcBorders>
              <w:top w:val="double" w:sz="2" w:space="0" w:color="000000"/>
            </w:tcBorders>
            <w:shd w:fill="auto" w:val="clear"/>
            <w:tcMar>
              <w:top w:w="28" w:type="dxa"/>
            </w:tcMar>
            <w:vAlign w:val="bottom"/>
          </w:tcPr>
          <w:p>
            <w:pPr>
              <w:pStyle w:val="TableContents"/>
              <w:spacing w:before="0" w:after="283"/>
              <w:jc w:val="left"/>
              <w:rPr/>
            </w:pPr>
            <w:r>
              <w:rPr/>
              <w:t> </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Securities Registered Pursuant to Section 12(g) of the Act: </w:t>
      </w:r>
      <w:r>
        <w:rPr>
          <w:rFonts w:ascii="Times New Roman;Times;serif" w:hAnsi="Times New Roman;Times;serif"/>
          <w:b/>
          <w:sz w:val="17"/>
        </w:rPr>
        <w:t>None</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if the registrant is a well-known seasoned issuer, as defined in Rule 405 of the Securities Act.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if the registrant is not required to file reports pursuant to Section 13 or Section 15(d) of the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Wingdings" w:hAnsi="Wingdings"/>
          <w:sz w:val="17"/>
        </w:rPr>
        <w:t>o</w:t>
      </w:r>
      <w:r>
        <w:rPr>
          <w:rFonts w:ascii="Times New Roman;Times;serif" w:hAnsi="Times New Roman;Times;serif"/>
          <w:sz w:val="17"/>
        </w:rPr>
        <w:t xml:space="preserve">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if disclosures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2315"/>
        <w:gridCol w:w="314"/>
        <w:gridCol w:w="2316"/>
        <w:gridCol w:w="314"/>
        <w:gridCol w:w="2316"/>
        <w:gridCol w:w="314"/>
        <w:gridCol w:w="2316"/>
      </w:tblGrid>
      <w:tr>
        <w:trPr/>
        <w:tc>
          <w:tcPr>
            <w:tcW w:w="231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vAlign w:val="bottom"/>
          </w:tcPr>
          <w:p>
            <w:pPr>
              <w:pStyle w:val="TableContents"/>
              <w:spacing w:before="0" w:after="283"/>
              <w:rPr/>
            </w:pPr>
            <w:r>
              <w:rPr/>
              <w:t> </w:t>
            </w:r>
          </w:p>
        </w:tc>
      </w:tr>
      <w:tr>
        <w:trPr/>
        <w:tc>
          <w:tcPr>
            <w:tcW w:w="2315" w:type="dxa"/>
            <w:tcBorders/>
            <w:shd w:fill="auto" w:val="clear"/>
          </w:tcPr>
          <w:p>
            <w:pPr>
              <w:pStyle w:val="TableContents"/>
              <w:spacing w:before="0" w:after="283"/>
              <w:jc w:val="center"/>
              <w:rPr/>
            </w:pPr>
            <w:r>
              <w:rPr/>
              <w:t xml:space="preserve">Large accelerated filer ☑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xml:space="preserve">Accelerated filer </w:t>
            </w:r>
            <w:r>
              <w:rPr>
                <w:rFonts w:ascii="Wingdings" w:hAnsi="Wingdings"/>
              </w:rPr>
              <w:t>o</w:t>
            </w: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xml:space="preserve">Non-accelerated filer </w:t>
            </w:r>
            <w:r>
              <w:rPr>
                <w:rFonts w:ascii="Wingdings" w:hAnsi="Wingdings"/>
              </w:rPr>
              <w:t>o</w:t>
            </w: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xml:space="preserve">Smaller reporting company </w:t>
            </w:r>
            <w:r>
              <w:rPr>
                <w:rFonts w:ascii="Wingdings" w:hAnsi="Wingdings"/>
              </w:rPr>
              <w:t>o</w:t>
            </w:r>
          </w:p>
        </w:tc>
      </w:tr>
      <w:tr>
        <w:trPr/>
        <w:tc>
          <w:tcPr>
            <w:tcW w:w="2315" w:type="dxa"/>
            <w:tcBorders/>
            <w:shd w:fill="auto" w:val="clear"/>
          </w:tcPr>
          <w:p>
            <w:pPr>
              <w:pStyle w:val="TableContents"/>
              <w:spacing w:before="0" w:after="283"/>
              <w:jc w:val="center"/>
              <w:rPr/>
            </w:pP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(Do not check if a smaller reporting company)</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$921 million, based on the closing price on the NASDAQ Stock Market on March 31,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October 31, 2010, 46,834,903 shares of the registrants Class A Non-voting Common Stock, par value $.01 per share and 2,970,171 shares of the registrants Class B Voting Common Stock, par value $.01 per share were outstanding.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Documents incorporated by reference: None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EZCORP, INC.</w:t>
        <w:br/>
        <w:t>YEAR ENDED SEPTEMBER 30, 2010</w:t>
        <w:br/>
        <w:t>INDEX TO FORM 10-K</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08"/>
        <w:gridCol w:w="505"/>
        <w:gridCol w:w="708"/>
        <w:gridCol w:w="60"/>
        <w:gridCol w:w="24"/>
      </w:tblGrid>
      <w:tr>
        <w:trPr/>
        <w:tc>
          <w:tcPr>
            <w:tcW w:w="8908"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283"/>
              <w:jc w:val="left"/>
              <w:rPr/>
            </w:pPr>
            <w:r>
              <w:rPr/>
              <w:t>Item</w:t>
            </w:r>
          </w:p>
        </w:tc>
        <w:tc>
          <w:tcPr>
            <w:tcW w:w="505"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center"/>
              <w:rPr/>
            </w:pPr>
            <w:r>
              <w:rPr/>
              <w:t>Page</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bottom w:val="single" w:sz="2" w:space="0" w:color="000000"/>
            </w:tcBorders>
            <w:shd w:fill="auto" w:val="clear"/>
            <w:tcMar>
              <w:bottom w:w="28" w:type="dxa"/>
            </w:tcMar>
            <w:vAlign w:val="bottom"/>
          </w:tcPr>
          <w:p>
            <w:pPr>
              <w:pStyle w:val="TableContents"/>
              <w:spacing w:before="0" w:after="283"/>
              <w:jc w:val="left"/>
              <w:rPr>
                <w:u w:val="single"/>
              </w:rPr>
            </w:pPr>
            <w:r>
              <w:rPr>
                <w:u w:val="single"/>
              </w:rPr>
              <w:t>No.     </w:t>
            </w:r>
          </w:p>
        </w:tc>
        <w:tc>
          <w:tcPr>
            <w:tcW w:w="505" w:type="dxa"/>
            <w:tcBorders/>
            <w:shd w:fill="auto" w:val="clear"/>
            <w:vAlign w:val="bottom"/>
          </w:tcPr>
          <w:p>
            <w:pPr>
              <w:pStyle w:val="TableContents"/>
              <w:spacing w:before="0" w:after="283"/>
              <w:rPr/>
            </w:pPr>
            <w:r>
              <w:rPr/>
              <w:t> </w:t>
            </w:r>
          </w:p>
        </w:tc>
        <w:tc>
          <w:tcPr>
            <w:tcW w:w="708" w:type="dxa"/>
            <w:tcBorders>
              <w:bottom w:val="single" w:sz="2" w:space="0" w:color="000000"/>
            </w:tcBorders>
            <w:shd w:fill="auto" w:val="clear"/>
            <w:tcMar>
              <w:bottom w:w="28" w:type="dxa"/>
            </w:tcMar>
            <w:vAlign w:val="bottom"/>
          </w:tcPr>
          <w:p>
            <w:pPr>
              <w:pStyle w:val="TableContents"/>
              <w:spacing w:before="0" w:after="283"/>
              <w:jc w:val="center"/>
              <w:rPr/>
            </w:pPr>
            <w:r>
              <w:rPr/>
              <w:t>No.</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jc w:val="center"/>
              <w:rPr>
                <w:b/>
              </w:rPr>
            </w:pPr>
            <w:r>
              <w:rPr>
                <w:b/>
              </w:rPr>
              <w:t>INTRODUCTION</w:t>
            </w:r>
          </w:p>
        </w:tc>
        <w:tc>
          <w:tcPr>
            <w:tcW w:w="505"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jc w:val="center"/>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jc w:val="center"/>
              <w:rPr/>
            </w:pPr>
            <w:hyperlink w:anchor="101">
              <w:r>
                <w:rPr>
                  <w:rStyle w:val="InternetLink"/>
                  <w:b/>
                </w:rPr>
                <w:t>PART I</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02">
              <w:r>
                <w:rPr>
                  <w:rStyle w:val="InternetLink"/>
                </w:rPr>
                <w:t>1.    Business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3</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03">
              <w:r>
                <w:rPr>
                  <w:rStyle w:val="InternetLink"/>
                </w:rPr>
                <w:t>1A. Risk Factors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15</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04">
              <w:r>
                <w:rPr>
                  <w:rStyle w:val="InternetLink"/>
                </w:rPr>
                <w:t>1B. Unresolved Staff Comments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18</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05">
              <w:r>
                <w:rPr>
                  <w:rStyle w:val="InternetLink"/>
                </w:rPr>
                <w:t>2.     Properties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19</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06">
              <w:r>
                <w:rPr>
                  <w:rStyle w:val="InternetLink"/>
                </w:rPr>
                <w:t>3.     Legal Proceedings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21</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07">
              <w:r>
                <w:rPr>
                  <w:rStyle w:val="InternetLink"/>
                </w:rPr>
                <w:t>4.     Removed and Reserved</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21</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jc w:val="center"/>
              <w:rPr/>
            </w:pPr>
            <w:hyperlink w:anchor="108">
              <w:r>
                <w:rPr>
                  <w:rStyle w:val="InternetLink"/>
                  <w:b/>
                </w:rPr>
                <w:t>PART II</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09">
              <w:r>
                <w:rPr>
                  <w:rStyle w:val="InternetLink"/>
                </w:rPr>
                <w:t>5.     Market for Registrants Common Equity, Related Stockholder Matters and Issuer Purchases of Equity Securities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22</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10">
              <w:r>
                <w:rPr>
                  <w:rStyle w:val="InternetLink"/>
                </w:rPr>
                <w:t>6.     Selected Financial Data</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24</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11">
              <w:r>
                <w:rPr>
                  <w:rStyle w:val="InternetLink"/>
                </w:rPr>
                <w:t>7.     Managements Discussion and Analysis of Financial Condition and Results of Operations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25</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12">
              <w:r>
                <w:rPr>
                  <w:rStyle w:val="InternetLink"/>
                </w:rPr>
                <w:t>7A. Quantitative and Qualitative Disclosures About Market Risk</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49</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13">
              <w:r>
                <w:rPr>
                  <w:rStyle w:val="InternetLink"/>
                </w:rPr>
                <w:t>8.     Financial Statements and Supplementary Data</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50</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14">
              <w:r>
                <w:rPr>
                  <w:rStyle w:val="InternetLink"/>
                </w:rPr>
                <w:t>9.     Changes in and Disagreements with Accountants on Accounting and Financial Disclosure</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82</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15">
              <w:r>
                <w:rPr>
                  <w:rStyle w:val="InternetLink"/>
                </w:rPr>
                <w:t>9A. Controls and Procedures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82</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16">
              <w:r>
                <w:rPr>
                  <w:rStyle w:val="InternetLink"/>
                </w:rPr>
                <w:t>9B. Other Information</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84</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jc w:val="center"/>
              <w:rPr/>
            </w:pPr>
            <w:hyperlink w:anchor="117">
              <w:r>
                <w:rPr>
                  <w:rStyle w:val="InternetLink"/>
                  <w:b/>
                </w:rPr>
                <w:t>PART III</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18">
              <w:r>
                <w:rPr>
                  <w:rStyle w:val="InternetLink"/>
                </w:rPr>
                <w:t>10. Directors, Executive Officers and Corporate Governance</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85</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19">
              <w:r>
                <w:rPr>
                  <w:rStyle w:val="InternetLink"/>
                </w:rPr>
                <w:t>11. Executive Compensation</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90</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20">
              <w:r>
                <w:rPr>
                  <w:rStyle w:val="InternetLink"/>
                </w:rPr>
                <w:t>12. Security Ownership of Certain Beneficial Owners and Management and Related Stockholder Matters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109</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21">
              <w:r>
                <w:rPr>
                  <w:rStyle w:val="InternetLink"/>
                </w:rPr>
                <w:t>13. Certain Relationships and Related Transactions, and Director Independence</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111</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22">
              <w:r>
                <w:rPr>
                  <w:rStyle w:val="InternetLink"/>
                </w:rPr>
                <w:t>14. Principal Accountant Fees and Services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113</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jc w:val="center"/>
              <w:rPr/>
            </w:pPr>
            <w:hyperlink w:anchor="123">
              <w:r>
                <w:rPr>
                  <w:rStyle w:val="InternetLink"/>
                  <w:b/>
                </w:rPr>
                <w:t>PART IV</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24">
              <w:r>
                <w:rPr>
                  <w:rStyle w:val="InternetLink"/>
                </w:rPr>
                <w:t>15. Exhibits and Financial Statement Schedules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114</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r>
              <w:rPr/>
              <w:t> </w:t>
            </w:r>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25">
              <w:r>
                <w:rPr>
                  <w:rStyle w:val="InternetLink"/>
                </w:rPr>
                <w:t>Signatures</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119</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08" w:type="dxa"/>
            <w:tcBorders/>
            <w:shd w:fill="auto" w:val="clear"/>
            <w:vAlign w:val="bottom"/>
          </w:tcPr>
          <w:p>
            <w:pPr>
              <w:pStyle w:val="TableContents"/>
              <w:spacing w:before="0" w:after="0"/>
              <w:ind w:left="225" w:right="0" w:hanging="225"/>
              <w:rPr/>
            </w:pPr>
            <w:hyperlink w:anchor="126">
              <w:r>
                <w:rPr>
                  <w:rStyle w:val="InternetLink"/>
                </w:rPr>
                <w:t>Exhibit Index</w:t>
              </w:r>
            </w:hyperlink>
          </w:p>
        </w:tc>
        <w:tc>
          <w:tcPr>
            <w:tcW w:w="505" w:type="dxa"/>
            <w:tcBorders/>
            <w:shd w:fill="auto" w:val="clear"/>
            <w:vAlign w:val="bottom"/>
          </w:tcPr>
          <w:p>
            <w:pPr>
              <w:pStyle w:val="TableContents"/>
              <w:spacing w:before="0" w:after="283"/>
              <w:rPr/>
            </w:pPr>
            <w:r>
              <w:rPr/>
              <w:t> </w:t>
            </w:r>
          </w:p>
        </w:tc>
        <w:tc>
          <w:tcPr>
            <w:tcW w:w="708" w:type="dxa"/>
            <w:tcBorders/>
            <w:shd w:fill="auto" w:val="clear"/>
          </w:tcPr>
          <w:p>
            <w:pPr>
              <w:pStyle w:val="TableContents"/>
              <w:spacing w:before="0" w:after="283"/>
              <w:jc w:val="center"/>
              <w:rPr/>
            </w:pPr>
            <w:r>
              <w:rPr/>
              <w:t>120</w:t>
            </w:r>
          </w:p>
        </w:tc>
        <w:tc>
          <w:tcPr>
            <w:tcW w:w="60" w:type="dxa"/>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vAlign w:val="center"/>
          </w:tcPr>
          <w:p>
            <w:pPr>
              <w:pStyle w:val="TableContents"/>
              <w:spacing w:before="0" w:after="283"/>
              <w:rPr/>
            </w:pPr>
            <w:r>
              <w:rPr/>
              <w:t> </w:t>
            </w:r>
            <w:hyperlink w:anchor="d77971exv10w14.htm">
              <w:r>
                <w:rPr>
                  <w:rStyle w:val="InternetLink"/>
                  <w:sz w:val="20"/>
                </w:rPr>
                <w:t>EX-10.14</w:t>
              </w:r>
            </w:hyperlink>
          </w:p>
        </w:tc>
      </w:tr>
      <w:tr>
        <w:trPr/>
        <w:tc>
          <w:tcPr>
            <w:tcW w:w="10205" w:type="dxa"/>
            <w:gridSpan w:val="5"/>
            <w:tcBorders/>
            <w:shd w:fill="auto" w:val="clear"/>
            <w:vAlign w:val="center"/>
          </w:tcPr>
          <w:p>
            <w:pPr>
              <w:pStyle w:val="TableContents"/>
              <w:spacing w:before="0" w:after="283"/>
              <w:rPr/>
            </w:pPr>
            <w:r>
              <w:rPr/>
              <w:t> </w:t>
            </w:r>
            <w:hyperlink w:anchor="d77971exv10w15.htm">
              <w:r>
                <w:rPr>
                  <w:rStyle w:val="InternetLink"/>
                  <w:sz w:val="20"/>
                </w:rPr>
                <w:t>EX-10.15</w:t>
              </w:r>
            </w:hyperlink>
          </w:p>
        </w:tc>
      </w:tr>
      <w:tr>
        <w:trPr/>
        <w:tc>
          <w:tcPr>
            <w:tcW w:w="10205" w:type="dxa"/>
            <w:gridSpan w:val="5"/>
            <w:tcBorders/>
            <w:shd w:fill="auto" w:val="clear"/>
            <w:vAlign w:val="center"/>
          </w:tcPr>
          <w:p>
            <w:pPr>
              <w:pStyle w:val="TableContents"/>
              <w:spacing w:before="0" w:after="283"/>
              <w:rPr/>
            </w:pPr>
            <w:r>
              <w:rPr/>
              <w:t> </w:t>
            </w:r>
            <w:hyperlink w:anchor="d77971exv10w16.htm">
              <w:r>
                <w:rPr>
                  <w:rStyle w:val="InternetLink"/>
                  <w:sz w:val="20"/>
                </w:rPr>
                <w:t>EX-10.16</w:t>
              </w:r>
            </w:hyperlink>
          </w:p>
        </w:tc>
      </w:tr>
      <w:tr>
        <w:trPr/>
        <w:tc>
          <w:tcPr>
            <w:tcW w:w="10205" w:type="dxa"/>
            <w:gridSpan w:val="5"/>
            <w:tcBorders/>
            <w:shd w:fill="auto" w:val="clear"/>
            <w:vAlign w:val="center"/>
          </w:tcPr>
          <w:p>
            <w:pPr>
              <w:pStyle w:val="TableContents"/>
              <w:spacing w:before="0" w:after="283"/>
              <w:rPr/>
            </w:pPr>
            <w:r>
              <w:rPr/>
              <w:t> </w:t>
            </w:r>
            <w:hyperlink w:anchor="d77971exv10w17.htm">
              <w:r>
                <w:rPr>
                  <w:rStyle w:val="InternetLink"/>
                  <w:sz w:val="20"/>
                </w:rPr>
                <w:t>EX-10.17</w:t>
              </w:r>
            </w:hyperlink>
          </w:p>
        </w:tc>
      </w:tr>
      <w:tr>
        <w:trPr/>
        <w:tc>
          <w:tcPr>
            <w:tcW w:w="10205" w:type="dxa"/>
            <w:gridSpan w:val="5"/>
            <w:tcBorders/>
            <w:shd w:fill="auto" w:val="clear"/>
            <w:vAlign w:val="center"/>
          </w:tcPr>
          <w:p>
            <w:pPr>
              <w:pStyle w:val="TableContents"/>
              <w:spacing w:before="0" w:after="283"/>
              <w:rPr/>
            </w:pPr>
            <w:r>
              <w:rPr/>
              <w:t> </w:t>
            </w:r>
            <w:hyperlink w:anchor="d77971exv10w23.htm">
              <w:r>
                <w:rPr>
                  <w:rStyle w:val="InternetLink"/>
                  <w:sz w:val="20"/>
                </w:rPr>
                <w:t>EX-10.23</w:t>
              </w:r>
            </w:hyperlink>
          </w:p>
        </w:tc>
      </w:tr>
      <w:tr>
        <w:trPr/>
        <w:tc>
          <w:tcPr>
            <w:tcW w:w="10205" w:type="dxa"/>
            <w:gridSpan w:val="5"/>
            <w:tcBorders/>
            <w:shd w:fill="auto" w:val="clear"/>
            <w:vAlign w:val="center"/>
          </w:tcPr>
          <w:p>
            <w:pPr>
              <w:pStyle w:val="TableContents"/>
              <w:spacing w:before="0" w:after="283"/>
              <w:rPr/>
            </w:pPr>
            <w:r>
              <w:rPr/>
              <w:t> </w:t>
            </w:r>
            <w:hyperlink w:anchor="d77971exv21w1.htm">
              <w:r>
                <w:rPr>
                  <w:rStyle w:val="InternetLink"/>
                  <w:sz w:val="20"/>
                </w:rPr>
                <w:t>EX-21.1</w:t>
              </w:r>
            </w:hyperlink>
          </w:p>
        </w:tc>
      </w:tr>
      <w:tr>
        <w:trPr/>
        <w:tc>
          <w:tcPr>
            <w:tcW w:w="10205" w:type="dxa"/>
            <w:gridSpan w:val="5"/>
            <w:tcBorders/>
            <w:shd w:fill="auto" w:val="clear"/>
            <w:vAlign w:val="center"/>
          </w:tcPr>
          <w:p>
            <w:pPr>
              <w:pStyle w:val="TableContents"/>
              <w:spacing w:before="0" w:after="283"/>
              <w:rPr/>
            </w:pPr>
            <w:r>
              <w:rPr/>
              <w:t> </w:t>
            </w:r>
            <w:hyperlink w:anchor="d77971exv23w1.htm">
              <w:r>
                <w:rPr>
                  <w:rStyle w:val="InternetLink"/>
                  <w:sz w:val="20"/>
                </w:rPr>
                <w:t>EX-23.1</w:t>
              </w:r>
            </w:hyperlink>
          </w:p>
        </w:tc>
      </w:tr>
      <w:tr>
        <w:trPr/>
        <w:tc>
          <w:tcPr>
            <w:tcW w:w="10205" w:type="dxa"/>
            <w:gridSpan w:val="5"/>
            <w:tcBorders/>
            <w:shd w:fill="auto" w:val="clear"/>
            <w:vAlign w:val="center"/>
          </w:tcPr>
          <w:p>
            <w:pPr>
              <w:pStyle w:val="TableContents"/>
              <w:spacing w:before="0" w:after="283"/>
              <w:rPr/>
            </w:pPr>
            <w:r>
              <w:rPr/>
              <w:t> </w:t>
            </w:r>
            <w:hyperlink w:anchor="d77971exv31w1.htm">
              <w:r>
                <w:rPr>
                  <w:rStyle w:val="InternetLink"/>
                  <w:sz w:val="20"/>
                </w:rPr>
                <w:t>EX-31.1</w:t>
              </w:r>
            </w:hyperlink>
          </w:p>
        </w:tc>
      </w:tr>
      <w:tr>
        <w:trPr/>
        <w:tc>
          <w:tcPr>
            <w:tcW w:w="10205" w:type="dxa"/>
            <w:gridSpan w:val="5"/>
            <w:tcBorders/>
            <w:shd w:fill="auto" w:val="clear"/>
            <w:vAlign w:val="center"/>
          </w:tcPr>
          <w:p>
            <w:pPr>
              <w:pStyle w:val="TableContents"/>
              <w:spacing w:before="0" w:after="283"/>
              <w:rPr/>
            </w:pPr>
            <w:r>
              <w:rPr/>
              <w:t> </w:t>
            </w:r>
            <w:hyperlink w:anchor="d77971exv31w2.htm">
              <w:r>
                <w:rPr>
                  <w:rStyle w:val="InternetLink"/>
                  <w:sz w:val="20"/>
                </w:rPr>
                <w:t>EX-31.2</w:t>
              </w:r>
            </w:hyperlink>
          </w:p>
        </w:tc>
      </w:tr>
      <w:tr>
        <w:trPr/>
        <w:tc>
          <w:tcPr>
            <w:tcW w:w="10205" w:type="dxa"/>
            <w:gridSpan w:val="5"/>
            <w:tcBorders/>
            <w:shd w:fill="auto" w:val="clear"/>
            <w:vAlign w:val="center"/>
          </w:tcPr>
          <w:p>
            <w:pPr>
              <w:pStyle w:val="TableContents"/>
              <w:spacing w:before="0" w:after="283"/>
              <w:rPr/>
            </w:pPr>
            <w:r>
              <w:rPr/>
              <w:t> </w:t>
            </w:r>
            <w:hyperlink w:anchor="d77971exv32w1.htm">
              <w:r>
                <w:rPr>
                  <w:rStyle w:val="InternetLink"/>
                  <w:sz w:val="20"/>
                </w:rPr>
                <w:t>EX-32.1</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 w:name="101"/>
      <w:bookmarkEnd w:id="3"/>
      <w:r>
        <w:rPr>
          <w:rFonts w:ascii="Times New Roman;Times;serif" w:hAnsi="Times New Roman;Times;serif"/>
          <w:b/>
          <w:sz w:val="17"/>
        </w:rPr>
        <w:t>PART 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report contains forward-looking statements that are based on our current expectations. Actual results in future periods may differ materially from those expressed or implied by those forward-looking statements because of a number of risks and uncertainties. For a discussion of risk factors affecting our business and prospects, see Part I  Item 1A  Risk Factors. </w:t>
      </w:r>
    </w:p>
    <w:p>
      <w:pPr>
        <w:pStyle w:val="TextBody"/>
        <w:spacing w:before="120" w:after="283"/>
        <w:jc w:val="left"/>
        <w:rPr>
          <w:rFonts w:ascii="Times New Roman;Times;serif" w:hAnsi="Times New Roman;Times;serif"/>
          <w:sz w:val="17"/>
        </w:rPr>
      </w:pPr>
      <w:bookmarkStart w:id="4" w:name="102"/>
      <w:bookmarkEnd w:id="4"/>
      <w:r>
        <w:rPr>
          <w:rFonts w:ascii="Times New Roman;Times;serif" w:hAnsi="Times New Roman;Times;serif"/>
          <w:b/>
          <w:smallCaps/>
          <w:sz w:val="17"/>
        </w:rPr>
        <w:t>Item</w:t>
      </w:r>
      <w:r>
        <w:rPr>
          <w:rFonts w:ascii="Times New Roman;Times;serif" w:hAnsi="Times New Roman;Times;serif"/>
          <w:sz w:val="17"/>
        </w:rPr>
        <w:t xml:space="preserve"> </w:t>
      </w:r>
      <w:r>
        <w:rPr>
          <w:rFonts w:ascii="Times New Roman;Times;serif" w:hAnsi="Times New Roman;Times;serif"/>
          <w:b/>
          <w:sz w:val="17"/>
        </w:rPr>
        <w:t xml:space="preserve">1. </w:t>
      </w:r>
      <w:r>
        <w:rPr>
          <w:rFonts w:ascii="Times New Roman;Times;serif" w:hAnsi="Times New Roman;Times;serif"/>
          <w:b/>
          <w:smallCaps/>
          <w:sz w:val="17"/>
        </w:rPr>
        <w:t>Business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General</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 Inc. is a Delaware corporation headquartered in Austin, Texas. We are a leading provider of specialty consumer financial services. We operate pawn stores in the United States principally under the EZPAWN and Value Pawn brands, and in Mexico under the EMPEÑO FÁCIL and EMPEÑE SU ORO brands. We also operate short-term consumer loan stores in the United States principally under the EZMONEY brand and in Canada under the CASHMAX brand. We also own approximately 30% of the outstanding stock of Albemarle &amp; Bond Holdings PLC, one of the United Kingdoms largest pawnbroking businesses with over 130 stores, and approximately 33% of Cash Converters International Limited, which franchises and operates a worldwide network of over 500 locations that provide financial services and sell pre-owned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our pawn stores, we offer pawn loans, which are non-recourse loans collateralized by tangible personal property, and sell merchandise to customers looking for good value. The merchandise we sell consists primarily of pre-owned collateral forfeited from our pawn lending activities or purchased from customers. At our short-term consumer loan stores and at some of our pawn stores, we offer a variety of loan products, including single-payment, non-collateralized payday loans with maturity dates typically ranging from 7 to 30 days; non-collateralized installment loans that may be repaid over extended periods of up to six months; and 30-day loans secured by automobile titles. Short-term non-collateralized loans are sometimes referred to as signature loans. Our short-term consumer loan stores in Texas do not offer loan products themselves, but rather offer credit services to help customers obtain loans from independent third-party lenders. Some of our Texas pawn stores also offer credit services in addition to pawn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as three segments. The U.S. Pawn Operations segment operates only in the United States. The Empeño Fácil segment operates only in Mexico. The EZMONEY Operations segment operates 444 stores in the United States and 51 stores in Canada. For revenues, profitability, assets and other information attributable to each of our segments, see Note R, Operating Segment Information to our consolidated financial statements contained in Item 8 of this annual report. The following table presents store data and products offered in each segment as of September 30, 2010: </w:t>
      </w:r>
    </w:p>
    <w:tbl>
      <w:tblPr>
        <w:tblW w:w="5000" w:type="pct"/>
        <w:jc w:val="center"/>
        <w:tblInd w:w="0" w:type="dxa"/>
        <w:tblCellMar>
          <w:top w:w="0" w:type="dxa"/>
          <w:left w:w="0" w:type="dxa"/>
          <w:bottom w:w="0" w:type="dxa"/>
          <w:right w:w="0" w:type="dxa"/>
        </w:tblCellMar>
      </w:tblPr>
      <w:tblGrid>
        <w:gridCol w:w="3723"/>
        <w:gridCol w:w="344"/>
        <w:gridCol w:w="166"/>
        <w:gridCol w:w="979"/>
        <w:gridCol w:w="104"/>
        <w:gridCol w:w="344"/>
        <w:gridCol w:w="142"/>
        <w:gridCol w:w="824"/>
        <w:gridCol w:w="104"/>
        <w:gridCol w:w="344"/>
        <w:gridCol w:w="183"/>
        <w:gridCol w:w="1084"/>
        <w:gridCol w:w="104"/>
        <w:gridCol w:w="344"/>
        <w:gridCol w:w="150"/>
        <w:gridCol w:w="1151"/>
        <w:gridCol w:w="115"/>
      </w:tblGrid>
      <w:tr>
        <w:trPr/>
        <w:tc>
          <w:tcPr>
            <w:tcW w:w="37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7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jc w:val="center"/>
              <w:rPr/>
            </w:pPr>
            <w:r>
              <w:rPr/>
              <w:t>U.S. Pawn</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966" w:type="dxa"/>
            <w:gridSpan w:val="2"/>
            <w:tcBorders/>
            <w:shd w:fill="auto" w:val="clear"/>
            <w:vAlign w:val="bottom"/>
          </w:tcPr>
          <w:p>
            <w:pPr>
              <w:pStyle w:val="TableContents"/>
              <w:spacing w:before="0" w:after="283"/>
              <w:jc w:val="center"/>
              <w:rPr/>
            </w:pPr>
            <w:r>
              <w:rPr/>
              <w:t>Empeño</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267" w:type="dxa"/>
            <w:gridSpan w:val="2"/>
            <w:tcBorders/>
            <w:shd w:fill="auto" w:val="clear"/>
            <w:vAlign w:val="bottom"/>
          </w:tcPr>
          <w:p>
            <w:pPr>
              <w:pStyle w:val="TableContents"/>
              <w:spacing w:before="0" w:after="283"/>
              <w:jc w:val="center"/>
              <w:rPr/>
            </w:pPr>
            <w:r>
              <w:rPr/>
              <w:t>EZMONEY</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1"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r>
      <w:tr>
        <w:trPr/>
        <w:tc>
          <w:tcPr>
            <w:tcW w:w="37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45"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966"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267"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1"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15" w:type="dxa"/>
            <w:tcBorders/>
            <w:shd w:fill="auto" w:val="clear"/>
            <w:vAlign w:val="bottom"/>
          </w:tcPr>
          <w:p>
            <w:pPr>
              <w:pStyle w:val="TableContents"/>
              <w:spacing w:before="0" w:after="283"/>
              <w:rPr/>
            </w:pPr>
            <w:r>
              <w:rPr/>
              <w:t> </w:t>
            </w:r>
          </w:p>
        </w:tc>
      </w:tr>
      <w:tr>
        <w:trPr/>
        <w:tc>
          <w:tcPr>
            <w:tcW w:w="3723" w:type="dxa"/>
            <w:tcBorders/>
            <w:shd w:fill="CCEEFF" w:val="clear"/>
            <w:vAlign w:val="bottom"/>
          </w:tcPr>
          <w:p>
            <w:pPr>
              <w:pStyle w:val="TableContents"/>
              <w:spacing w:before="0" w:after="0"/>
              <w:ind w:left="225" w:right="0" w:hanging="225"/>
              <w:rPr/>
            </w:pPr>
            <w:r>
              <w:rPr/>
              <w:t>Pawn stores</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390</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115</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505</w:t>
            </w:r>
          </w:p>
        </w:tc>
        <w:tc>
          <w:tcPr>
            <w:tcW w:w="115" w:type="dxa"/>
            <w:tcBorders/>
            <w:shd w:fill="CCEEFF" w:val="clear"/>
            <w:vAlign w:val="bottom"/>
          </w:tcPr>
          <w:p>
            <w:pPr>
              <w:pStyle w:val="TableContents"/>
              <w:spacing w:before="0" w:after="283"/>
              <w:rPr/>
            </w:pPr>
            <w:r>
              <w:rPr/>
              <w:t> </w:t>
            </w:r>
          </w:p>
        </w:tc>
      </w:tr>
      <w:tr>
        <w:trPr/>
        <w:tc>
          <w:tcPr>
            <w:tcW w:w="3723" w:type="dxa"/>
            <w:tcBorders/>
            <w:shd w:fill="auto" w:val="clear"/>
            <w:vAlign w:val="bottom"/>
          </w:tcPr>
          <w:p>
            <w:pPr>
              <w:pStyle w:val="TableContents"/>
              <w:spacing w:before="0" w:after="0"/>
              <w:ind w:left="225" w:right="0" w:hanging="225"/>
              <w:rPr/>
            </w:pPr>
            <w:r>
              <w:rPr/>
              <w:t>Short-term consumer loan stores adjoining U.S. pawn stores</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6</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152</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158</w:t>
            </w:r>
          </w:p>
        </w:tc>
        <w:tc>
          <w:tcPr>
            <w:tcW w:w="115" w:type="dxa"/>
            <w:tcBorders/>
            <w:shd w:fill="auto" w:val="clear"/>
            <w:vAlign w:val="bottom"/>
          </w:tcPr>
          <w:p>
            <w:pPr>
              <w:pStyle w:val="TableContents"/>
              <w:spacing w:before="0" w:after="283"/>
              <w:rPr/>
            </w:pPr>
            <w:r>
              <w:rPr/>
              <w:t> </w:t>
            </w:r>
          </w:p>
        </w:tc>
      </w:tr>
      <w:tr>
        <w:trPr/>
        <w:tc>
          <w:tcPr>
            <w:tcW w:w="3723" w:type="dxa"/>
            <w:tcBorders/>
            <w:shd w:fill="CCEEFF" w:val="clear"/>
            <w:vAlign w:val="bottom"/>
          </w:tcPr>
          <w:p>
            <w:pPr>
              <w:pStyle w:val="TableContents"/>
              <w:spacing w:before="0" w:after="0"/>
              <w:ind w:left="225" w:right="0" w:hanging="225"/>
              <w:rPr/>
            </w:pPr>
            <w:r>
              <w:rPr/>
              <w:t>Short-term consumer loan stores  free standing</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343</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343</w:t>
            </w:r>
          </w:p>
        </w:tc>
        <w:tc>
          <w:tcPr>
            <w:tcW w:w="115" w:type="dxa"/>
            <w:tcBorders/>
            <w:shd w:fill="CCEEFF" w:val="clear"/>
            <w:vAlign w:val="bottom"/>
          </w:tcPr>
          <w:p>
            <w:pPr>
              <w:pStyle w:val="TableContents"/>
              <w:spacing w:before="0" w:after="283"/>
              <w:rPr/>
            </w:pPr>
            <w:r>
              <w:rPr/>
              <w:t> </w:t>
            </w:r>
          </w:p>
        </w:tc>
      </w:tr>
      <w:tr>
        <w:trPr/>
        <w:tc>
          <w:tcPr>
            <w:tcW w:w="3723"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9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2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3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723" w:type="dxa"/>
            <w:tcBorders/>
            <w:shd w:fill="auto" w:val="clear"/>
            <w:vAlign w:val="bottom"/>
          </w:tcPr>
          <w:p>
            <w:pPr>
              <w:pStyle w:val="TableContents"/>
              <w:spacing w:before="0" w:after="0"/>
              <w:ind w:left="225" w:right="0" w:hanging="225"/>
              <w:rPr/>
            </w:pPr>
            <w:r>
              <w:rPr/>
              <w:t>Total stores in operation</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396</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115</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495</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1,006</w:t>
            </w:r>
          </w:p>
        </w:tc>
        <w:tc>
          <w:tcPr>
            <w:tcW w:w="115" w:type="dxa"/>
            <w:tcBorders/>
            <w:shd w:fill="auto" w:val="clear"/>
            <w:vAlign w:val="bottom"/>
          </w:tcPr>
          <w:p>
            <w:pPr>
              <w:pStyle w:val="TableContents"/>
              <w:spacing w:before="0" w:after="283"/>
              <w:rPr/>
            </w:pPr>
            <w:r>
              <w:rPr/>
              <w:t> </w:t>
            </w:r>
          </w:p>
        </w:tc>
      </w:tr>
      <w:tr>
        <w:trPr/>
        <w:tc>
          <w:tcPr>
            <w:tcW w:w="3723"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1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9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2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3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723" w:type="dxa"/>
            <w:tcBorders/>
            <w:shd w:fill="auto" w:val="clear"/>
            <w:vAlign w:val="bottom"/>
          </w:tcPr>
          <w:p>
            <w:pPr>
              <w:pStyle w:val="TableContents"/>
              <w:spacing w:before="0" w:after="0"/>
              <w:ind w:left="225" w:right="0" w:hanging="225"/>
              <w:rPr/>
            </w:pPr>
            <w:r>
              <w:rPr/>
              <w:t> </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723" w:type="dxa"/>
            <w:tcBorders/>
            <w:shd w:fill="CCEEFF" w:val="clear"/>
            <w:vAlign w:val="bottom"/>
          </w:tcPr>
          <w:p>
            <w:pPr>
              <w:pStyle w:val="TableContents"/>
              <w:spacing w:before="0" w:after="0"/>
              <w:ind w:left="225" w:right="0" w:hanging="225"/>
              <w:rPr/>
            </w:pPr>
            <w:r>
              <w:rPr/>
              <w:t>Stores offering payday loans (including credit services)</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59</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461</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520</w:t>
            </w:r>
          </w:p>
        </w:tc>
        <w:tc>
          <w:tcPr>
            <w:tcW w:w="115" w:type="dxa"/>
            <w:tcBorders/>
            <w:shd w:fill="CCEEFF" w:val="clear"/>
            <w:vAlign w:val="bottom"/>
          </w:tcPr>
          <w:p>
            <w:pPr>
              <w:pStyle w:val="TableContents"/>
              <w:spacing w:before="0" w:after="283"/>
              <w:rPr/>
            </w:pPr>
            <w:r>
              <w:rPr/>
              <w:t> </w:t>
            </w:r>
          </w:p>
        </w:tc>
      </w:tr>
      <w:tr>
        <w:trPr/>
        <w:tc>
          <w:tcPr>
            <w:tcW w:w="3723" w:type="dxa"/>
            <w:tcBorders/>
            <w:shd w:fill="auto" w:val="clear"/>
            <w:vAlign w:val="bottom"/>
          </w:tcPr>
          <w:p>
            <w:pPr>
              <w:pStyle w:val="TableContents"/>
              <w:spacing w:before="0" w:after="0"/>
              <w:ind w:left="225" w:right="0" w:hanging="225"/>
              <w:rPr/>
            </w:pPr>
            <w:r>
              <w:rPr/>
              <w:t>Stores offering installment loans (including credit services)</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415</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415</w:t>
            </w:r>
          </w:p>
        </w:tc>
        <w:tc>
          <w:tcPr>
            <w:tcW w:w="115" w:type="dxa"/>
            <w:tcBorders/>
            <w:shd w:fill="auto" w:val="clear"/>
            <w:vAlign w:val="bottom"/>
          </w:tcPr>
          <w:p>
            <w:pPr>
              <w:pStyle w:val="TableContents"/>
              <w:spacing w:before="0" w:after="283"/>
              <w:rPr/>
            </w:pPr>
            <w:r>
              <w:rPr/>
              <w:t> </w:t>
            </w:r>
          </w:p>
        </w:tc>
      </w:tr>
      <w:tr>
        <w:trPr/>
        <w:tc>
          <w:tcPr>
            <w:tcW w:w="3723" w:type="dxa"/>
            <w:tcBorders/>
            <w:shd w:fill="CCEEFF" w:val="clear"/>
            <w:vAlign w:val="bottom"/>
          </w:tcPr>
          <w:p>
            <w:pPr>
              <w:pStyle w:val="TableContents"/>
              <w:spacing w:before="0" w:after="0"/>
              <w:ind w:left="225" w:right="0" w:hanging="225"/>
              <w:rPr/>
            </w:pPr>
            <w:r>
              <w:rPr/>
              <w:t>Stores offering auto title loans (including credit services)</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58</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390</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448</w:t>
            </w:r>
          </w:p>
        </w:tc>
        <w:tc>
          <w:tcPr>
            <w:tcW w:w="115"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components comprised our total revenues: </w:t>
      </w:r>
    </w:p>
    <w:tbl>
      <w:tblPr>
        <w:tblW w:w="5000" w:type="pct"/>
        <w:jc w:val="center"/>
        <w:tblInd w:w="0" w:type="dxa"/>
        <w:tblCellMar>
          <w:top w:w="0" w:type="dxa"/>
          <w:left w:w="0" w:type="dxa"/>
          <w:bottom w:w="0" w:type="dxa"/>
          <w:right w:w="0" w:type="dxa"/>
        </w:tblCellMar>
      </w:tblPr>
      <w:tblGrid>
        <w:gridCol w:w="4994"/>
        <w:gridCol w:w="374"/>
        <w:gridCol w:w="149"/>
        <w:gridCol w:w="861"/>
        <w:gridCol w:w="368"/>
        <w:gridCol w:w="409"/>
        <w:gridCol w:w="149"/>
        <w:gridCol w:w="861"/>
        <w:gridCol w:w="368"/>
        <w:gridCol w:w="409"/>
        <w:gridCol w:w="149"/>
        <w:gridCol w:w="866"/>
        <w:gridCol w:w="248"/>
      </w:tblGrid>
      <w:tr>
        <w:trPr/>
        <w:tc>
          <w:tcPr>
            <w:tcW w:w="499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r>
      <w:tr>
        <w:trPr/>
        <w:tc>
          <w:tcPr>
            <w:tcW w:w="499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4589"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248" w:type="dxa"/>
            <w:tcBorders/>
            <w:shd w:fill="auto" w:val="clear"/>
            <w:vAlign w:val="bottom"/>
          </w:tcPr>
          <w:p>
            <w:pPr>
              <w:pStyle w:val="TableContents"/>
              <w:spacing w:before="0" w:after="283"/>
              <w:rPr/>
            </w:pPr>
            <w:r>
              <w:rPr/>
              <w:t> </w:t>
            </w:r>
          </w:p>
        </w:tc>
      </w:tr>
      <w:tr>
        <w:trPr/>
        <w:tc>
          <w:tcPr>
            <w:tcW w:w="4994"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0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36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0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36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01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48" w:type="dxa"/>
            <w:tcBorders/>
            <w:shd w:fill="auto" w:val="clear"/>
            <w:vAlign w:val="bottom"/>
          </w:tcPr>
          <w:p>
            <w:pPr>
              <w:pStyle w:val="TableContents"/>
              <w:spacing w:before="0" w:after="283"/>
              <w:rPr/>
            </w:pPr>
            <w:r>
              <w:rPr/>
              <w:t> </w:t>
            </w:r>
          </w:p>
        </w:tc>
      </w:tr>
      <w:tr>
        <w:trPr/>
        <w:tc>
          <w:tcPr>
            <w:tcW w:w="4994" w:type="dxa"/>
            <w:tcBorders/>
            <w:shd w:fill="CCEEFF" w:val="clear"/>
            <w:vAlign w:val="bottom"/>
          </w:tcPr>
          <w:p>
            <w:pPr>
              <w:pStyle w:val="TableContents"/>
              <w:spacing w:before="0" w:after="0"/>
              <w:ind w:left="225" w:right="0" w:hanging="225"/>
              <w:rPr/>
            </w:pPr>
            <w:r>
              <w:rPr/>
              <w:t>Pawn service charges</w:t>
            </w:r>
          </w:p>
        </w:tc>
        <w:tc>
          <w:tcPr>
            <w:tcW w:w="37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22</w:t>
            </w:r>
          </w:p>
        </w:tc>
        <w:tc>
          <w:tcPr>
            <w:tcW w:w="368"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22</w:t>
            </w:r>
          </w:p>
        </w:tc>
        <w:tc>
          <w:tcPr>
            <w:tcW w:w="368"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6" w:type="dxa"/>
            <w:tcBorders/>
            <w:shd w:fill="CCEEFF" w:val="clear"/>
            <w:vAlign w:val="bottom"/>
          </w:tcPr>
          <w:p>
            <w:pPr>
              <w:pStyle w:val="TableContents"/>
              <w:spacing w:before="0" w:after="283"/>
              <w:jc w:val="right"/>
              <w:rPr/>
            </w:pPr>
            <w:r>
              <w:rPr/>
              <w:t>21</w:t>
            </w:r>
          </w:p>
        </w:tc>
        <w:tc>
          <w:tcPr>
            <w:tcW w:w="248" w:type="dxa"/>
            <w:tcBorders/>
            <w:shd w:fill="CCEEFF" w:val="clear"/>
            <w:vAlign w:val="bottom"/>
          </w:tcPr>
          <w:p>
            <w:pPr>
              <w:pStyle w:val="TableContents"/>
              <w:spacing w:before="0" w:after="283"/>
              <w:rPr/>
            </w:pPr>
            <w:r>
              <w:rPr/>
              <w:t>%</w:t>
            </w:r>
          </w:p>
        </w:tc>
      </w:tr>
      <w:tr>
        <w:trPr/>
        <w:tc>
          <w:tcPr>
            <w:tcW w:w="4994" w:type="dxa"/>
            <w:tcBorders/>
            <w:shd w:fill="auto" w:val="clear"/>
            <w:vAlign w:val="bottom"/>
          </w:tcPr>
          <w:p>
            <w:pPr>
              <w:pStyle w:val="TableContents"/>
              <w:spacing w:before="0" w:after="0"/>
              <w:ind w:left="225" w:right="0" w:hanging="225"/>
              <w:rPr/>
            </w:pPr>
            <w:r>
              <w:rPr/>
              <w:t>Merchandise sales</w:t>
            </w:r>
          </w:p>
        </w:tc>
        <w:tc>
          <w:tcPr>
            <w:tcW w:w="3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31</w:t>
            </w:r>
          </w:p>
        </w:tc>
        <w:tc>
          <w:tcPr>
            <w:tcW w:w="368"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34</w:t>
            </w:r>
          </w:p>
        </w:tc>
        <w:tc>
          <w:tcPr>
            <w:tcW w:w="368"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283"/>
              <w:jc w:val="right"/>
              <w:rPr/>
            </w:pPr>
            <w:r>
              <w:rPr/>
              <w:t>34</w:t>
            </w:r>
          </w:p>
        </w:tc>
        <w:tc>
          <w:tcPr>
            <w:tcW w:w="248" w:type="dxa"/>
            <w:tcBorders/>
            <w:shd w:fill="auto" w:val="clear"/>
            <w:vAlign w:val="bottom"/>
          </w:tcPr>
          <w:p>
            <w:pPr>
              <w:pStyle w:val="TableContents"/>
              <w:spacing w:before="0" w:after="283"/>
              <w:rPr/>
            </w:pPr>
            <w:r>
              <w:rPr/>
              <w:t>%</w:t>
            </w:r>
          </w:p>
        </w:tc>
      </w:tr>
      <w:tr>
        <w:trPr/>
        <w:tc>
          <w:tcPr>
            <w:tcW w:w="4994" w:type="dxa"/>
            <w:tcBorders/>
            <w:shd w:fill="CCEEFF" w:val="clear"/>
            <w:vAlign w:val="bottom"/>
          </w:tcPr>
          <w:p>
            <w:pPr>
              <w:pStyle w:val="TableContents"/>
              <w:spacing w:before="0" w:after="0"/>
              <w:ind w:left="225" w:right="0" w:hanging="225"/>
              <w:rPr/>
            </w:pPr>
            <w:r>
              <w:rPr/>
              <w:t>Jewelry scrapping sales</w:t>
            </w:r>
          </w:p>
        </w:tc>
        <w:tc>
          <w:tcPr>
            <w:tcW w:w="37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24</w:t>
            </w:r>
          </w:p>
        </w:tc>
        <w:tc>
          <w:tcPr>
            <w:tcW w:w="368"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20</w:t>
            </w:r>
          </w:p>
        </w:tc>
        <w:tc>
          <w:tcPr>
            <w:tcW w:w="368"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6" w:type="dxa"/>
            <w:tcBorders/>
            <w:shd w:fill="CCEEFF" w:val="clear"/>
            <w:vAlign w:val="bottom"/>
          </w:tcPr>
          <w:p>
            <w:pPr>
              <w:pStyle w:val="TableContents"/>
              <w:spacing w:before="0" w:after="283"/>
              <w:jc w:val="right"/>
              <w:rPr/>
            </w:pPr>
            <w:r>
              <w:rPr/>
              <w:t>17</w:t>
            </w:r>
          </w:p>
        </w:tc>
        <w:tc>
          <w:tcPr>
            <w:tcW w:w="248" w:type="dxa"/>
            <w:tcBorders/>
            <w:shd w:fill="CCEEFF" w:val="clear"/>
            <w:vAlign w:val="bottom"/>
          </w:tcPr>
          <w:p>
            <w:pPr>
              <w:pStyle w:val="TableContents"/>
              <w:spacing w:before="0" w:after="283"/>
              <w:rPr/>
            </w:pPr>
            <w:r>
              <w:rPr/>
              <w:t>%</w:t>
            </w:r>
          </w:p>
        </w:tc>
      </w:tr>
      <w:tr>
        <w:trPr/>
        <w:tc>
          <w:tcPr>
            <w:tcW w:w="4994" w:type="dxa"/>
            <w:tcBorders/>
            <w:shd w:fill="auto" w:val="clear"/>
            <w:vAlign w:val="bottom"/>
          </w:tcPr>
          <w:p>
            <w:pPr>
              <w:pStyle w:val="TableContents"/>
              <w:spacing w:before="0" w:after="0"/>
              <w:ind w:left="225" w:right="0" w:hanging="225"/>
              <w:rPr/>
            </w:pPr>
            <w:r>
              <w:rPr/>
              <w:t>Signature loan (including credit service) fees</w:t>
            </w:r>
          </w:p>
        </w:tc>
        <w:tc>
          <w:tcPr>
            <w:tcW w:w="3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19</w:t>
            </w:r>
          </w:p>
        </w:tc>
        <w:tc>
          <w:tcPr>
            <w:tcW w:w="368"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22</w:t>
            </w:r>
          </w:p>
        </w:tc>
        <w:tc>
          <w:tcPr>
            <w:tcW w:w="368"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283"/>
              <w:jc w:val="right"/>
              <w:rPr/>
            </w:pPr>
            <w:r>
              <w:rPr/>
              <w:t>28</w:t>
            </w:r>
          </w:p>
        </w:tc>
        <w:tc>
          <w:tcPr>
            <w:tcW w:w="248" w:type="dxa"/>
            <w:tcBorders/>
            <w:shd w:fill="auto" w:val="clear"/>
            <w:vAlign w:val="bottom"/>
          </w:tcPr>
          <w:p>
            <w:pPr>
              <w:pStyle w:val="TableContents"/>
              <w:spacing w:before="0" w:after="283"/>
              <w:rPr/>
            </w:pPr>
            <w:r>
              <w:rPr/>
              <w:t>%</w:t>
            </w:r>
          </w:p>
        </w:tc>
      </w:tr>
      <w:tr>
        <w:trPr/>
        <w:tc>
          <w:tcPr>
            <w:tcW w:w="4994" w:type="dxa"/>
            <w:tcBorders/>
            <w:shd w:fill="CCEEFF" w:val="clear"/>
            <w:vAlign w:val="bottom"/>
          </w:tcPr>
          <w:p>
            <w:pPr>
              <w:pStyle w:val="TableContents"/>
              <w:spacing w:before="0" w:after="0"/>
              <w:ind w:left="225" w:right="0" w:hanging="225"/>
              <w:rPr/>
            </w:pPr>
            <w:r>
              <w:rPr/>
              <w:t>Auto title loan (including credit service) fees</w:t>
            </w:r>
          </w:p>
        </w:tc>
        <w:tc>
          <w:tcPr>
            <w:tcW w:w="37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2</w:t>
            </w:r>
          </w:p>
        </w:tc>
        <w:tc>
          <w:tcPr>
            <w:tcW w:w="368"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1</w:t>
            </w:r>
          </w:p>
        </w:tc>
        <w:tc>
          <w:tcPr>
            <w:tcW w:w="368"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jc w:val="right"/>
              <w:rPr/>
            </w:pPr>
            <w:r>
              <w:rPr/>
              <w:t></w:t>
            </w:r>
          </w:p>
        </w:tc>
        <w:tc>
          <w:tcPr>
            <w:tcW w:w="248" w:type="dxa"/>
            <w:tcBorders/>
            <w:shd w:fill="CCEEFF" w:val="clear"/>
            <w:vAlign w:val="bottom"/>
          </w:tcPr>
          <w:p>
            <w:pPr>
              <w:pStyle w:val="TableContents"/>
              <w:spacing w:before="0" w:after="283"/>
              <w:rPr/>
            </w:pPr>
            <w:r>
              <w:rPr/>
              <w:t> </w:t>
            </w:r>
          </w:p>
        </w:tc>
      </w:tr>
      <w:tr>
        <w:trPr/>
        <w:tc>
          <w:tcPr>
            <w:tcW w:w="4994" w:type="dxa"/>
            <w:tcBorders/>
            <w:shd w:fill="auto" w:val="clear"/>
            <w:vAlign w:val="bottom"/>
          </w:tcPr>
          <w:p>
            <w:pPr>
              <w:pStyle w:val="TableContents"/>
              <w:spacing w:before="0" w:after="0"/>
              <w:ind w:left="225" w:right="0" w:hanging="225"/>
              <w:rPr/>
            </w:pPr>
            <w:r>
              <w:rPr/>
              <w:t>Other</w:t>
            </w:r>
          </w:p>
        </w:tc>
        <w:tc>
          <w:tcPr>
            <w:tcW w:w="37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2</w:t>
            </w:r>
          </w:p>
        </w:tc>
        <w:tc>
          <w:tcPr>
            <w:tcW w:w="368"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61" w:type="dxa"/>
            <w:tcBorders/>
            <w:shd w:fill="auto" w:val="clear"/>
            <w:vAlign w:val="bottom"/>
          </w:tcPr>
          <w:p>
            <w:pPr>
              <w:pStyle w:val="TableContents"/>
              <w:spacing w:before="0" w:after="283"/>
              <w:jc w:val="right"/>
              <w:rPr/>
            </w:pPr>
            <w:r>
              <w:rPr/>
              <w:t>1</w:t>
            </w:r>
          </w:p>
        </w:tc>
        <w:tc>
          <w:tcPr>
            <w:tcW w:w="368"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66" w:type="dxa"/>
            <w:tcBorders/>
            <w:shd w:fill="auto" w:val="clear"/>
            <w:vAlign w:val="bottom"/>
          </w:tcPr>
          <w:p>
            <w:pPr>
              <w:pStyle w:val="TableContents"/>
              <w:spacing w:before="0" w:after="283"/>
              <w:jc w:val="right"/>
              <w:rPr/>
            </w:pPr>
            <w:r>
              <w:rPr/>
              <w:t></w:t>
            </w:r>
          </w:p>
        </w:tc>
        <w:tc>
          <w:tcPr>
            <w:tcW w:w="248" w:type="dxa"/>
            <w:tcBorders/>
            <w:shd w:fill="auto" w:val="clear"/>
            <w:vAlign w:val="bottom"/>
          </w:tcPr>
          <w:p>
            <w:pPr>
              <w:pStyle w:val="TableContents"/>
              <w:spacing w:before="0" w:after="283"/>
              <w:rPr/>
            </w:pPr>
            <w:r>
              <w:rPr/>
              <w:t> </w:t>
            </w:r>
          </w:p>
        </w:tc>
      </w:tr>
      <w:tr>
        <w:trPr/>
        <w:tc>
          <w:tcPr>
            <w:tcW w:w="4994"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10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8"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8"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r>
      <w:tr>
        <w:trPr/>
        <w:tc>
          <w:tcPr>
            <w:tcW w:w="4994" w:type="dxa"/>
            <w:tcBorders/>
            <w:shd w:fill="CCEEFF" w:val="clear"/>
            <w:vAlign w:val="bottom"/>
          </w:tcPr>
          <w:p>
            <w:pPr>
              <w:pStyle w:val="TableContents"/>
              <w:spacing w:before="0" w:after="0"/>
              <w:ind w:left="450" w:right="0" w:hanging="225"/>
              <w:rPr/>
            </w:pPr>
            <w:r>
              <w:rPr/>
              <w:t>Total revenues</w:t>
            </w:r>
          </w:p>
        </w:tc>
        <w:tc>
          <w:tcPr>
            <w:tcW w:w="37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100</w:t>
            </w:r>
          </w:p>
        </w:tc>
        <w:tc>
          <w:tcPr>
            <w:tcW w:w="368"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100</w:t>
            </w:r>
          </w:p>
        </w:tc>
        <w:tc>
          <w:tcPr>
            <w:tcW w:w="368"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66" w:type="dxa"/>
            <w:tcBorders/>
            <w:shd w:fill="CCEEFF" w:val="clear"/>
            <w:vAlign w:val="bottom"/>
          </w:tcPr>
          <w:p>
            <w:pPr>
              <w:pStyle w:val="TableContents"/>
              <w:spacing w:before="0" w:after="283"/>
              <w:jc w:val="right"/>
              <w:rPr/>
            </w:pPr>
            <w:r>
              <w:rPr/>
              <w:t>100</w:t>
            </w:r>
          </w:p>
        </w:tc>
        <w:tc>
          <w:tcPr>
            <w:tcW w:w="248" w:type="dxa"/>
            <w:tcBorders/>
            <w:shd w:fill="CCEEFF" w:val="clear"/>
            <w:vAlign w:val="bottom"/>
          </w:tcPr>
          <w:p>
            <w:pPr>
              <w:pStyle w:val="TableContents"/>
              <w:spacing w:before="0" w:after="283"/>
              <w:rPr/>
            </w:pPr>
            <w:r>
              <w:rPr/>
              <w:t>%</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Pawn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pawn stores make pawn loans, which are typically small, non-recourse loans collateralized by tangible personal property. At September 30, 2010, we had approximately 1,039,000 loans outstanding, representing an aggregate principal balance of $121.2 million. We earn pawn service charge revenue on our pawn lending. In the year ended September 30, 2010 (fiscal 2010), pawn service charges accounted for approximately 22% of our total revenues and 36% of our net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While allowable service charges vary by state and loan size, a majority of our U.S. pawn loans earn 20% per month. Our average U.S. pawn loan amount typically ranges between $80 and $120 but varies depending on the valuation of each item pawned. The total U.S. loan term ranges between 60 and 120 days, consisting of the primary term and a grace period. In Mexico, pawn service charges range from 15% to 21% per month, including applicable taxes, with the majority of loans earning 21%. The total Mexico pawn loan term is 40 days, consisting of the primary term and a grace period. In fiscal 2010, 2009 and 2008, approximately 80%, 79% and 79%, respectively, of our pawn loans were redeemed in full or were renewed or extended.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Collateral for our pawn loans consists of tangible personal property, generally jewelry, consumer electronics, tools, sporting goods and musical instruments. Approximately 64% of our pawn loan collateral is jewelry, and the vast majority of that is gold jewelry. We do not evaluate the creditworthiness of a pawn customer, but rely on the estimated resale value of the collateral and the perceived probability of the loans redemption. We generally lend from 25% to 65% of the pledged propertys estimated resale value depending on an evaluation of these factors. The sources of information we use to determine the resale value of collateral include our computerized valuation software, gold values, internet retail and auction sites, catalogues, newspaper advertisements and previous sales of similar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collateral is held through the duration of the loan, which the customer may renew or extend by paying accrued pawn service charges. Through our lending guidelines, we maintain an annual redemption rate (the percentage of loans made that are repaid, renewed or extended) between 76% and 80%. If a customer does not repay, renew or extend a loan, the collateral is forfeited to us and becomes inventory available for sale. We do not record loan losses or charge-offs of pawn loans because the principal amount of an unpaid loan becomes the inventory carrying cost of the forfeited collateral. We provide an inventory valuation allowance to ensure that this forfeited collateral is valued at the lower of cost or market.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shows our dollar amount of pawn loan activity for fiscal 2010, 2009 and 2008: </w:t>
      </w:r>
    </w:p>
    <w:tbl>
      <w:tblPr>
        <w:tblW w:w="5000" w:type="pct"/>
        <w:jc w:val="center"/>
        <w:tblInd w:w="0" w:type="dxa"/>
        <w:tblCellMar>
          <w:top w:w="0" w:type="dxa"/>
          <w:left w:w="0" w:type="dxa"/>
          <w:bottom w:w="0" w:type="dxa"/>
          <w:right w:w="0" w:type="dxa"/>
        </w:tblCellMar>
      </w:tblPr>
      <w:tblGrid>
        <w:gridCol w:w="5556"/>
        <w:gridCol w:w="428"/>
        <w:gridCol w:w="170"/>
        <w:gridCol w:w="808"/>
        <w:gridCol w:w="140"/>
        <w:gridCol w:w="434"/>
        <w:gridCol w:w="170"/>
        <w:gridCol w:w="808"/>
        <w:gridCol w:w="140"/>
        <w:gridCol w:w="434"/>
        <w:gridCol w:w="170"/>
        <w:gridCol w:w="810"/>
        <w:gridCol w:w="137"/>
      </w:tblGrid>
      <w:tr>
        <w:trPr/>
        <w:tc>
          <w:tcPr>
            <w:tcW w:w="555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4084"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137" w:type="dxa"/>
            <w:tcBorders/>
            <w:shd w:fill="auto" w:val="clear"/>
            <w:vAlign w:val="bottom"/>
          </w:tcPr>
          <w:p>
            <w:pPr>
              <w:pStyle w:val="TableContents"/>
              <w:spacing w:before="0" w:after="283"/>
              <w:rPr/>
            </w:pPr>
            <w:r>
              <w:rPr/>
              <w:t> </w:t>
            </w:r>
          </w:p>
        </w:tc>
      </w:tr>
      <w:tr>
        <w:trPr/>
        <w:tc>
          <w:tcPr>
            <w:tcW w:w="555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98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37" w:type="dxa"/>
            <w:tcBorders/>
            <w:shd w:fill="auto" w:val="clear"/>
            <w:vAlign w:val="bottom"/>
          </w:tcPr>
          <w:p>
            <w:pPr>
              <w:pStyle w:val="TableContents"/>
              <w:spacing w:before="0" w:after="283"/>
              <w:rPr/>
            </w:pPr>
            <w:r>
              <w:rPr/>
              <w:t> </w:t>
            </w:r>
          </w:p>
        </w:tc>
      </w:tr>
      <w:tr>
        <w:trPr/>
        <w:tc>
          <w:tcPr>
            <w:tcW w:w="555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4084" w:type="dxa"/>
            <w:gridSpan w:val="10"/>
            <w:tcBorders/>
            <w:shd w:fill="auto" w:val="clear"/>
            <w:vAlign w:val="bottom"/>
          </w:tcPr>
          <w:p>
            <w:pPr>
              <w:pStyle w:val="TableContents"/>
              <w:spacing w:before="0" w:after="283"/>
              <w:jc w:val="center"/>
              <w:rPr>
                <w:i/>
              </w:rPr>
            </w:pPr>
            <w:r>
              <w:rPr>
                <w:i/>
              </w:rPr>
              <w:t>(in millions)</w:t>
            </w:r>
          </w:p>
        </w:tc>
        <w:tc>
          <w:tcPr>
            <w:tcW w:w="137" w:type="dxa"/>
            <w:tcBorders/>
            <w:shd w:fill="auto" w:val="clear"/>
            <w:vAlign w:val="bottom"/>
          </w:tcPr>
          <w:p>
            <w:pPr>
              <w:pStyle w:val="TableContents"/>
              <w:spacing w:before="0" w:after="283"/>
              <w:rPr/>
            </w:pPr>
            <w:r>
              <w:rPr/>
              <w:t> </w:t>
            </w:r>
          </w:p>
        </w:tc>
      </w:tr>
      <w:tr>
        <w:trPr/>
        <w:tc>
          <w:tcPr>
            <w:tcW w:w="5556" w:type="dxa"/>
            <w:tcBorders/>
            <w:shd w:fill="CCEEFF" w:val="clear"/>
            <w:vAlign w:val="bottom"/>
          </w:tcPr>
          <w:p>
            <w:pPr>
              <w:pStyle w:val="TableContents"/>
              <w:spacing w:before="0" w:after="0"/>
              <w:ind w:left="225" w:right="0" w:hanging="225"/>
              <w:rPr/>
            </w:pPr>
            <w:r>
              <w:rPr/>
              <w:t>Loans made</w:t>
            </w:r>
          </w:p>
        </w:tc>
        <w:tc>
          <w:tcPr>
            <w:tcW w:w="42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416.4</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340.3</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262.5</w:t>
            </w:r>
          </w:p>
        </w:tc>
        <w:tc>
          <w:tcPr>
            <w:tcW w:w="137" w:type="dxa"/>
            <w:tcBorders/>
            <w:shd w:fill="CCEEFF" w:val="clear"/>
            <w:vAlign w:val="bottom"/>
          </w:tcPr>
          <w:p>
            <w:pPr>
              <w:pStyle w:val="TableContents"/>
              <w:spacing w:before="0" w:after="283"/>
              <w:rPr/>
            </w:pPr>
            <w:r>
              <w:rPr/>
              <w:t> </w:t>
            </w:r>
          </w:p>
        </w:tc>
      </w:tr>
      <w:tr>
        <w:trPr/>
        <w:tc>
          <w:tcPr>
            <w:tcW w:w="5556" w:type="dxa"/>
            <w:tcBorders/>
            <w:shd w:fill="auto" w:val="clear"/>
            <w:vAlign w:val="bottom"/>
          </w:tcPr>
          <w:p>
            <w:pPr>
              <w:pStyle w:val="TableContents"/>
              <w:spacing w:before="0" w:after="0"/>
              <w:ind w:left="225" w:right="0" w:hanging="225"/>
              <w:rPr/>
            </w:pPr>
            <w:r>
              <w:rPr/>
              <w:t>Loans repaid</w:t>
            </w:r>
          </w:p>
        </w:tc>
        <w:tc>
          <w:tcPr>
            <w:tcW w:w="4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08" w:type="dxa"/>
            <w:tcBorders/>
            <w:shd w:fill="auto" w:val="clear"/>
            <w:vAlign w:val="bottom"/>
          </w:tcPr>
          <w:p>
            <w:pPr>
              <w:pStyle w:val="TableContents"/>
              <w:spacing w:before="0" w:after="283"/>
              <w:jc w:val="right"/>
              <w:rPr/>
            </w:pPr>
            <w:r>
              <w:rPr/>
              <w:t>(222.2</w:t>
            </w:r>
          </w:p>
        </w:tc>
        <w:tc>
          <w:tcPr>
            <w:tcW w:w="140"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08" w:type="dxa"/>
            <w:tcBorders/>
            <w:shd w:fill="auto" w:val="clear"/>
            <w:vAlign w:val="bottom"/>
          </w:tcPr>
          <w:p>
            <w:pPr>
              <w:pStyle w:val="TableContents"/>
              <w:spacing w:before="0" w:after="283"/>
              <w:jc w:val="right"/>
              <w:rPr/>
            </w:pPr>
            <w:r>
              <w:rPr/>
              <w:t>(181.3</w:t>
            </w:r>
          </w:p>
        </w:tc>
        <w:tc>
          <w:tcPr>
            <w:tcW w:w="140"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(136.8</w:t>
            </w:r>
          </w:p>
        </w:tc>
        <w:tc>
          <w:tcPr>
            <w:tcW w:w="137" w:type="dxa"/>
            <w:tcBorders/>
            <w:shd w:fill="auto" w:val="clear"/>
            <w:vAlign w:val="bottom"/>
          </w:tcPr>
          <w:p>
            <w:pPr>
              <w:pStyle w:val="TableContents"/>
              <w:spacing w:before="0" w:after="283"/>
              <w:rPr/>
            </w:pPr>
            <w:r>
              <w:rPr/>
              <w:t>)</w:t>
            </w:r>
          </w:p>
        </w:tc>
      </w:tr>
      <w:tr>
        <w:trPr/>
        <w:tc>
          <w:tcPr>
            <w:tcW w:w="5556" w:type="dxa"/>
            <w:tcBorders/>
            <w:shd w:fill="CCEEFF" w:val="clear"/>
            <w:vAlign w:val="bottom"/>
          </w:tcPr>
          <w:p>
            <w:pPr>
              <w:pStyle w:val="TableContents"/>
              <w:spacing w:before="0" w:after="0"/>
              <w:ind w:left="225" w:right="0" w:hanging="225"/>
              <w:rPr/>
            </w:pPr>
            <w:r>
              <w:rPr/>
              <w:t>Loans forfeited</w:t>
            </w:r>
          </w:p>
        </w:tc>
        <w:tc>
          <w:tcPr>
            <w:tcW w:w="42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8" w:type="dxa"/>
            <w:tcBorders/>
            <w:shd w:fill="CCEEFF" w:val="clear"/>
            <w:vAlign w:val="bottom"/>
          </w:tcPr>
          <w:p>
            <w:pPr>
              <w:pStyle w:val="TableContents"/>
              <w:spacing w:before="0" w:after="283"/>
              <w:jc w:val="right"/>
              <w:rPr/>
            </w:pPr>
            <w:r>
              <w:rPr/>
              <w:t>(177.8</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8" w:type="dxa"/>
            <w:tcBorders/>
            <w:shd w:fill="CCEEFF" w:val="clear"/>
            <w:vAlign w:val="bottom"/>
          </w:tcPr>
          <w:p>
            <w:pPr>
              <w:pStyle w:val="TableContents"/>
              <w:spacing w:before="0" w:after="283"/>
              <w:jc w:val="right"/>
              <w:rPr/>
            </w:pPr>
            <w:r>
              <w:rPr/>
              <w:t>(155.7</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10" w:type="dxa"/>
            <w:tcBorders/>
            <w:shd w:fill="CCEEFF" w:val="clear"/>
            <w:vAlign w:val="bottom"/>
          </w:tcPr>
          <w:p>
            <w:pPr>
              <w:pStyle w:val="TableContents"/>
              <w:spacing w:before="0" w:after="283"/>
              <w:jc w:val="right"/>
              <w:rPr/>
            </w:pPr>
            <w:r>
              <w:rPr/>
              <w:t>(113.7</w:t>
            </w:r>
          </w:p>
        </w:tc>
        <w:tc>
          <w:tcPr>
            <w:tcW w:w="137" w:type="dxa"/>
            <w:tcBorders/>
            <w:shd w:fill="CCEEFF" w:val="clear"/>
            <w:vAlign w:val="bottom"/>
          </w:tcPr>
          <w:p>
            <w:pPr>
              <w:pStyle w:val="TableContents"/>
              <w:spacing w:before="0" w:after="283"/>
              <w:rPr/>
            </w:pPr>
            <w:r>
              <w:rPr/>
              <w:t>)</w:t>
            </w:r>
          </w:p>
        </w:tc>
      </w:tr>
      <w:tr>
        <w:trPr/>
        <w:tc>
          <w:tcPr>
            <w:tcW w:w="5556" w:type="dxa"/>
            <w:tcBorders/>
            <w:shd w:fill="auto" w:val="clear"/>
            <w:vAlign w:val="bottom"/>
          </w:tcPr>
          <w:p>
            <w:pPr>
              <w:pStyle w:val="TableContents"/>
              <w:spacing w:before="0" w:after="0"/>
              <w:ind w:left="225" w:right="0" w:hanging="225"/>
              <w:rPr/>
            </w:pPr>
            <w:r>
              <w:rPr/>
              <w:t>Loans acquired in business acquisitions</w:t>
            </w:r>
          </w:p>
        </w:tc>
        <w:tc>
          <w:tcPr>
            <w:tcW w:w="4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2.7</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23.3</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3.2</w:t>
            </w:r>
          </w:p>
        </w:tc>
        <w:tc>
          <w:tcPr>
            <w:tcW w:w="137" w:type="dxa"/>
            <w:tcBorders/>
            <w:shd w:fill="auto" w:val="clear"/>
            <w:vAlign w:val="bottom"/>
          </w:tcPr>
          <w:p>
            <w:pPr>
              <w:pStyle w:val="TableContents"/>
              <w:spacing w:before="0" w:after="283"/>
              <w:rPr/>
            </w:pPr>
            <w:r>
              <w:rPr/>
              <w:t> </w:t>
            </w:r>
          </w:p>
        </w:tc>
      </w:tr>
      <w:tr>
        <w:trPr/>
        <w:tc>
          <w:tcPr>
            <w:tcW w:w="5556" w:type="dxa"/>
            <w:tcBorders/>
            <w:shd w:fill="CCEEFF" w:val="clear"/>
            <w:vAlign w:val="bottom"/>
          </w:tcPr>
          <w:p>
            <w:pPr>
              <w:pStyle w:val="TableContents"/>
              <w:spacing w:before="0" w:after="0"/>
              <w:ind w:left="225" w:right="0" w:hanging="225"/>
              <w:rPr/>
            </w:pPr>
            <w:r>
              <w:rPr/>
              <w:t>Change due to foreign currency exchange fluctuations</w:t>
            </w:r>
          </w:p>
        </w:tc>
        <w:tc>
          <w:tcPr>
            <w:tcW w:w="42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0.4</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8" w:type="dxa"/>
            <w:tcBorders/>
            <w:shd w:fill="CCEEFF" w:val="clear"/>
            <w:vAlign w:val="bottom"/>
          </w:tcPr>
          <w:p>
            <w:pPr>
              <w:pStyle w:val="TableContents"/>
              <w:spacing w:before="0" w:after="283"/>
              <w:jc w:val="right"/>
              <w:rPr/>
            </w:pPr>
            <w:r>
              <w:rPr/>
              <w:t>(0.9</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5556" w:type="dxa"/>
            <w:tcBorders/>
            <w:shd w:fill="auto" w:val="clear"/>
            <w:vAlign w:val="center"/>
          </w:tcPr>
          <w:p>
            <w:pPr>
              <w:pStyle w:val="TableContents"/>
              <w:spacing w:before="0" w:after="0"/>
              <w:ind w:left="225" w:right="0" w:hanging="225"/>
              <w:rPr/>
            </w:pPr>
            <w:r>
              <w:rPr/>
              <w:t> </w:t>
            </w:r>
          </w:p>
        </w:tc>
        <w:tc>
          <w:tcPr>
            <w:tcW w:w="428" w:type="dxa"/>
            <w:tcBorders/>
            <w:shd w:fill="auto" w:val="clear"/>
            <w:vAlign w:val="center"/>
          </w:tcPr>
          <w:p>
            <w:pPr>
              <w:pStyle w:val="TableContents"/>
              <w:spacing w:before="0" w:after="283"/>
              <w:rPr/>
            </w:pPr>
            <w:r>
              <w:rPr/>
              <w:t> </w:t>
            </w:r>
          </w:p>
        </w:tc>
        <w:tc>
          <w:tcPr>
            <w:tcW w:w="9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6" w:type="dxa"/>
            <w:tcBorders/>
            <w:shd w:fill="auto" w:val="clear"/>
            <w:vAlign w:val="bottom"/>
          </w:tcPr>
          <w:p>
            <w:pPr>
              <w:pStyle w:val="TableContents"/>
              <w:spacing w:before="0" w:after="0"/>
              <w:ind w:left="225" w:right="0" w:hanging="225"/>
              <w:rPr/>
            </w:pPr>
            <w:r>
              <w:rPr/>
              <w:t>Net increase in pawn loans outstanding at the end of the year</w:t>
            </w:r>
          </w:p>
        </w:tc>
        <w:tc>
          <w:tcPr>
            <w:tcW w:w="4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8" w:type="dxa"/>
            <w:tcBorders/>
            <w:shd w:fill="auto" w:val="clear"/>
            <w:vAlign w:val="bottom"/>
          </w:tcPr>
          <w:p>
            <w:pPr>
              <w:pStyle w:val="TableContents"/>
              <w:spacing w:before="0" w:after="283"/>
              <w:jc w:val="right"/>
              <w:rPr/>
            </w:pPr>
            <w:r>
              <w:rPr/>
              <w:t>19.5</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8" w:type="dxa"/>
            <w:tcBorders/>
            <w:shd w:fill="auto" w:val="clear"/>
            <w:vAlign w:val="bottom"/>
          </w:tcPr>
          <w:p>
            <w:pPr>
              <w:pStyle w:val="TableContents"/>
              <w:spacing w:before="0" w:after="283"/>
              <w:jc w:val="right"/>
              <w:rPr/>
            </w:pPr>
            <w:r>
              <w:rPr/>
              <w:t>25.7</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10" w:type="dxa"/>
            <w:tcBorders/>
            <w:shd w:fill="auto" w:val="clear"/>
            <w:vAlign w:val="bottom"/>
          </w:tcPr>
          <w:p>
            <w:pPr>
              <w:pStyle w:val="TableContents"/>
              <w:spacing w:before="0" w:after="283"/>
              <w:jc w:val="right"/>
              <w:rPr/>
            </w:pPr>
            <w:r>
              <w:rPr/>
              <w:t>15.2</w:t>
            </w:r>
          </w:p>
        </w:tc>
        <w:tc>
          <w:tcPr>
            <w:tcW w:w="137" w:type="dxa"/>
            <w:tcBorders/>
            <w:shd w:fill="auto" w:val="clear"/>
            <w:vAlign w:val="bottom"/>
          </w:tcPr>
          <w:p>
            <w:pPr>
              <w:pStyle w:val="TableContents"/>
              <w:spacing w:before="0" w:after="283"/>
              <w:rPr/>
            </w:pPr>
            <w:r>
              <w:rPr/>
              <w:t> </w:t>
            </w:r>
          </w:p>
        </w:tc>
      </w:tr>
      <w:tr>
        <w:trPr/>
        <w:tc>
          <w:tcPr>
            <w:tcW w:w="5556" w:type="dxa"/>
            <w:tcBorders/>
            <w:shd w:fill="auto" w:val="clear"/>
            <w:vAlign w:val="center"/>
          </w:tcPr>
          <w:p>
            <w:pPr>
              <w:pStyle w:val="TableContents"/>
              <w:spacing w:before="0" w:after="0"/>
              <w:ind w:left="225" w:right="0" w:hanging="225"/>
              <w:rPr/>
            </w:pPr>
            <w:r>
              <w:rPr/>
              <w:t> </w:t>
            </w:r>
          </w:p>
        </w:tc>
        <w:tc>
          <w:tcPr>
            <w:tcW w:w="428" w:type="dxa"/>
            <w:tcBorders/>
            <w:shd w:fill="auto" w:val="clear"/>
            <w:vAlign w:val="center"/>
          </w:tcPr>
          <w:p>
            <w:pPr>
              <w:pStyle w:val="TableContents"/>
              <w:spacing w:before="0" w:after="283"/>
              <w:rPr/>
            </w:pPr>
            <w:r>
              <w:rPr/>
              <w:t> </w:t>
            </w:r>
          </w:p>
        </w:tc>
        <w:tc>
          <w:tcPr>
            <w:tcW w:w="9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5556" w:type="dxa"/>
            <w:tcBorders/>
            <w:shd w:fill="auto" w:val="clear"/>
            <w:vAlign w:val="bottom"/>
          </w:tcPr>
          <w:p>
            <w:pPr>
              <w:pStyle w:val="TableContents"/>
              <w:spacing w:before="0" w:after="0"/>
              <w:ind w:left="225" w:right="0" w:hanging="225"/>
              <w:rPr/>
            </w:pPr>
            <w:r>
              <w:rPr/>
              <w:t> </w:t>
            </w:r>
          </w:p>
        </w:tc>
        <w:tc>
          <w:tcPr>
            <w:tcW w:w="4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5556" w:type="dxa"/>
            <w:tcBorders/>
            <w:shd w:fill="CCEEFF" w:val="clear"/>
            <w:vAlign w:val="bottom"/>
          </w:tcPr>
          <w:p>
            <w:pPr>
              <w:pStyle w:val="TableContents"/>
              <w:spacing w:before="0" w:after="0"/>
              <w:ind w:left="225" w:right="0" w:hanging="225"/>
              <w:rPr/>
            </w:pPr>
            <w:r>
              <w:rPr/>
              <w:t>Loans renewed</w:t>
            </w:r>
          </w:p>
        </w:tc>
        <w:tc>
          <w:tcPr>
            <w:tcW w:w="42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124.8</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107.1</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103.1</w:t>
            </w:r>
          </w:p>
        </w:tc>
        <w:tc>
          <w:tcPr>
            <w:tcW w:w="137" w:type="dxa"/>
            <w:tcBorders/>
            <w:shd w:fill="CCEEFF" w:val="clear"/>
            <w:vAlign w:val="bottom"/>
          </w:tcPr>
          <w:p>
            <w:pPr>
              <w:pStyle w:val="TableContents"/>
              <w:spacing w:before="0" w:after="283"/>
              <w:rPr/>
            </w:pPr>
            <w:r>
              <w:rPr/>
              <w:t> </w:t>
            </w:r>
          </w:p>
        </w:tc>
      </w:tr>
      <w:tr>
        <w:trPr/>
        <w:tc>
          <w:tcPr>
            <w:tcW w:w="5556" w:type="dxa"/>
            <w:tcBorders/>
            <w:shd w:fill="auto" w:val="clear"/>
            <w:vAlign w:val="bottom"/>
          </w:tcPr>
          <w:p>
            <w:pPr>
              <w:pStyle w:val="TableContents"/>
              <w:spacing w:before="0" w:after="0"/>
              <w:ind w:left="225" w:right="0" w:hanging="225"/>
              <w:rPr/>
            </w:pPr>
            <w:r>
              <w:rPr/>
              <w:t>Loans extended</w:t>
            </w:r>
          </w:p>
        </w:tc>
        <w:tc>
          <w:tcPr>
            <w:tcW w:w="42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8" w:type="dxa"/>
            <w:tcBorders/>
            <w:shd w:fill="auto" w:val="clear"/>
            <w:vAlign w:val="bottom"/>
          </w:tcPr>
          <w:p>
            <w:pPr>
              <w:pStyle w:val="TableContents"/>
              <w:spacing w:before="0" w:after="283"/>
              <w:jc w:val="right"/>
              <w:rPr/>
            </w:pPr>
            <w:r>
              <w:rPr/>
              <w:t>805.3</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8" w:type="dxa"/>
            <w:tcBorders/>
            <w:shd w:fill="auto" w:val="clear"/>
            <w:vAlign w:val="bottom"/>
          </w:tcPr>
          <w:p>
            <w:pPr>
              <w:pStyle w:val="TableContents"/>
              <w:spacing w:before="0" w:after="283"/>
              <w:jc w:val="right"/>
              <w:rPr/>
            </w:pPr>
            <w:r>
              <w:rPr/>
              <w:t>592.4</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10" w:type="dxa"/>
            <w:tcBorders/>
            <w:shd w:fill="auto" w:val="clear"/>
            <w:vAlign w:val="bottom"/>
          </w:tcPr>
          <w:p>
            <w:pPr>
              <w:pStyle w:val="TableContents"/>
              <w:spacing w:before="0" w:after="283"/>
              <w:jc w:val="right"/>
              <w:rPr/>
            </w:pPr>
            <w:r>
              <w:rPr/>
              <w:t>375.9</w:t>
            </w:r>
          </w:p>
        </w:tc>
        <w:tc>
          <w:tcPr>
            <w:tcW w:w="137"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redemption rate of pawn loans and the gross profit realized on the sale of forfeited collateral are dependent on the loan value of customer merchandise. Jewelry, which makes up approximately 64% of the value of collateral, can be appraised based on weight, gold content, style and value of gemstones. Other items pawned typically consist of consumer electronics, tools, sporting goods, and musical instruments. These are evaluated based on recent sales experience and the selling price of similar new merchandise, adjusted for age, wear, and obsolescence.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the time a pawn transaction is made, a pawn loan agreement (called a pawn ticket) is given to the customer. The pawn ticket shows the name and address of the pawn store and the customer, the customers identification information, the date of the loan, a detailed description of the pledged goods, the amount financed, the pawn service charge, the maturity date of the loan, the total amount that must be paid to redeem the loan and the annual percentage 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pawn stores, we acquire inventory for retail sales through pawn loan forfeitures and, to a lesser extent, through purchases of customers merchandise and purchases of new or refurbished merchandise from third party vendors.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During fiscal 2010, 2009 and 2008, we realized gross margins on sales of 37%, 37% and 40%.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Jewelry sales represent approximately half of our total sales, with the remaining sales consisting primarily of consumer electronics, tools, sporting goods and musical instruments. We believe our ability to offer quality used merchandise at prices significantly lower than original retail prices attracts value-conscious customers.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the three most recent fiscal years, sources of inventory additions were: </w:t>
      </w:r>
    </w:p>
    <w:tbl>
      <w:tblPr>
        <w:tblW w:w="5000" w:type="pct"/>
        <w:jc w:val="center"/>
        <w:tblInd w:w="0" w:type="dxa"/>
        <w:tblCellMar>
          <w:top w:w="0" w:type="dxa"/>
          <w:left w:w="0" w:type="dxa"/>
          <w:bottom w:w="0" w:type="dxa"/>
          <w:right w:w="0" w:type="dxa"/>
        </w:tblCellMar>
      </w:tblPr>
      <w:tblGrid>
        <w:gridCol w:w="4882"/>
        <w:gridCol w:w="372"/>
        <w:gridCol w:w="174"/>
        <w:gridCol w:w="797"/>
        <w:gridCol w:w="459"/>
        <w:gridCol w:w="430"/>
        <w:gridCol w:w="174"/>
        <w:gridCol w:w="797"/>
        <w:gridCol w:w="459"/>
        <w:gridCol w:w="430"/>
        <w:gridCol w:w="174"/>
        <w:gridCol w:w="802"/>
        <w:gridCol w:w="255"/>
      </w:tblGrid>
      <w:tr>
        <w:trPr/>
        <w:tc>
          <w:tcPr>
            <w:tcW w:w="488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488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4696"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255" w:type="dxa"/>
            <w:tcBorders/>
            <w:shd w:fill="auto" w:val="clear"/>
            <w:vAlign w:val="bottom"/>
          </w:tcPr>
          <w:p>
            <w:pPr>
              <w:pStyle w:val="TableContents"/>
              <w:spacing w:before="0" w:after="283"/>
              <w:rPr/>
            </w:pPr>
            <w:r>
              <w:rPr/>
              <w:t> </w:t>
            </w:r>
          </w:p>
        </w:tc>
      </w:tr>
      <w:tr>
        <w:trPr/>
        <w:tc>
          <w:tcPr>
            <w:tcW w:w="488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97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459"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97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459"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55" w:type="dxa"/>
            <w:tcBorders/>
            <w:shd w:fill="auto" w:val="clear"/>
            <w:vAlign w:val="bottom"/>
          </w:tcPr>
          <w:p>
            <w:pPr>
              <w:pStyle w:val="TableContents"/>
              <w:spacing w:before="0" w:after="283"/>
              <w:rPr/>
            </w:pPr>
            <w:r>
              <w:rPr/>
              <w:t> </w:t>
            </w:r>
          </w:p>
        </w:tc>
      </w:tr>
      <w:tr>
        <w:trPr/>
        <w:tc>
          <w:tcPr>
            <w:tcW w:w="4882" w:type="dxa"/>
            <w:tcBorders/>
            <w:shd w:fill="CCEEFF" w:val="clear"/>
            <w:vAlign w:val="bottom"/>
          </w:tcPr>
          <w:p>
            <w:pPr>
              <w:pStyle w:val="TableContents"/>
              <w:spacing w:before="0" w:after="0"/>
              <w:ind w:left="225" w:right="0" w:hanging="225"/>
              <w:rPr/>
            </w:pPr>
            <w:r>
              <w:rPr/>
              <w:t>Forfeited pawn loan collateral</w:t>
            </w:r>
          </w:p>
        </w:tc>
        <w:tc>
          <w:tcPr>
            <w:tcW w:w="37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797" w:type="dxa"/>
            <w:tcBorders/>
            <w:shd w:fill="CCEEFF" w:val="clear"/>
            <w:vAlign w:val="bottom"/>
          </w:tcPr>
          <w:p>
            <w:pPr>
              <w:pStyle w:val="TableContents"/>
              <w:spacing w:before="0" w:after="283"/>
              <w:jc w:val="right"/>
              <w:rPr/>
            </w:pPr>
            <w:r>
              <w:rPr/>
              <w:t>69</w:t>
            </w:r>
          </w:p>
        </w:tc>
        <w:tc>
          <w:tcPr>
            <w:tcW w:w="459"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797" w:type="dxa"/>
            <w:tcBorders/>
            <w:shd w:fill="CCEEFF" w:val="clear"/>
            <w:vAlign w:val="bottom"/>
          </w:tcPr>
          <w:p>
            <w:pPr>
              <w:pStyle w:val="TableContents"/>
              <w:spacing w:before="0" w:after="283"/>
              <w:jc w:val="right"/>
              <w:rPr/>
            </w:pPr>
            <w:r>
              <w:rPr/>
              <w:t>69</w:t>
            </w:r>
          </w:p>
        </w:tc>
        <w:tc>
          <w:tcPr>
            <w:tcW w:w="459"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02" w:type="dxa"/>
            <w:tcBorders/>
            <w:shd w:fill="CCEEFF" w:val="clear"/>
            <w:vAlign w:val="bottom"/>
          </w:tcPr>
          <w:p>
            <w:pPr>
              <w:pStyle w:val="TableContents"/>
              <w:spacing w:before="0" w:after="283"/>
              <w:jc w:val="right"/>
              <w:rPr/>
            </w:pPr>
            <w:r>
              <w:rPr/>
              <w:t>78</w:t>
            </w:r>
          </w:p>
        </w:tc>
        <w:tc>
          <w:tcPr>
            <w:tcW w:w="255" w:type="dxa"/>
            <w:tcBorders/>
            <w:shd w:fill="CCEEFF" w:val="clear"/>
            <w:vAlign w:val="bottom"/>
          </w:tcPr>
          <w:p>
            <w:pPr>
              <w:pStyle w:val="TableContents"/>
              <w:spacing w:before="0" w:after="283"/>
              <w:rPr/>
            </w:pPr>
            <w:r>
              <w:rPr/>
              <w:t>%</w:t>
            </w:r>
          </w:p>
        </w:tc>
      </w:tr>
      <w:tr>
        <w:trPr/>
        <w:tc>
          <w:tcPr>
            <w:tcW w:w="4882" w:type="dxa"/>
            <w:tcBorders/>
            <w:shd w:fill="auto" w:val="clear"/>
            <w:vAlign w:val="bottom"/>
          </w:tcPr>
          <w:p>
            <w:pPr>
              <w:pStyle w:val="TableContents"/>
              <w:spacing w:before="0" w:after="0"/>
              <w:ind w:left="225" w:right="0" w:hanging="225"/>
              <w:rPr/>
            </w:pPr>
            <w:r>
              <w:rPr/>
              <w:t>Purchases from customers</w:t>
            </w:r>
          </w:p>
        </w:tc>
        <w:tc>
          <w:tcPr>
            <w:tcW w:w="37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797" w:type="dxa"/>
            <w:tcBorders/>
            <w:shd w:fill="auto" w:val="clear"/>
            <w:vAlign w:val="bottom"/>
          </w:tcPr>
          <w:p>
            <w:pPr>
              <w:pStyle w:val="TableContents"/>
              <w:spacing w:before="0" w:after="283"/>
              <w:jc w:val="right"/>
              <w:rPr/>
            </w:pPr>
            <w:r>
              <w:rPr/>
              <w:t>30</w:t>
            </w:r>
          </w:p>
        </w:tc>
        <w:tc>
          <w:tcPr>
            <w:tcW w:w="459"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797" w:type="dxa"/>
            <w:tcBorders/>
            <w:shd w:fill="auto" w:val="clear"/>
            <w:vAlign w:val="bottom"/>
          </w:tcPr>
          <w:p>
            <w:pPr>
              <w:pStyle w:val="TableContents"/>
              <w:spacing w:before="0" w:after="283"/>
              <w:jc w:val="right"/>
              <w:rPr/>
            </w:pPr>
            <w:r>
              <w:rPr/>
              <w:t>22</w:t>
            </w:r>
          </w:p>
        </w:tc>
        <w:tc>
          <w:tcPr>
            <w:tcW w:w="459"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802" w:type="dxa"/>
            <w:tcBorders/>
            <w:shd w:fill="auto" w:val="clear"/>
            <w:vAlign w:val="bottom"/>
          </w:tcPr>
          <w:p>
            <w:pPr>
              <w:pStyle w:val="TableContents"/>
              <w:spacing w:before="0" w:after="283"/>
              <w:jc w:val="right"/>
              <w:rPr/>
            </w:pPr>
            <w:r>
              <w:rPr/>
              <w:t>21</w:t>
            </w:r>
          </w:p>
        </w:tc>
        <w:tc>
          <w:tcPr>
            <w:tcW w:w="255" w:type="dxa"/>
            <w:tcBorders/>
            <w:shd w:fill="auto" w:val="clear"/>
            <w:vAlign w:val="bottom"/>
          </w:tcPr>
          <w:p>
            <w:pPr>
              <w:pStyle w:val="TableContents"/>
              <w:spacing w:before="0" w:after="283"/>
              <w:rPr/>
            </w:pPr>
            <w:r>
              <w:rPr/>
              <w:t>%</w:t>
            </w:r>
          </w:p>
        </w:tc>
      </w:tr>
      <w:tr>
        <w:trPr/>
        <w:tc>
          <w:tcPr>
            <w:tcW w:w="4882" w:type="dxa"/>
            <w:tcBorders/>
            <w:shd w:fill="CCEEFF" w:val="clear"/>
            <w:vAlign w:val="bottom"/>
          </w:tcPr>
          <w:p>
            <w:pPr>
              <w:pStyle w:val="TableContents"/>
              <w:spacing w:before="0" w:after="0"/>
              <w:ind w:left="225" w:right="0" w:hanging="225"/>
              <w:rPr/>
            </w:pPr>
            <w:r>
              <w:rPr/>
              <w:t>Acquired in business acquisitions</w:t>
            </w:r>
          </w:p>
        </w:tc>
        <w:tc>
          <w:tcPr>
            <w:tcW w:w="37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797" w:type="dxa"/>
            <w:tcBorders/>
            <w:shd w:fill="CCEEFF" w:val="clear"/>
            <w:vAlign w:val="bottom"/>
          </w:tcPr>
          <w:p>
            <w:pPr>
              <w:pStyle w:val="TableContents"/>
              <w:spacing w:before="0" w:after="283"/>
              <w:jc w:val="right"/>
              <w:rPr/>
            </w:pPr>
            <w:r>
              <w:rPr/>
              <w:t>1</w:t>
            </w:r>
          </w:p>
        </w:tc>
        <w:tc>
          <w:tcPr>
            <w:tcW w:w="459"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797" w:type="dxa"/>
            <w:tcBorders/>
            <w:shd w:fill="CCEEFF" w:val="clear"/>
            <w:vAlign w:val="bottom"/>
          </w:tcPr>
          <w:p>
            <w:pPr>
              <w:pStyle w:val="TableContents"/>
              <w:spacing w:before="0" w:after="283"/>
              <w:jc w:val="right"/>
              <w:rPr/>
            </w:pPr>
            <w:r>
              <w:rPr/>
              <w:t>9</w:t>
            </w:r>
          </w:p>
        </w:tc>
        <w:tc>
          <w:tcPr>
            <w:tcW w:w="459"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02" w:type="dxa"/>
            <w:tcBorders/>
            <w:shd w:fill="CCEEFF" w:val="clear"/>
            <w:vAlign w:val="bottom"/>
          </w:tcPr>
          <w:p>
            <w:pPr>
              <w:pStyle w:val="TableContents"/>
              <w:spacing w:before="0" w:after="283"/>
              <w:jc w:val="right"/>
              <w:rPr/>
            </w:pPr>
            <w:r>
              <w:rPr/>
              <w:t>1</w:t>
            </w:r>
          </w:p>
        </w:tc>
        <w:tc>
          <w:tcPr>
            <w:tcW w:w="255" w:type="dxa"/>
            <w:tcBorders/>
            <w:shd w:fill="CCEEFF"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fiscal 2010, 2009 and 2008, retail activities and jewelry scrapping (sales of precious metals and gemstones to refiners and gemstone wholesalers) accounted for approximately 55%, 54% and 51% of our total revenues, or 33% of our net revenues in each year, after deducting the cost of goods sold. As a significant portion of our inventory and sales involve gold jewelry, our results can be heavily influenced by the market price of gold, which has increased over the past several years.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Customers may purchase an extended return plan (called a product protection plan) that allows them to return or exchange certain general (non-jewelry) merchandise sold through our retail pawn operations within three to six months of purchase. We recognize the fees for this service as revenue ratably over the three to six month period. We also offer a jewelry VIP package, which guarantees customers a minimum future pawn loan amount on the item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sold, allows them full credit if they trade in the item to purchase a more expensive piece of jewelry, and provides minor repair service on the item sold. These fees are recognized upon sale. Customers may also purchase an item on layaway by paying a minimum layaway deposit of typically 10% to 20% of the items sale price. We hold the item for a 60 to 180-day period, during which the customer is required to pay the balance of the sales price. The initial deposit and subsequent payments are recorded as customer layaway deposits. Layaways are recorded as sales when paid in full. As of September 30, 2010, we held $6.1 million in customer layaway deposits. We record product protection, jewelry VIP and layaway fees as other revenue.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overall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7.4% of gross inventory at September 30, 2010 compared to 8.2% at September 30, 2009. The lower valuation allowance is reflective of the improvement in the aging of inventory, with 12.0% aged greater than one year at September 30, 2010 compared to 14.5% at September 30, 2009.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Short-Term Consumer Loan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offer a variety of loan products and credit services to customers who do not have access to other sources of credit. Many customers find our loan products a more attractive alternative than borrowing from friends or family or incurring insufficient fund fees, overdraft protection fees, utility reconnect fees and other charges imposed when they have insufficient cash. Customers can exercise greater control of their personal finances without damaging the relationship they have with their merchants, service providers and family members.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specific loan products offered varies by location, but generally include some or all of the following: </w:t>
      </w:r>
    </w:p>
    <w:p>
      <w:pPr>
        <w:pStyle w:val="TextBody"/>
        <w:spacing w:before="120" w:after="283"/>
        <w:jc w:val="left"/>
        <w:rPr/>
      </w:pPr>
      <w:r>
        <w:rPr/>
        <w:t>     </w:t>
      </w:r>
      <w:r>
        <w:rPr>
          <w:rFonts w:ascii="Times New Roman;Times;serif" w:hAnsi="Times New Roman;Times;serif"/>
          <w:i/>
          <w:sz w:val="17"/>
        </w:rPr>
        <w:t xml:space="preserve">Signature Loans </w:t>
      </w:r>
      <w:r>
        <w:rPr>
          <w:rFonts w:ascii="Times New Roman;Times;serif" w:hAnsi="Times New Roman;Times;serif"/>
          <w:sz w:val="17"/>
        </w:rPr>
        <w:t xml:space="preserve"> We offer two principal types of signature loans: </w:t>
      </w:r>
    </w:p>
    <w:tbl>
      <w:tblPr>
        <w:tblW w:w="5000" w:type="pct"/>
        <w:jc w:val="left"/>
        <w:tblInd w:w="0" w:type="dxa"/>
        <w:tblCellMar>
          <w:top w:w="0" w:type="dxa"/>
          <w:left w:w="0" w:type="dxa"/>
          <w:bottom w:w="0" w:type="dxa"/>
          <w:right w:w="0" w:type="dxa"/>
        </w:tblCellMar>
      </w:tblPr>
      <w:tblGrid>
        <w:gridCol w:w="304"/>
        <w:gridCol w:w="210"/>
        <w:gridCol w:w="103"/>
        <w:gridCol w:w="9588"/>
      </w:tblGrid>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t>Payday loans  Payday loans are short-term loans (generally less than 30 days and averaging about 16 days) with due dates corresponding to the customers next payday. Principal amounts of payday loans can be up to $1,500, but average approximately $430. We typically charge a fee of 15% to 22% of the loan amount for a 7 to 23-day period.</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t>Installment loans  Outside Colorado, installment loans typically carry a term of five months, with ten equal installment payments due on the customers paydays. On those loans, we typically charge a fee of 10% of the initial loan amount with each semi-monthly or bi-weekly installment payment. Outside Colorado, loan principal amounts range from $525 to $3,000 but average approximately $1,300. In August 2010, we stopped offering payday loans in Colorado because of a legislative change and instead began offering six-month installment loans ranging from $100 to $500 in principal, with a 45% annual interest rate plus certain permitted finance charges and maintenance fees. Including loans made in Colorado, the loan principal amount of installment loans made after introducing installment loans in Colorado averaged approximately $500.</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Auto title loans </w:t>
      </w:r>
      <w:r>
        <w:rPr>
          <w:rFonts w:ascii="Times New Roman;Times;serif" w:hAnsi="Times New Roman;Times;serif"/>
          <w:sz w:val="17"/>
        </w:rPr>
        <w:t xml:space="preserve"> Auto title loans are 30-day loans collateralized by the titles to customers automobiles. The principal amount of an auto title loan can be up to $9,000, but averages about $650. Loan amounts are established based on customers income levels, an inspection of the automobile and title and reference to market values of used automobiles. For each auto title loan, we charge a fee of 12.5% to 25% of the loan amount.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Texas stores, we do not offer signature loans or auto title loans themselves, but offer fee-based credit services to customers seeking loans. In these locations, we act as a credit services organization (or CSO) on behalf of customers in accordance with applicable state laws, and offer advice and assistance to customers in obtaining loans from unaffiliated lenders. Our services include arranging loans with independent third-party lenders, assisting in the preparation of loan applications and loan documents, and accepting loan payments for the lenders. We do not make, fund or participate in the loans made by the lenders, but we assist customers in obtaining credit and enhance their creditworthiness by issuing a letter of credit to guarantee the customers payment obligations to the independent third-party lender. For credit services in connection with arranging a payday loan (average loan amount of about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$550), our fee is 20% of the loan amount. For credit services in connection with arranging an installment loan (average loan amount of about $2,060), our fee is 10% of the initial loan amount with each semi-monthly or bi-weekly installment payment. For credit services in connection with arranging an auto title loan (average loan amount of about $780), the fee is 25% of the loan amount.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loan is considered defaulted if it has not been repaid or renewed by the maturity date or, in the case of installment loans, when the customer has failed to make two consecutive installment payments. Although defaulted loans may be collected later, we charge the loan principal to bad debt upon default, leaving only active loans in the reported balance. Subsequent collections of principal are recorded as a reduction of bad debt at the time of collection. Accrued service charges related to defaulted loans are deducted from service charge revenue upon loan default, and increase service charge revenue upon subsequent collection. We provide for a valuation allowance on both the principal and service charges receivable based on recent default and collection experience. Our signature loan balance represents the principal amount of all active (non-defaulted) loans, net of this valuation allowance.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a credit service customer defaults on a loan, we pay the lender the principal and accrued interest due under the loan and an insufficient funds fee or late fee and charge those amounts to bad debt expense. We then attempt to collect those amounts from the customer. Subsequent recoveries are recorded as a reduction of bad debt at the time of collection. We also record as bad debt expense an accrual of expected losses for principal, interest and insufficient fund fees and late fees we expect to pay the lenders on default of the lenders current loans. This estimate is based on recent default and collection experience and the amount of loans the lenders have outstanding.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shows the dollar amount of our signature loan activity for fiscal 2010, 2009 and 2008. For purposes of this table, signature loan balances include the principal portion of payday loans and installment loans (net of valuation allowance) recorded on our balance sheet and the principal portion of such active brokered loans outstanding from unaffiliated lenders, which is not included on our balance sheet. In fiscal 2010, new loans were renewed 1.8 times on average, down from 1.9 times in fiscal 2009 and 2.1 times in fiscal 2008. </w:t>
      </w:r>
    </w:p>
    <w:tbl>
      <w:tblPr>
        <w:tblW w:w="5000" w:type="pct"/>
        <w:jc w:val="center"/>
        <w:tblInd w:w="0" w:type="dxa"/>
        <w:tblCellMar>
          <w:top w:w="0" w:type="dxa"/>
          <w:left w:w="0" w:type="dxa"/>
          <w:bottom w:w="0" w:type="dxa"/>
          <w:right w:w="0" w:type="dxa"/>
        </w:tblCellMar>
      </w:tblPr>
      <w:tblGrid>
        <w:gridCol w:w="5553"/>
        <w:gridCol w:w="427"/>
        <w:gridCol w:w="170"/>
        <w:gridCol w:w="809"/>
        <w:gridCol w:w="140"/>
        <w:gridCol w:w="434"/>
        <w:gridCol w:w="170"/>
        <w:gridCol w:w="809"/>
        <w:gridCol w:w="140"/>
        <w:gridCol w:w="434"/>
        <w:gridCol w:w="170"/>
        <w:gridCol w:w="811"/>
        <w:gridCol w:w="138"/>
      </w:tblGrid>
      <w:tr>
        <w:trPr/>
        <w:tc>
          <w:tcPr>
            <w:tcW w:w="555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4087"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138" w:type="dxa"/>
            <w:tcBorders/>
            <w:shd w:fill="auto"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97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97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98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38" w:type="dxa"/>
            <w:tcBorders/>
            <w:shd w:fill="auto"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4087" w:type="dxa"/>
            <w:gridSpan w:val="10"/>
            <w:tcBorders/>
            <w:shd w:fill="auto" w:val="clear"/>
            <w:vAlign w:val="bottom"/>
          </w:tcPr>
          <w:p>
            <w:pPr>
              <w:pStyle w:val="TableContents"/>
              <w:spacing w:before="0" w:after="283"/>
              <w:jc w:val="center"/>
              <w:rPr>
                <w:i/>
              </w:rPr>
            </w:pPr>
            <w:r>
              <w:rPr>
                <w:i/>
              </w:rPr>
              <w:t>(in millions)</w:t>
            </w:r>
          </w:p>
        </w:tc>
        <w:tc>
          <w:tcPr>
            <w:tcW w:w="138" w:type="dxa"/>
            <w:tcBorders/>
            <w:shd w:fill="auto" w:val="clear"/>
            <w:vAlign w:val="bottom"/>
          </w:tcPr>
          <w:p>
            <w:pPr>
              <w:pStyle w:val="TableContents"/>
              <w:spacing w:before="0" w:after="283"/>
              <w:rPr/>
            </w:pPr>
            <w:r>
              <w:rPr/>
              <w:t> </w:t>
            </w:r>
          </w:p>
        </w:tc>
      </w:tr>
      <w:tr>
        <w:trPr/>
        <w:tc>
          <w:tcPr>
            <w:tcW w:w="5553" w:type="dxa"/>
            <w:tcBorders/>
            <w:shd w:fill="CCEEFF" w:val="clear"/>
            <w:vAlign w:val="bottom"/>
          </w:tcPr>
          <w:p>
            <w:pPr>
              <w:pStyle w:val="TableContents"/>
              <w:spacing w:before="0" w:after="0"/>
              <w:ind w:left="225" w:right="0" w:hanging="225"/>
              <w:rPr>
                <w:b/>
                <w:i/>
              </w:rPr>
            </w:pPr>
            <w:r>
              <w:rPr>
                <w:b/>
                <w:i/>
              </w:rPr>
              <w:t>Combined signature loans:</w:t>
            </w:r>
          </w:p>
        </w:tc>
        <w:tc>
          <w:tcPr>
            <w:tcW w:w="42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0"/>
              <w:ind w:left="675" w:right="0" w:hanging="225"/>
              <w:rPr/>
            </w:pPr>
            <w:r>
              <w:rPr/>
              <w:t>Loans made</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233.8</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217.3</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204.4</w:t>
            </w:r>
          </w:p>
        </w:tc>
        <w:tc>
          <w:tcPr>
            <w:tcW w:w="138" w:type="dxa"/>
            <w:tcBorders/>
            <w:shd w:fill="auto" w:val="clear"/>
            <w:vAlign w:val="bottom"/>
          </w:tcPr>
          <w:p>
            <w:pPr>
              <w:pStyle w:val="TableContents"/>
              <w:spacing w:before="0" w:after="283"/>
              <w:rPr/>
            </w:pPr>
            <w:r>
              <w:rPr/>
              <w:t> </w:t>
            </w:r>
          </w:p>
        </w:tc>
      </w:tr>
      <w:tr>
        <w:trPr/>
        <w:tc>
          <w:tcPr>
            <w:tcW w:w="5553" w:type="dxa"/>
            <w:tcBorders/>
            <w:shd w:fill="CCEEFF" w:val="clear"/>
            <w:vAlign w:val="bottom"/>
          </w:tcPr>
          <w:p>
            <w:pPr>
              <w:pStyle w:val="TableContents"/>
              <w:spacing w:before="0" w:after="0"/>
              <w:ind w:left="675" w:right="0" w:hanging="225"/>
              <w:rPr/>
            </w:pPr>
            <w:r>
              <w:rPr/>
              <w:t>Loans repaid</w:t>
            </w:r>
          </w:p>
        </w:tc>
        <w:tc>
          <w:tcPr>
            <w:tcW w:w="42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(200.7</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(184.0</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pPr>
            <w:r>
              <w:rPr/>
              <w:t>(167.5</w:t>
            </w:r>
          </w:p>
        </w:tc>
        <w:tc>
          <w:tcPr>
            <w:tcW w:w="138" w:type="dxa"/>
            <w:tcBorders/>
            <w:shd w:fill="CCEEFF" w:val="clear"/>
            <w:vAlign w:val="bottom"/>
          </w:tcPr>
          <w:p>
            <w:pPr>
              <w:pStyle w:val="TableContents"/>
              <w:spacing w:before="0" w:after="283"/>
              <w:rPr/>
            </w:pPr>
            <w:r>
              <w:rPr/>
              <w:t>)</w:t>
            </w:r>
          </w:p>
        </w:tc>
      </w:tr>
      <w:tr>
        <w:trPr/>
        <w:tc>
          <w:tcPr>
            <w:tcW w:w="5553" w:type="dxa"/>
            <w:tcBorders/>
            <w:shd w:fill="auto" w:val="clear"/>
            <w:vAlign w:val="bottom"/>
          </w:tcPr>
          <w:p>
            <w:pPr>
              <w:pStyle w:val="TableContents"/>
              <w:spacing w:before="0" w:after="0"/>
              <w:ind w:left="675" w:right="0" w:hanging="225"/>
              <w:rPr/>
            </w:pPr>
            <w:r>
              <w:rPr/>
              <w:t>Loans forfeited, net of collections on bad debt</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(30.7</w:t>
            </w:r>
          </w:p>
        </w:tc>
        <w:tc>
          <w:tcPr>
            <w:tcW w:w="140"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(32.6</w:t>
            </w:r>
          </w:p>
        </w:tc>
        <w:tc>
          <w:tcPr>
            <w:tcW w:w="140"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11" w:type="dxa"/>
            <w:tcBorders/>
            <w:shd w:fill="auto" w:val="clear"/>
            <w:vAlign w:val="bottom"/>
          </w:tcPr>
          <w:p>
            <w:pPr>
              <w:pStyle w:val="TableContents"/>
              <w:spacing w:before="0" w:after="283"/>
              <w:jc w:val="right"/>
              <w:rPr/>
            </w:pPr>
            <w:r>
              <w:rPr/>
              <w:t>(34.3</w:t>
            </w:r>
          </w:p>
        </w:tc>
        <w:tc>
          <w:tcPr>
            <w:tcW w:w="138" w:type="dxa"/>
            <w:tcBorders/>
            <w:shd w:fill="auto" w:val="clear"/>
            <w:vAlign w:val="bottom"/>
          </w:tcPr>
          <w:p>
            <w:pPr>
              <w:pStyle w:val="TableContents"/>
              <w:spacing w:before="0" w:after="283"/>
              <w:rPr/>
            </w:pPr>
            <w:r>
              <w:rPr/>
              <w:t>)</w:t>
            </w:r>
          </w:p>
        </w:tc>
      </w:tr>
      <w:tr>
        <w:trPr/>
        <w:tc>
          <w:tcPr>
            <w:tcW w:w="5553" w:type="dxa"/>
            <w:tcBorders/>
            <w:shd w:fill="auto" w:val="clear"/>
            <w:vAlign w:val="center"/>
          </w:tcPr>
          <w:p>
            <w:pPr>
              <w:pStyle w:val="TableContents"/>
              <w:spacing w:before="0" w:after="0"/>
              <w:ind w:left="225" w:right="0" w:hanging="225"/>
              <w:rPr/>
            </w:pPr>
            <w:r>
              <w:rPr/>
              <w:t> </w:t>
            </w:r>
          </w:p>
        </w:tc>
        <w:tc>
          <w:tcPr>
            <w:tcW w:w="427"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553" w:type="dxa"/>
            <w:tcBorders/>
            <w:shd w:fill="CCEEFF" w:val="clear"/>
            <w:vAlign w:val="bottom"/>
          </w:tcPr>
          <w:p>
            <w:pPr>
              <w:pStyle w:val="TableContents"/>
              <w:spacing w:before="0" w:after="0"/>
              <w:ind w:left="675" w:right="0" w:hanging="225"/>
              <w:rPr/>
            </w:pPr>
            <w:r>
              <w:rPr/>
              <w:t>Net increase in signature loans outstanding at the end of the year</w:t>
            </w:r>
          </w:p>
        </w:tc>
        <w:tc>
          <w:tcPr>
            <w:tcW w:w="42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2.4</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0.7</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2.6</w:t>
            </w:r>
          </w:p>
        </w:tc>
        <w:tc>
          <w:tcPr>
            <w:tcW w:w="138" w:type="dxa"/>
            <w:tcBorders/>
            <w:shd w:fill="CCEEFF" w:val="clear"/>
            <w:vAlign w:val="bottom"/>
          </w:tcPr>
          <w:p>
            <w:pPr>
              <w:pStyle w:val="TableContents"/>
              <w:spacing w:before="0" w:after="283"/>
              <w:rPr/>
            </w:pPr>
            <w:r>
              <w:rPr/>
              <w:t> </w:t>
            </w:r>
          </w:p>
        </w:tc>
      </w:tr>
      <w:tr>
        <w:trPr/>
        <w:tc>
          <w:tcPr>
            <w:tcW w:w="5553" w:type="dxa"/>
            <w:tcBorders/>
            <w:shd w:fill="auto" w:val="clear"/>
            <w:vAlign w:val="center"/>
          </w:tcPr>
          <w:p>
            <w:pPr>
              <w:pStyle w:val="TableContents"/>
              <w:spacing w:before="0" w:after="0"/>
              <w:ind w:left="225" w:right="0" w:hanging="225"/>
              <w:rPr/>
            </w:pPr>
            <w:r>
              <w:rPr/>
              <w:t> </w:t>
            </w:r>
          </w:p>
        </w:tc>
        <w:tc>
          <w:tcPr>
            <w:tcW w:w="427"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553" w:type="dxa"/>
            <w:tcBorders/>
            <w:shd w:fill="auto" w:val="clear"/>
            <w:vAlign w:val="bottom"/>
          </w:tcPr>
          <w:p>
            <w:pPr>
              <w:pStyle w:val="TableContents"/>
              <w:spacing w:before="0" w:after="0"/>
              <w:ind w:left="225" w:right="0" w:hanging="225"/>
              <w:rPr/>
            </w:pPr>
            <w:r>
              <w:rPr/>
              <w:t> </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0"/>
              <w:ind w:left="675" w:right="0" w:hanging="225"/>
              <w:rPr/>
            </w:pPr>
            <w:r>
              <w:rPr/>
              <w:t>Loans renewed</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425.5</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437.6</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449.9</w:t>
            </w:r>
          </w:p>
        </w:tc>
        <w:tc>
          <w:tcPr>
            <w:tcW w:w="138" w:type="dxa"/>
            <w:tcBorders/>
            <w:shd w:fill="auto"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0"/>
              <w:ind w:left="225" w:right="0" w:hanging="225"/>
              <w:rPr/>
            </w:pPr>
            <w:r>
              <w:rPr/>
              <w:t> </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553" w:type="dxa"/>
            <w:tcBorders/>
            <w:shd w:fill="CCEEFF" w:val="clear"/>
            <w:vAlign w:val="bottom"/>
          </w:tcPr>
          <w:p>
            <w:pPr>
              <w:pStyle w:val="TableContents"/>
              <w:spacing w:before="0" w:after="0"/>
              <w:ind w:left="225" w:right="0" w:hanging="225"/>
              <w:rPr>
                <w:b/>
                <w:i/>
              </w:rPr>
            </w:pPr>
            <w:r>
              <w:rPr>
                <w:b/>
                <w:i/>
              </w:rPr>
              <w:t>Loans made by unaffiliated lenders (credit services only):</w:t>
            </w:r>
          </w:p>
        </w:tc>
        <w:tc>
          <w:tcPr>
            <w:tcW w:w="42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0"/>
              <w:ind w:left="675" w:right="0" w:hanging="225"/>
              <w:rPr/>
            </w:pPr>
            <w:r>
              <w:rPr/>
              <w:t>Loans made</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114.0</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114.0</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122.4</w:t>
            </w:r>
          </w:p>
        </w:tc>
        <w:tc>
          <w:tcPr>
            <w:tcW w:w="138" w:type="dxa"/>
            <w:tcBorders/>
            <w:shd w:fill="auto" w:val="clear"/>
            <w:vAlign w:val="bottom"/>
          </w:tcPr>
          <w:p>
            <w:pPr>
              <w:pStyle w:val="TableContents"/>
              <w:spacing w:before="0" w:after="283"/>
              <w:rPr/>
            </w:pPr>
            <w:r>
              <w:rPr/>
              <w:t> </w:t>
            </w:r>
          </w:p>
        </w:tc>
      </w:tr>
      <w:tr>
        <w:trPr/>
        <w:tc>
          <w:tcPr>
            <w:tcW w:w="5553" w:type="dxa"/>
            <w:tcBorders/>
            <w:shd w:fill="CCEEFF" w:val="clear"/>
            <w:vAlign w:val="bottom"/>
          </w:tcPr>
          <w:p>
            <w:pPr>
              <w:pStyle w:val="TableContents"/>
              <w:spacing w:before="0" w:after="0"/>
              <w:ind w:left="675" w:right="0" w:hanging="225"/>
              <w:rPr/>
            </w:pPr>
            <w:r>
              <w:rPr/>
              <w:t>Loans repaid</w:t>
            </w:r>
          </w:p>
        </w:tc>
        <w:tc>
          <w:tcPr>
            <w:tcW w:w="42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(92.5</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(90.6</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pPr>
            <w:r>
              <w:rPr/>
              <w:t>(96.5</w:t>
            </w:r>
          </w:p>
        </w:tc>
        <w:tc>
          <w:tcPr>
            <w:tcW w:w="138" w:type="dxa"/>
            <w:tcBorders/>
            <w:shd w:fill="CCEEFF" w:val="clear"/>
            <w:vAlign w:val="bottom"/>
          </w:tcPr>
          <w:p>
            <w:pPr>
              <w:pStyle w:val="TableContents"/>
              <w:spacing w:before="0" w:after="283"/>
              <w:rPr/>
            </w:pPr>
            <w:r>
              <w:rPr/>
              <w:t>)</w:t>
            </w:r>
          </w:p>
        </w:tc>
      </w:tr>
      <w:tr>
        <w:trPr/>
        <w:tc>
          <w:tcPr>
            <w:tcW w:w="5553" w:type="dxa"/>
            <w:tcBorders/>
            <w:shd w:fill="auto" w:val="clear"/>
            <w:vAlign w:val="bottom"/>
          </w:tcPr>
          <w:p>
            <w:pPr>
              <w:pStyle w:val="TableContents"/>
              <w:spacing w:before="0" w:after="0"/>
              <w:ind w:left="675" w:right="0" w:hanging="225"/>
              <w:rPr/>
            </w:pPr>
            <w:r>
              <w:rPr/>
              <w:t>Loans forfeited, net of collections on bad debt</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(21.5</w:t>
            </w:r>
          </w:p>
        </w:tc>
        <w:tc>
          <w:tcPr>
            <w:tcW w:w="140"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(23.9</w:t>
            </w:r>
          </w:p>
        </w:tc>
        <w:tc>
          <w:tcPr>
            <w:tcW w:w="140"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11" w:type="dxa"/>
            <w:tcBorders/>
            <w:shd w:fill="auto" w:val="clear"/>
            <w:vAlign w:val="bottom"/>
          </w:tcPr>
          <w:p>
            <w:pPr>
              <w:pStyle w:val="TableContents"/>
              <w:spacing w:before="0" w:after="283"/>
              <w:jc w:val="right"/>
              <w:rPr/>
            </w:pPr>
            <w:r>
              <w:rPr/>
              <w:t>(25.6</w:t>
            </w:r>
          </w:p>
        </w:tc>
        <w:tc>
          <w:tcPr>
            <w:tcW w:w="138" w:type="dxa"/>
            <w:tcBorders/>
            <w:shd w:fill="auto" w:val="clear"/>
            <w:vAlign w:val="bottom"/>
          </w:tcPr>
          <w:p>
            <w:pPr>
              <w:pStyle w:val="TableContents"/>
              <w:spacing w:before="0" w:after="283"/>
              <w:rPr/>
            </w:pPr>
            <w:r>
              <w:rPr/>
              <w:t>)</w:t>
            </w:r>
          </w:p>
        </w:tc>
      </w:tr>
      <w:tr>
        <w:trPr/>
        <w:tc>
          <w:tcPr>
            <w:tcW w:w="5553" w:type="dxa"/>
            <w:tcBorders/>
            <w:shd w:fill="auto" w:val="clear"/>
            <w:vAlign w:val="center"/>
          </w:tcPr>
          <w:p>
            <w:pPr>
              <w:pStyle w:val="TableContents"/>
              <w:spacing w:before="0" w:after="0"/>
              <w:ind w:left="225" w:right="0" w:hanging="225"/>
              <w:rPr/>
            </w:pPr>
            <w:r>
              <w:rPr/>
              <w:t> </w:t>
            </w:r>
          </w:p>
        </w:tc>
        <w:tc>
          <w:tcPr>
            <w:tcW w:w="427"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553" w:type="dxa"/>
            <w:tcBorders/>
            <w:shd w:fill="CCEEFF" w:val="clear"/>
            <w:vAlign w:val="bottom"/>
          </w:tcPr>
          <w:p>
            <w:pPr>
              <w:pStyle w:val="TableContents"/>
              <w:spacing w:before="0" w:after="0"/>
              <w:ind w:left="675" w:right="0" w:hanging="225"/>
              <w:rPr/>
            </w:pPr>
            <w:r>
              <w:rPr/>
              <w:t>Net increase in loans outstanding at the end of the year</w:t>
            </w:r>
          </w:p>
        </w:tc>
        <w:tc>
          <w:tcPr>
            <w:tcW w:w="42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(0.5</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0.3</w:t>
            </w:r>
          </w:p>
        </w:tc>
        <w:tc>
          <w:tcPr>
            <w:tcW w:w="138" w:type="dxa"/>
            <w:tcBorders/>
            <w:shd w:fill="CCEEFF" w:val="clear"/>
            <w:vAlign w:val="bottom"/>
          </w:tcPr>
          <w:p>
            <w:pPr>
              <w:pStyle w:val="TableContents"/>
              <w:spacing w:before="0" w:after="283"/>
              <w:rPr/>
            </w:pPr>
            <w:r>
              <w:rPr/>
              <w:t> </w:t>
            </w:r>
          </w:p>
        </w:tc>
      </w:tr>
      <w:tr>
        <w:trPr/>
        <w:tc>
          <w:tcPr>
            <w:tcW w:w="5553" w:type="dxa"/>
            <w:tcBorders/>
            <w:shd w:fill="auto" w:val="clear"/>
            <w:vAlign w:val="center"/>
          </w:tcPr>
          <w:p>
            <w:pPr>
              <w:pStyle w:val="TableContents"/>
              <w:spacing w:before="0" w:after="0"/>
              <w:ind w:left="225" w:right="0" w:hanging="225"/>
              <w:rPr/>
            </w:pPr>
            <w:r>
              <w:rPr/>
              <w:t> </w:t>
            </w:r>
          </w:p>
        </w:tc>
        <w:tc>
          <w:tcPr>
            <w:tcW w:w="427"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553" w:type="dxa"/>
            <w:tcBorders/>
            <w:shd w:fill="auto" w:val="clear"/>
            <w:vAlign w:val="bottom"/>
          </w:tcPr>
          <w:p>
            <w:pPr>
              <w:pStyle w:val="TableContents"/>
              <w:spacing w:before="0" w:after="0"/>
              <w:ind w:left="225" w:right="0" w:hanging="225"/>
              <w:rPr/>
            </w:pPr>
            <w:r>
              <w:rPr/>
              <w:t> </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0"/>
              <w:ind w:left="675" w:right="0" w:hanging="225"/>
              <w:rPr/>
            </w:pPr>
            <w:r>
              <w:rPr/>
              <w:t>Loans renewed</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364.1</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366.7</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392.8</w:t>
            </w:r>
          </w:p>
        </w:tc>
        <w:tc>
          <w:tcPr>
            <w:tcW w:w="138" w:type="dxa"/>
            <w:tcBorders/>
            <w:shd w:fill="auto"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0"/>
              <w:ind w:left="225" w:right="0" w:hanging="225"/>
              <w:rPr/>
            </w:pPr>
            <w:r>
              <w:rPr/>
              <w:t> </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553" w:type="dxa"/>
            <w:tcBorders/>
            <w:shd w:fill="CCEEFF" w:val="clear"/>
            <w:vAlign w:val="bottom"/>
          </w:tcPr>
          <w:p>
            <w:pPr>
              <w:pStyle w:val="TableContents"/>
              <w:spacing w:before="0" w:after="0"/>
              <w:ind w:left="225" w:right="0" w:hanging="225"/>
              <w:rPr>
                <w:b/>
                <w:i/>
              </w:rPr>
            </w:pPr>
            <w:r>
              <w:rPr>
                <w:b/>
                <w:i/>
              </w:rPr>
              <w:t>Loans made by us:</w:t>
            </w:r>
          </w:p>
        </w:tc>
        <w:tc>
          <w:tcPr>
            <w:tcW w:w="42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0"/>
              <w:ind w:left="675" w:right="0" w:hanging="225"/>
              <w:rPr/>
            </w:pPr>
            <w:r>
              <w:rPr/>
              <w:t>Loans made</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119.8</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103.3</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82.0</w:t>
            </w:r>
          </w:p>
        </w:tc>
        <w:tc>
          <w:tcPr>
            <w:tcW w:w="138" w:type="dxa"/>
            <w:tcBorders/>
            <w:shd w:fill="auto" w:val="clear"/>
            <w:vAlign w:val="bottom"/>
          </w:tcPr>
          <w:p>
            <w:pPr>
              <w:pStyle w:val="TableContents"/>
              <w:spacing w:before="0" w:after="283"/>
              <w:rPr/>
            </w:pPr>
            <w:r>
              <w:rPr/>
              <w:t> </w:t>
            </w:r>
          </w:p>
        </w:tc>
      </w:tr>
      <w:tr>
        <w:trPr/>
        <w:tc>
          <w:tcPr>
            <w:tcW w:w="5553" w:type="dxa"/>
            <w:tcBorders/>
            <w:shd w:fill="CCEEFF" w:val="clear"/>
            <w:vAlign w:val="bottom"/>
          </w:tcPr>
          <w:p>
            <w:pPr>
              <w:pStyle w:val="TableContents"/>
              <w:spacing w:before="0" w:after="0"/>
              <w:ind w:left="675" w:right="0" w:hanging="225"/>
              <w:rPr/>
            </w:pPr>
            <w:r>
              <w:rPr/>
              <w:t>Loans repaid</w:t>
            </w:r>
          </w:p>
        </w:tc>
        <w:tc>
          <w:tcPr>
            <w:tcW w:w="42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(108.2</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(93.4</w:t>
            </w:r>
          </w:p>
        </w:tc>
        <w:tc>
          <w:tcPr>
            <w:tcW w:w="140"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pPr>
            <w:r>
              <w:rPr/>
              <w:t>(71.0</w:t>
            </w:r>
          </w:p>
        </w:tc>
        <w:tc>
          <w:tcPr>
            <w:tcW w:w="138" w:type="dxa"/>
            <w:tcBorders/>
            <w:shd w:fill="CCEEFF" w:val="clear"/>
            <w:vAlign w:val="bottom"/>
          </w:tcPr>
          <w:p>
            <w:pPr>
              <w:pStyle w:val="TableContents"/>
              <w:spacing w:before="0" w:after="283"/>
              <w:rPr/>
            </w:pPr>
            <w:r>
              <w:rPr/>
              <w:t>)</w:t>
            </w:r>
          </w:p>
        </w:tc>
      </w:tr>
      <w:tr>
        <w:trPr/>
        <w:tc>
          <w:tcPr>
            <w:tcW w:w="5553" w:type="dxa"/>
            <w:tcBorders/>
            <w:shd w:fill="auto" w:val="clear"/>
            <w:vAlign w:val="bottom"/>
          </w:tcPr>
          <w:p>
            <w:pPr>
              <w:pStyle w:val="TableContents"/>
              <w:spacing w:before="0" w:after="0"/>
              <w:ind w:left="675" w:right="0" w:hanging="225"/>
              <w:rPr/>
            </w:pPr>
            <w:r>
              <w:rPr/>
              <w:t>Loans forfeited, net of collections on bad debt</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(9.2</w:t>
            </w:r>
          </w:p>
        </w:tc>
        <w:tc>
          <w:tcPr>
            <w:tcW w:w="140"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(8.7</w:t>
            </w:r>
          </w:p>
        </w:tc>
        <w:tc>
          <w:tcPr>
            <w:tcW w:w="140"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11" w:type="dxa"/>
            <w:tcBorders/>
            <w:shd w:fill="auto" w:val="clear"/>
            <w:vAlign w:val="bottom"/>
          </w:tcPr>
          <w:p>
            <w:pPr>
              <w:pStyle w:val="TableContents"/>
              <w:spacing w:before="0" w:after="283"/>
              <w:jc w:val="right"/>
              <w:rPr/>
            </w:pPr>
            <w:r>
              <w:rPr/>
              <w:t>(8.7</w:t>
            </w:r>
          </w:p>
        </w:tc>
        <w:tc>
          <w:tcPr>
            <w:tcW w:w="138" w:type="dxa"/>
            <w:tcBorders/>
            <w:shd w:fill="auto" w:val="clear"/>
            <w:vAlign w:val="bottom"/>
          </w:tcPr>
          <w:p>
            <w:pPr>
              <w:pStyle w:val="TableContents"/>
              <w:spacing w:before="0" w:after="283"/>
              <w:rPr/>
            </w:pPr>
            <w:r>
              <w:rPr/>
              <w:t>)</w:t>
            </w:r>
          </w:p>
        </w:tc>
      </w:tr>
      <w:tr>
        <w:trPr/>
        <w:tc>
          <w:tcPr>
            <w:tcW w:w="5553" w:type="dxa"/>
            <w:tcBorders/>
            <w:shd w:fill="auto" w:val="clear"/>
            <w:vAlign w:val="center"/>
          </w:tcPr>
          <w:p>
            <w:pPr>
              <w:pStyle w:val="TableContents"/>
              <w:spacing w:before="0" w:after="0"/>
              <w:ind w:left="225" w:right="0" w:hanging="225"/>
              <w:rPr/>
            </w:pPr>
            <w:r>
              <w:rPr/>
              <w:t> </w:t>
            </w:r>
          </w:p>
        </w:tc>
        <w:tc>
          <w:tcPr>
            <w:tcW w:w="427"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553" w:type="dxa"/>
            <w:tcBorders/>
            <w:shd w:fill="CCEEFF" w:val="clear"/>
            <w:vAlign w:val="bottom"/>
          </w:tcPr>
          <w:p>
            <w:pPr>
              <w:pStyle w:val="TableContents"/>
              <w:spacing w:before="0" w:after="0"/>
              <w:ind w:left="450" w:right="0" w:hanging="225"/>
              <w:rPr/>
            </w:pPr>
            <w:r>
              <w:rPr/>
              <w:t>Net increase in loans outstanding at the end of the year</w:t>
            </w:r>
          </w:p>
        </w:tc>
        <w:tc>
          <w:tcPr>
            <w:tcW w:w="42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2.4</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1.2</w:t>
            </w:r>
          </w:p>
        </w:tc>
        <w:tc>
          <w:tcPr>
            <w:tcW w:w="14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2.3</w:t>
            </w:r>
          </w:p>
        </w:tc>
        <w:tc>
          <w:tcPr>
            <w:tcW w:w="138" w:type="dxa"/>
            <w:tcBorders/>
            <w:shd w:fill="CCEEFF" w:val="clear"/>
            <w:vAlign w:val="bottom"/>
          </w:tcPr>
          <w:p>
            <w:pPr>
              <w:pStyle w:val="TableContents"/>
              <w:spacing w:before="0" w:after="283"/>
              <w:rPr/>
            </w:pPr>
            <w:r>
              <w:rPr/>
              <w:t> </w:t>
            </w:r>
          </w:p>
        </w:tc>
      </w:tr>
      <w:tr>
        <w:trPr/>
        <w:tc>
          <w:tcPr>
            <w:tcW w:w="5553" w:type="dxa"/>
            <w:tcBorders/>
            <w:shd w:fill="auto" w:val="clear"/>
            <w:vAlign w:val="center"/>
          </w:tcPr>
          <w:p>
            <w:pPr>
              <w:pStyle w:val="TableContents"/>
              <w:spacing w:before="0" w:after="0"/>
              <w:ind w:left="225" w:right="0" w:hanging="225"/>
              <w:rPr/>
            </w:pPr>
            <w:r>
              <w:rPr/>
              <w:t> </w:t>
            </w:r>
          </w:p>
        </w:tc>
        <w:tc>
          <w:tcPr>
            <w:tcW w:w="427"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5553" w:type="dxa"/>
            <w:tcBorders/>
            <w:shd w:fill="auto" w:val="clear"/>
            <w:vAlign w:val="bottom"/>
          </w:tcPr>
          <w:p>
            <w:pPr>
              <w:pStyle w:val="TableContents"/>
              <w:spacing w:before="0" w:after="0"/>
              <w:ind w:left="225" w:right="0" w:hanging="225"/>
              <w:rPr/>
            </w:pPr>
            <w:r>
              <w:rPr/>
              <w:t> </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5553" w:type="dxa"/>
            <w:tcBorders/>
            <w:shd w:fill="auto" w:val="clear"/>
            <w:vAlign w:val="bottom"/>
          </w:tcPr>
          <w:p>
            <w:pPr>
              <w:pStyle w:val="TableContents"/>
              <w:spacing w:before="0" w:after="0"/>
              <w:ind w:left="675" w:right="0" w:hanging="225"/>
              <w:rPr/>
            </w:pPr>
            <w:r>
              <w:rPr/>
              <w:t>Loans renewed</w:t>
            </w:r>
          </w:p>
        </w:tc>
        <w:tc>
          <w:tcPr>
            <w:tcW w:w="42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61.4</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70.9</w:t>
            </w:r>
          </w:p>
        </w:tc>
        <w:tc>
          <w:tcPr>
            <w:tcW w:w="14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57.1</w:t>
            </w:r>
          </w:p>
        </w:tc>
        <w:tc>
          <w:tcPr>
            <w:tcW w:w="138"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loans are unsecured, and their profitability is highly dependent upon our ability to manage the default rate and collect defaulted loan principal, interest and insufficient fund fees. In determining whether to lend or provide credit services, we perform a review of customer information, such as making a credit reporting agency inquiry, evaluating and verifying income sources and levels, verifying employment and verifying a telephone number where the customers may be contacted.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began offering auto title loans in September 2008, but had an immaterial balance at September 30, 2008. The table below shows the dollar amount of our auto title loan activity for fiscal 2010 and 2009. For purposes of this table, auto title loan balances include the principal portion of auto title loans (net of valuation allowance) recorded on our balance sheet and the principal portion of active brokered auto title loans outstanding from unaffiliated lenders, which is not included on our balance sheet. </w:t>
      </w:r>
    </w:p>
    <w:tbl>
      <w:tblPr>
        <w:tblW w:w="5000" w:type="pct"/>
        <w:jc w:val="center"/>
        <w:tblInd w:w="0" w:type="dxa"/>
        <w:tblCellMar>
          <w:top w:w="0" w:type="dxa"/>
          <w:left w:w="0" w:type="dxa"/>
          <w:bottom w:w="0" w:type="dxa"/>
          <w:right w:w="0" w:type="dxa"/>
        </w:tblCellMar>
      </w:tblPr>
      <w:tblGrid>
        <w:gridCol w:w="5909"/>
        <w:gridCol w:w="388"/>
        <w:gridCol w:w="323"/>
        <w:gridCol w:w="1280"/>
        <w:gridCol w:w="240"/>
        <w:gridCol w:w="450"/>
        <w:gridCol w:w="323"/>
        <w:gridCol w:w="1145"/>
        <w:gridCol w:w="147"/>
      </w:tblGrid>
      <w:tr>
        <w:trPr/>
        <w:tc>
          <w:tcPr>
            <w:tcW w:w="590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3761"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147" w:type="dxa"/>
            <w:tcBorders/>
            <w:shd w:fill="auto"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60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6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7" w:type="dxa"/>
            <w:tcBorders/>
            <w:shd w:fill="auto"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3761" w:type="dxa"/>
            <w:gridSpan w:val="6"/>
            <w:tcBorders/>
            <w:shd w:fill="auto" w:val="clear"/>
            <w:vAlign w:val="bottom"/>
          </w:tcPr>
          <w:p>
            <w:pPr>
              <w:pStyle w:val="TableContents"/>
              <w:spacing w:before="0" w:after="283"/>
              <w:jc w:val="center"/>
              <w:rPr>
                <w:i/>
              </w:rPr>
            </w:pPr>
            <w:r>
              <w:rPr>
                <w:i/>
              </w:rPr>
              <w:t>(in millions)</w:t>
            </w:r>
          </w:p>
        </w:tc>
        <w:tc>
          <w:tcPr>
            <w:tcW w:w="147" w:type="dxa"/>
            <w:tcBorders/>
            <w:shd w:fill="auto" w:val="clear"/>
            <w:vAlign w:val="bottom"/>
          </w:tcPr>
          <w:p>
            <w:pPr>
              <w:pStyle w:val="TableContents"/>
              <w:spacing w:before="0" w:after="283"/>
              <w:rPr/>
            </w:pPr>
            <w:r>
              <w:rPr/>
              <w:t> </w:t>
            </w:r>
          </w:p>
        </w:tc>
      </w:tr>
      <w:tr>
        <w:trPr/>
        <w:tc>
          <w:tcPr>
            <w:tcW w:w="5909" w:type="dxa"/>
            <w:tcBorders/>
            <w:shd w:fill="CCEEFF" w:val="clear"/>
            <w:vAlign w:val="bottom"/>
          </w:tcPr>
          <w:p>
            <w:pPr>
              <w:pStyle w:val="TableContents"/>
              <w:spacing w:before="0" w:after="0"/>
              <w:ind w:left="225" w:right="0" w:hanging="225"/>
              <w:rPr>
                <w:b/>
                <w:i/>
              </w:rPr>
            </w:pPr>
            <w:r>
              <w:rPr>
                <w:b/>
                <w:i/>
              </w:rPr>
              <w:t>Combined auto title loans:</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0"/>
              <w:ind w:left="675" w:right="0" w:hanging="225"/>
              <w:rPr/>
            </w:pPr>
            <w:r>
              <w:rPr/>
              <w:t>Loans made</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280" w:type="dxa"/>
            <w:tcBorders/>
            <w:shd w:fill="auto" w:val="clear"/>
            <w:vAlign w:val="bottom"/>
          </w:tcPr>
          <w:p>
            <w:pPr>
              <w:pStyle w:val="TableContents"/>
              <w:spacing w:before="0" w:after="283"/>
              <w:jc w:val="right"/>
              <w:rPr/>
            </w:pPr>
            <w:r>
              <w:rPr/>
              <w:t>25.3</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145" w:type="dxa"/>
            <w:tcBorders/>
            <w:shd w:fill="auto" w:val="clear"/>
            <w:vAlign w:val="bottom"/>
          </w:tcPr>
          <w:p>
            <w:pPr>
              <w:pStyle w:val="TableContents"/>
              <w:spacing w:before="0" w:after="283"/>
              <w:jc w:val="right"/>
              <w:rPr/>
            </w:pPr>
            <w:r>
              <w:rPr/>
              <w:t>5.6</w:t>
            </w:r>
          </w:p>
        </w:tc>
        <w:tc>
          <w:tcPr>
            <w:tcW w:w="147" w:type="dxa"/>
            <w:tcBorders/>
            <w:shd w:fill="auto" w:val="clear"/>
            <w:vAlign w:val="bottom"/>
          </w:tcPr>
          <w:p>
            <w:pPr>
              <w:pStyle w:val="TableContents"/>
              <w:spacing w:before="0" w:after="283"/>
              <w:rPr/>
            </w:pPr>
            <w:r>
              <w:rPr/>
              <w:t> </w:t>
            </w:r>
          </w:p>
        </w:tc>
      </w:tr>
      <w:tr>
        <w:trPr/>
        <w:tc>
          <w:tcPr>
            <w:tcW w:w="5909" w:type="dxa"/>
            <w:tcBorders/>
            <w:shd w:fill="CCEEFF" w:val="clear"/>
            <w:vAlign w:val="bottom"/>
          </w:tcPr>
          <w:p>
            <w:pPr>
              <w:pStyle w:val="TableContents"/>
              <w:spacing w:before="0" w:after="0"/>
              <w:ind w:left="675" w:right="0" w:hanging="225"/>
              <w:rPr/>
            </w:pPr>
            <w:r>
              <w:rPr/>
              <w:t>Loans repaid</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 </w:t>
            </w:r>
          </w:p>
        </w:tc>
        <w:tc>
          <w:tcPr>
            <w:tcW w:w="1280" w:type="dxa"/>
            <w:tcBorders/>
            <w:shd w:fill="CCEEFF" w:val="clear"/>
            <w:vAlign w:val="bottom"/>
          </w:tcPr>
          <w:p>
            <w:pPr>
              <w:pStyle w:val="TableContents"/>
              <w:spacing w:before="0" w:after="283"/>
              <w:jc w:val="right"/>
              <w:rPr/>
            </w:pPr>
            <w:r>
              <w:rPr/>
              <w:t>(14.7</w:t>
            </w:r>
          </w:p>
        </w:tc>
        <w:tc>
          <w:tcPr>
            <w:tcW w:w="240" w:type="dxa"/>
            <w:tcBorders/>
            <w:shd w:fill="CCEEFF" w:val="clear"/>
            <w:vAlign w:val="bottom"/>
          </w:tcPr>
          <w:p>
            <w:pPr>
              <w:pStyle w:val="TableContents"/>
              <w:spacing w:before="0" w:after="283"/>
              <w:rPr/>
            </w:pPr>
            <w:r>
              <w:rPr/>
              <w:t>)</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 </w:t>
            </w:r>
          </w:p>
        </w:tc>
        <w:tc>
          <w:tcPr>
            <w:tcW w:w="1145" w:type="dxa"/>
            <w:tcBorders/>
            <w:shd w:fill="CCEEFF" w:val="clear"/>
            <w:vAlign w:val="bottom"/>
          </w:tcPr>
          <w:p>
            <w:pPr>
              <w:pStyle w:val="TableContents"/>
              <w:spacing w:before="0" w:after="283"/>
              <w:jc w:val="right"/>
              <w:rPr/>
            </w:pPr>
            <w:r>
              <w:rPr/>
              <w:t>(2.5</w:t>
            </w:r>
          </w:p>
        </w:tc>
        <w:tc>
          <w:tcPr>
            <w:tcW w:w="147" w:type="dxa"/>
            <w:tcBorders/>
            <w:shd w:fill="CCEEFF" w:val="clear"/>
            <w:vAlign w:val="bottom"/>
          </w:tcPr>
          <w:p>
            <w:pPr>
              <w:pStyle w:val="TableContents"/>
              <w:spacing w:before="0" w:after="283"/>
              <w:rPr/>
            </w:pPr>
            <w:r>
              <w:rPr/>
              <w:t>)</w:t>
            </w:r>
          </w:p>
        </w:tc>
      </w:tr>
      <w:tr>
        <w:trPr/>
        <w:tc>
          <w:tcPr>
            <w:tcW w:w="5909" w:type="dxa"/>
            <w:tcBorders/>
            <w:shd w:fill="auto" w:val="clear"/>
            <w:vAlign w:val="bottom"/>
          </w:tcPr>
          <w:p>
            <w:pPr>
              <w:pStyle w:val="TableContents"/>
              <w:spacing w:before="0" w:after="0"/>
              <w:ind w:left="675" w:right="0" w:hanging="225"/>
              <w:rPr/>
            </w:pPr>
            <w:r>
              <w:rPr/>
              <w:t>Loans forfeited, net of collections on bad debt</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280" w:type="dxa"/>
            <w:tcBorders/>
            <w:shd w:fill="auto" w:val="clear"/>
            <w:vAlign w:val="bottom"/>
          </w:tcPr>
          <w:p>
            <w:pPr>
              <w:pStyle w:val="TableContents"/>
              <w:spacing w:before="0" w:after="283"/>
              <w:jc w:val="right"/>
              <w:rPr/>
            </w:pPr>
            <w:r>
              <w:rPr/>
              <w:t>(4.5</w:t>
            </w:r>
          </w:p>
        </w:tc>
        <w:tc>
          <w:tcPr>
            <w:tcW w:w="240"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145" w:type="dxa"/>
            <w:tcBorders/>
            <w:shd w:fill="auto" w:val="clear"/>
            <w:vAlign w:val="bottom"/>
          </w:tcPr>
          <w:p>
            <w:pPr>
              <w:pStyle w:val="TableContents"/>
              <w:spacing w:before="0" w:after="283"/>
              <w:jc w:val="right"/>
              <w:rPr/>
            </w:pPr>
            <w:r>
              <w:rPr/>
              <w:t>(0.4</w:t>
            </w:r>
          </w:p>
        </w:tc>
        <w:tc>
          <w:tcPr>
            <w:tcW w:w="147" w:type="dxa"/>
            <w:tcBorders/>
            <w:shd w:fill="auto" w:val="clear"/>
            <w:vAlign w:val="bottom"/>
          </w:tcPr>
          <w:p>
            <w:pPr>
              <w:pStyle w:val="TableContents"/>
              <w:spacing w:before="0" w:after="283"/>
              <w:rPr/>
            </w:pPr>
            <w:r>
              <w:rPr/>
              <w:t>)</w:t>
            </w:r>
          </w:p>
        </w:tc>
      </w:tr>
      <w:tr>
        <w:trPr/>
        <w:tc>
          <w:tcPr>
            <w:tcW w:w="5909" w:type="dxa"/>
            <w:tcBorders/>
            <w:shd w:fill="CCEEFF" w:val="clear"/>
            <w:vAlign w:val="bottom"/>
          </w:tcPr>
          <w:p>
            <w:pPr>
              <w:pStyle w:val="TableContents"/>
              <w:spacing w:before="0" w:after="0"/>
              <w:ind w:left="675" w:right="0" w:hanging="225"/>
              <w:rPr/>
            </w:pPr>
            <w:r>
              <w:rPr/>
              <w:t>Loans acquired in business acquisition</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w:t>
            </w:r>
          </w:p>
        </w:tc>
        <w:tc>
          <w:tcPr>
            <w:tcW w:w="24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1.1</w:t>
            </w:r>
          </w:p>
        </w:tc>
        <w:tc>
          <w:tcPr>
            <w:tcW w:w="147" w:type="dxa"/>
            <w:tcBorders/>
            <w:shd w:fill="CCEEFF" w:val="clear"/>
            <w:vAlign w:val="bottom"/>
          </w:tcPr>
          <w:p>
            <w:pPr>
              <w:pStyle w:val="TableContents"/>
              <w:spacing w:before="0" w:after="283"/>
              <w:rPr/>
            </w:pPr>
            <w:r>
              <w:rPr/>
              <w:t> </w:t>
            </w:r>
          </w:p>
        </w:tc>
      </w:tr>
      <w:tr>
        <w:trPr/>
        <w:tc>
          <w:tcPr>
            <w:tcW w:w="5909" w:type="dxa"/>
            <w:tcBorders/>
            <w:shd w:fill="auto" w:val="clear"/>
            <w:vAlign w:val="center"/>
          </w:tcPr>
          <w:p>
            <w:pPr>
              <w:pStyle w:val="TableContents"/>
              <w:spacing w:before="0" w:after="0"/>
              <w:ind w:left="225" w:right="0" w:hanging="225"/>
              <w:rPr/>
            </w:pPr>
            <w:r>
              <w:rPr/>
              <w:t> </w:t>
            </w:r>
          </w:p>
        </w:tc>
        <w:tc>
          <w:tcPr>
            <w:tcW w:w="388" w:type="dxa"/>
            <w:tcBorders/>
            <w:shd w:fill="auto" w:val="clear"/>
            <w:vAlign w:val="center"/>
          </w:tcPr>
          <w:p>
            <w:pPr>
              <w:pStyle w:val="TableContents"/>
              <w:spacing w:before="0" w:after="283"/>
              <w:rPr/>
            </w:pPr>
            <w:r>
              <w:rPr/>
              <w:t> </w:t>
            </w:r>
          </w:p>
        </w:tc>
        <w:tc>
          <w:tcPr>
            <w:tcW w:w="16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14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5909" w:type="dxa"/>
            <w:tcBorders/>
            <w:shd w:fill="auto" w:val="clear"/>
            <w:vAlign w:val="bottom"/>
          </w:tcPr>
          <w:p>
            <w:pPr>
              <w:pStyle w:val="TableContents"/>
              <w:spacing w:before="0" w:after="0"/>
              <w:ind w:left="675" w:right="0" w:hanging="225"/>
              <w:rPr/>
            </w:pPr>
            <w:r>
              <w:rPr/>
              <w:t>Net increase in auto title loans outstanding at the end of the year</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280" w:type="dxa"/>
            <w:tcBorders/>
            <w:shd w:fill="auto" w:val="clear"/>
            <w:vAlign w:val="bottom"/>
          </w:tcPr>
          <w:p>
            <w:pPr>
              <w:pStyle w:val="TableContents"/>
              <w:spacing w:before="0" w:after="283"/>
              <w:jc w:val="right"/>
              <w:rPr/>
            </w:pPr>
            <w:r>
              <w:rPr/>
              <w:t>6.1</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145" w:type="dxa"/>
            <w:tcBorders/>
            <w:shd w:fill="auto" w:val="clear"/>
            <w:vAlign w:val="bottom"/>
          </w:tcPr>
          <w:p>
            <w:pPr>
              <w:pStyle w:val="TableContents"/>
              <w:spacing w:before="0" w:after="283"/>
              <w:jc w:val="right"/>
              <w:rPr/>
            </w:pPr>
            <w:r>
              <w:rPr/>
              <w:t>3.8</w:t>
            </w:r>
          </w:p>
        </w:tc>
        <w:tc>
          <w:tcPr>
            <w:tcW w:w="147" w:type="dxa"/>
            <w:tcBorders/>
            <w:shd w:fill="auto" w:val="clear"/>
            <w:vAlign w:val="bottom"/>
          </w:tcPr>
          <w:p>
            <w:pPr>
              <w:pStyle w:val="TableContents"/>
              <w:spacing w:before="0" w:after="283"/>
              <w:rPr/>
            </w:pPr>
            <w:r>
              <w:rPr/>
              <w:t> </w:t>
            </w:r>
          </w:p>
        </w:tc>
      </w:tr>
      <w:tr>
        <w:trPr/>
        <w:tc>
          <w:tcPr>
            <w:tcW w:w="5909" w:type="dxa"/>
            <w:tcBorders/>
            <w:shd w:fill="auto" w:val="clear"/>
            <w:vAlign w:val="center"/>
          </w:tcPr>
          <w:p>
            <w:pPr>
              <w:pStyle w:val="TableContents"/>
              <w:spacing w:before="0" w:after="0"/>
              <w:ind w:left="225" w:right="0" w:hanging="225"/>
              <w:rPr/>
            </w:pPr>
            <w:r>
              <w:rPr/>
              <w:t> </w:t>
            </w:r>
          </w:p>
        </w:tc>
        <w:tc>
          <w:tcPr>
            <w:tcW w:w="388" w:type="dxa"/>
            <w:tcBorders/>
            <w:shd w:fill="auto" w:val="clear"/>
            <w:vAlign w:val="center"/>
          </w:tcPr>
          <w:p>
            <w:pPr>
              <w:pStyle w:val="TableContents"/>
              <w:spacing w:before="0" w:after="283"/>
              <w:rPr/>
            </w:pPr>
            <w:r>
              <w:rPr/>
              <w:t> </w:t>
            </w:r>
          </w:p>
        </w:tc>
        <w:tc>
          <w:tcPr>
            <w:tcW w:w="16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14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59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5909" w:type="dxa"/>
            <w:tcBorders/>
            <w:shd w:fill="CCEEFF" w:val="clear"/>
            <w:vAlign w:val="bottom"/>
          </w:tcPr>
          <w:p>
            <w:pPr>
              <w:pStyle w:val="TableContents"/>
              <w:spacing w:before="0" w:after="0"/>
              <w:ind w:left="675" w:right="0" w:hanging="225"/>
              <w:rPr/>
            </w:pPr>
            <w:r>
              <w:rPr/>
              <w:t>Loans renewed</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280" w:type="dxa"/>
            <w:tcBorders/>
            <w:shd w:fill="CCEEFF" w:val="clear"/>
            <w:vAlign w:val="bottom"/>
          </w:tcPr>
          <w:p>
            <w:pPr>
              <w:pStyle w:val="TableContents"/>
              <w:spacing w:before="0" w:after="283"/>
              <w:jc w:val="right"/>
              <w:rPr/>
            </w:pPr>
            <w:r>
              <w:rPr/>
              <w:t>56.8</w:t>
            </w:r>
          </w:p>
        </w:tc>
        <w:tc>
          <w:tcPr>
            <w:tcW w:w="24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45" w:type="dxa"/>
            <w:tcBorders/>
            <w:shd w:fill="CCEEFF" w:val="clear"/>
            <w:vAlign w:val="bottom"/>
          </w:tcPr>
          <w:p>
            <w:pPr>
              <w:pStyle w:val="TableContents"/>
              <w:spacing w:before="0" w:after="283"/>
              <w:jc w:val="right"/>
              <w:rPr/>
            </w:pPr>
            <w:r>
              <w:rPr/>
              <w:t>14.0</w:t>
            </w:r>
          </w:p>
        </w:tc>
        <w:tc>
          <w:tcPr>
            <w:tcW w:w="147" w:type="dxa"/>
            <w:tcBorders/>
            <w:shd w:fill="CCEEFF"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0"/>
              <w:ind w:left="225" w:right="0" w:hanging="225"/>
              <w:rPr>
                <w:b/>
                <w:i/>
              </w:rPr>
            </w:pPr>
            <w:r>
              <w:rPr>
                <w:b/>
                <w:i/>
              </w:rPr>
              <w:t>Loans made by unaffiliated lenders (credit services only):</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5909" w:type="dxa"/>
            <w:tcBorders/>
            <w:shd w:fill="CCEEFF" w:val="clear"/>
            <w:vAlign w:val="bottom"/>
          </w:tcPr>
          <w:p>
            <w:pPr>
              <w:pStyle w:val="TableContents"/>
              <w:spacing w:before="0" w:after="0"/>
              <w:ind w:left="675" w:right="0" w:hanging="225"/>
              <w:rPr/>
            </w:pPr>
            <w:r>
              <w:rPr/>
              <w:t>Loans made</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280" w:type="dxa"/>
            <w:tcBorders/>
            <w:shd w:fill="CCEEFF" w:val="clear"/>
            <w:vAlign w:val="bottom"/>
          </w:tcPr>
          <w:p>
            <w:pPr>
              <w:pStyle w:val="TableContents"/>
              <w:spacing w:before="0" w:after="283"/>
              <w:jc w:val="right"/>
              <w:rPr/>
            </w:pPr>
            <w:r>
              <w:rPr/>
              <w:t>16.0</w:t>
            </w:r>
          </w:p>
        </w:tc>
        <w:tc>
          <w:tcPr>
            <w:tcW w:w="24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45" w:type="dxa"/>
            <w:tcBorders/>
            <w:shd w:fill="CCEEFF" w:val="clear"/>
            <w:vAlign w:val="bottom"/>
          </w:tcPr>
          <w:p>
            <w:pPr>
              <w:pStyle w:val="TableContents"/>
              <w:spacing w:before="0" w:after="283"/>
              <w:jc w:val="right"/>
              <w:rPr/>
            </w:pPr>
            <w:r>
              <w:rPr/>
              <w:t>3.3</w:t>
            </w:r>
          </w:p>
        </w:tc>
        <w:tc>
          <w:tcPr>
            <w:tcW w:w="147" w:type="dxa"/>
            <w:tcBorders/>
            <w:shd w:fill="CCEEFF"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0"/>
              <w:ind w:left="675" w:right="0" w:hanging="225"/>
              <w:rPr/>
            </w:pPr>
            <w:r>
              <w:rPr/>
              <w:t>Loans repaid</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280" w:type="dxa"/>
            <w:tcBorders/>
            <w:shd w:fill="auto" w:val="clear"/>
            <w:vAlign w:val="bottom"/>
          </w:tcPr>
          <w:p>
            <w:pPr>
              <w:pStyle w:val="TableContents"/>
              <w:spacing w:before="0" w:after="283"/>
              <w:jc w:val="right"/>
              <w:rPr/>
            </w:pPr>
            <w:r>
              <w:rPr/>
              <w:t>(9.3</w:t>
            </w:r>
          </w:p>
        </w:tc>
        <w:tc>
          <w:tcPr>
            <w:tcW w:w="240"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145" w:type="dxa"/>
            <w:tcBorders/>
            <w:shd w:fill="auto" w:val="clear"/>
            <w:vAlign w:val="bottom"/>
          </w:tcPr>
          <w:p>
            <w:pPr>
              <w:pStyle w:val="TableContents"/>
              <w:spacing w:before="0" w:after="283"/>
              <w:jc w:val="right"/>
              <w:rPr/>
            </w:pPr>
            <w:r>
              <w:rPr/>
              <w:t>(1.0</w:t>
            </w:r>
          </w:p>
        </w:tc>
        <w:tc>
          <w:tcPr>
            <w:tcW w:w="147" w:type="dxa"/>
            <w:tcBorders/>
            <w:shd w:fill="auto" w:val="clear"/>
            <w:vAlign w:val="bottom"/>
          </w:tcPr>
          <w:p>
            <w:pPr>
              <w:pStyle w:val="TableContents"/>
              <w:spacing w:before="0" w:after="283"/>
              <w:rPr/>
            </w:pPr>
            <w:r>
              <w:rPr/>
              <w:t>)</w:t>
            </w:r>
          </w:p>
        </w:tc>
      </w:tr>
      <w:tr>
        <w:trPr/>
        <w:tc>
          <w:tcPr>
            <w:tcW w:w="5909" w:type="dxa"/>
            <w:tcBorders/>
            <w:shd w:fill="CCEEFF" w:val="clear"/>
            <w:vAlign w:val="bottom"/>
          </w:tcPr>
          <w:p>
            <w:pPr>
              <w:pStyle w:val="TableContents"/>
              <w:spacing w:before="0" w:after="0"/>
              <w:ind w:left="675" w:right="0" w:hanging="225"/>
              <w:rPr/>
            </w:pPr>
            <w:r>
              <w:rPr/>
              <w:t>Loans forfeited, net of collections on bad debt</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 </w:t>
            </w:r>
          </w:p>
        </w:tc>
        <w:tc>
          <w:tcPr>
            <w:tcW w:w="1280" w:type="dxa"/>
            <w:tcBorders/>
            <w:shd w:fill="CCEEFF" w:val="clear"/>
            <w:vAlign w:val="bottom"/>
          </w:tcPr>
          <w:p>
            <w:pPr>
              <w:pStyle w:val="TableContents"/>
              <w:spacing w:before="0" w:after="283"/>
              <w:jc w:val="right"/>
              <w:rPr/>
            </w:pPr>
            <w:r>
              <w:rPr/>
              <w:t>(2.1</w:t>
            </w:r>
          </w:p>
        </w:tc>
        <w:tc>
          <w:tcPr>
            <w:tcW w:w="240" w:type="dxa"/>
            <w:tcBorders/>
            <w:shd w:fill="CCEEFF" w:val="clear"/>
            <w:vAlign w:val="bottom"/>
          </w:tcPr>
          <w:p>
            <w:pPr>
              <w:pStyle w:val="TableContents"/>
              <w:spacing w:before="0" w:after="283"/>
              <w:rPr/>
            </w:pPr>
            <w:r>
              <w:rPr/>
              <w:t>)</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 </w:t>
            </w:r>
          </w:p>
        </w:tc>
        <w:tc>
          <w:tcPr>
            <w:tcW w:w="1145" w:type="dxa"/>
            <w:tcBorders/>
            <w:shd w:fill="CCEEFF" w:val="clear"/>
            <w:vAlign w:val="bottom"/>
          </w:tcPr>
          <w:p>
            <w:pPr>
              <w:pStyle w:val="TableContents"/>
              <w:spacing w:before="0" w:after="283"/>
              <w:jc w:val="right"/>
              <w:rPr/>
            </w:pPr>
            <w:r>
              <w:rPr/>
              <w:t>(0.2</w:t>
            </w:r>
          </w:p>
        </w:tc>
        <w:tc>
          <w:tcPr>
            <w:tcW w:w="147" w:type="dxa"/>
            <w:tcBorders/>
            <w:shd w:fill="CCEEFF" w:val="clear"/>
            <w:vAlign w:val="bottom"/>
          </w:tcPr>
          <w:p>
            <w:pPr>
              <w:pStyle w:val="TableContents"/>
              <w:spacing w:before="0" w:after="283"/>
              <w:rPr/>
            </w:pPr>
            <w:r>
              <w:rPr/>
              <w:t>)</w:t>
            </w:r>
          </w:p>
        </w:tc>
      </w:tr>
      <w:tr>
        <w:trPr/>
        <w:tc>
          <w:tcPr>
            <w:tcW w:w="5909" w:type="dxa"/>
            <w:tcBorders/>
            <w:shd w:fill="auto" w:val="clear"/>
            <w:vAlign w:val="bottom"/>
          </w:tcPr>
          <w:p>
            <w:pPr>
              <w:pStyle w:val="TableContents"/>
              <w:spacing w:before="0" w:after="0"/>
              <w:ind w:left="675" w:right="0" w:hanging="225"/>
              <w:rPr/>
            </w:pPr>
            <w:r>
              <w:rPr/>
              <w:t>Loans acquired in business acquisition</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r>
      <w:tr>
        <w:trPr/>
        <w:tc>
          <w:tcPr>
            <w:tcW w:w="5909" w:type="dxa"/>
            <w:tcBorders/>
            <w:shd w:fill="auto" w:val="clear"/>
            <w:vAlign w:val="center"/>
          </w:tcPr>
          <w:p>
            <w:pPr>
              <w:pStyle w:val="TableContents"/>
              <w:spacing w:before="0" w:after="0"/>
              <w:ind w:left="225" w:right="0" w:hanging="225"/>
              <w:rPr/>
            </w:pPr>
            <w:r>
              <w:rPr/>
              <w:t> </w:t>
            </w:r>
          </w:p>
        </w:tc>
        <w:tc>
          <w:tcPr>
            <w:tcW w:w="388" w:type="dxa"/>
            <w:tcBorders/>
            <w:shd w:fill="auto" w:val="clear"/>
            <w:vAlign w:val="center"/>
          </w:tcPr>
          <w:p>
            <w:pPr>
              <w:pStyle w:val="TableContents"/>
              <w:spacing w:before="0" w:after="283"/>
              <w:rPr/>
            </w:pPr>
            <w:r>
              <w:rPr/>
              <w:t> </w:t>
            </w:r>
          </w:p>
        </w:tc>
        <w:tc>
          <w:tcPr>
            <w:tcW w:w="16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14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5909" w:type="dxa"/>
            <w:tcBorders/>
            <w:shd w:fill="CCEEFF" w:val="clear"/>
            <w:vAlign w:val="bottom"/>
          </w:tcPr>
          <w:p>
            <w:pPr>
              <w:pStyle w:val="TableContents"/>
              <w:spacing w:before="0" w:after="0"/>
              <w:ind w:left="675" w:right="0" w:hanging="225"/>
              <w:rPr/>
            </w:pPr>
            <w:r>
              <w:rPr/>
              <w:t>Net increase in loans outstanding at the end of the year</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280" w:type="dxa"/>
            <w:tcBorders/>
            <w:shd w:fill="CCEEFF" w:val="clear"/>
            <w:vAlign w:val="bottom"/>
          </w:tcPr>
          <w:p>
            <w:pPr>
              <w:pStyle w:val="TableContents"/>
              <w:spacing w:before="0" w:after="283"/>
              <w:jc w:val="right"/>
              <w:rPr/>
            </w:pPr>
            <w:r>
              <w:rPr/>
              <w:t>4.6</w:t>
            </w:r>
          </w:p>
        </w:tc>
        <w:tc>
          <w:tcPr>
            <w:tcW w:w="24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45" w:type="dxa"/>
            <w:tcBorders/>
            <w:shd w:fill="CCEEFF" w:val="clear"/>
            <w:vAlign w:val="bottom"/>
          </w:tcPr>
          <w:p>
            <w:pPr>
              <w:pStyle w:val="TableContents"/>
              <w:spacing w:before="0" w:after="283"/>
              <w:jc w:val="right"/>
              <w:rPr/>
            </w:pPr>
            <w:r>
              <w:rPr/>
              <w:t>2.1</w:t>
            </w:r>
          </w:p>
        </w:tc>
        <w:tc>
          <w:tcPr>
            <w:tcW w:w="147" w:type="dxa"/>
            <w:tcBorders/>
            <w:shd w:fill="CCEEFF" w:val="clear"/>
            <w:vAlign w:val="bottom"/>
          </w:tcPr>
          <w:p>
            <w:pPr>
              <w:pStyle w:val="TableContents"/>
              <w:spacing w:before="0" w:after="283"/>
              <w:rPr/>
            </w:pPr>
            <w:r>
              <w:rPr/>
              <w:t> </w:t>
            </w:r>
          </w:p>
        </w:tc>
      </w:tr>
      <w:tr>
        <w:trPr/>
        <w:tc>
          <w:tcPr>
            <w:tcW w:w="5909" w:type="dxa"/>
            <w:tcBorders/>
            <w:shd w:fill="auto" w:val="clear"/>
            <w:vAlign w:val="center"/>
          </w:tcPr>
          <w:p>
            <w:pPr>
              <w:pStyle w:val="TableContents"/>
              <w:spacing w:before="0" w:after="0"/>
              <w:ind w:left="225" w:right="0" w:hanging="225"/>
              <w:rPr/>
            </w:pPr>
            <w:r>
              <w:rPr/>
              <w:t> </w:t>
            </w:r>
          </w:p>
        </w:tc>
        <w:tc>
          <w:tcPr>
            <w:tcW w:w="388" w:type="dxa"/>
            <w:tcBorders/>
            <w:shd w:fill="auto" w:val="clear"/>
            <w:vAlign w:val="center"/>
          </w:tcPr>
          <w:p>
            <w:pPr>
              <w:pStyle w:val="TableContents"/>
              <w:spacing w:before="0" w:after="283"/>
              <w:rPr/>
            </w:pPr>
            <w:r>
              <w:rPr/>
              <w:t> </w:t>
            </w:r>
          </w:p>
        </w:tc>
        <w:tc>
          <w:tcPr>
            <w:tcW w:w="16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14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59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0"/>
              <w:ind w:left="675" w:right="0" w:hanging="225"/>
              <w:rPr/>
            </w:pPr>
            <w:r>
              <w:rPr/>
              <w:t>Loans renewed</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280" w:type="dxa"/>
            <w:tcBorders/>
            <w:shd w:fill="auto" w:val="clear"/>
            <w:vAlign w:val="bottom"/>
          </w:tcPr>
          <w:p>
            <w:pPr>
              <w:pStyle w:val="TableContents"/>
              <w:spacing w:before="0" w:after="283"/>
              <w:jc w:val="right"/>
              <w:rPr/>
            </w:pPr>
            <w:r>
              <w:rPr/>
              <w:t>40.7</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145" w:type="dxa"/>
            <w:tcBorders/>
            <w:shd w:fill="auto" w:val="clear"/>
            <w:vAlign w:val="bottom"/>
          </w:tcPr>
          <w:p>
            <w:pPr>
              <w:pStyle w:val="TableContents"/>
              <w:spacing w:before="0" w:after="283"/>
              <w:jc w:val="right"/>
              <w:rPr/>
            </w:pPr>
            <w:r>
              <w:rPr/>
              <w:t>4.9</w:t>
            </w:r>
          </w:p>
        </w:tc>
        <w:tc>
          <w:tcPr>
            <w:tcW w:w="147" w:type="dxa"/>
            <w:tcBorders/>
            <w:shd w:fill="auto"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5909" w:type="dxa"/>
            <w:tcBorders/>
            <w:shd w:fill="CCEEFF" w:val="clear"/>
            <w:vAlign w:val="bottom"/>
          </w:tcPr>
          <w:p>
            <w:pPr>
              <w:pStyle w:val="TableContents"/>
              <w:spacing w:before="0" w:after="0"/>
              <w:ind w:left="225" w:right="0" w:hanging="225"/>
              <w:rPr>
                <w:b/>
                <w:i/>
              </w:rPr>
            </w:pPr>
            <w:r>
              <w:rPr>
                <w:b/>
                <w:i/>
              </w:rPr>
              <w:t>Loans made by us:</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r>
      <w:tr>
        <w:trPr/>
        <w:tc>
          <w:tcPr>
            <w:tcW w:w="5909" w:type="dxa"/>
            <w:tcBorders/>
            <w:shd w:fill="auto" w:val="clear"/>
            <w:vAlign w:val="bottom"/>
          </w:tcPr>
          <w:p>
            <w:pPr>
              <w:pStyle w:val="TableContents"/>
              <w:spacing w:before="0" w:after="0"/>
              <w:ind w:left="675" w:right="0" w:hanging="225"/>
              <w:rPr/>
            </w:pPr>
            <w:r>
              <w:rPr/>
              <w:t>Loans made</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280" w:type="dxa"/>
            <w:tcBorders/>
            <w:shd w:fill="auto" w:val="clear"/>
            <w:vAlign w:val="bottom"/>
          </w:tcPr>
          <w:p>
            <w:pPr>
              <w:pStyle w:val="TableContents"/>
              <w:spacing w:before="0" w:after="283"/>
              <w:jc w:val="right"/>
              <w:rPr/>
            </w:pPr>
            <w:r>
              <w:rPr/>
              <w:t>9.3</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145" w:type="dxa"/>
            <w:tcBorders/>
            <w:shd w:fill="auto" w:val="clear"/>
            <w:vAlign w:val="bottom"/>
          </w:tcPr>
          <w:p>
            <w:pPr>
              <w:pStyle w:val="TableContents"/>
              <w:spacing w:before="0" w:after="283"/>
              <w:jc w:val="right"/>
              <w:rPr/>
            </w:pPr>
            <w:r>
              <w:rPr/>
              <w:t>2.3</w:t>
            </w:r>
          </w:p>
        </w:tc>
        <w:tc>
          <w:tcPr>
            <w:tcW w:w="147" w:type="dxa"/>
            <w:tcBorders/>
            <w:shd w:fill="auto" w:val="clear"/>
            <w:vAlign w:val="bottom"/>
          </w:tcPr>
          <w:p>
            <w:pPr>
              <w:pStyle w:val="TableContents"/>
              <w:spacing w:before="0" w:after="283"/>
              <w:rPr/>
            </w:pPr>
            <w:r>
              <w:rPr/>
              <w:t> </w:t>
            </w:r>
          </w:p>
        </w:tc>
      </w:tr>
      <w:tr>
        <w:trPr/>
        <w:tc>
          <w:tcPr>
            <w:tcW w:w="5909" w:type="dxa"/>
            <w:tcBorders/>
            <w:shd w:fill="CCEEFF" w:val="clear"/>
            <w:vAlign w:val="bottom"/>
          </w:tcPr>
          <w:p>
            <w:pPr>
              <w:pStyle w:val="TableContents"/>
              <w:spacing w:before="0" w:after="0"/>
              <w:ind w:left="675" w:right="0" w:hanging="225"/>
              <w:rPr/>
            </w:pPr>
            <w:r>
              <w:rPr/>
              <w:t>Loans repaid</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 </w:t>
            </w:r>
          </w:p>
        </w:tc>
        <w:tc>
          <w:tcPr>
            <w:tcW w:w="1280" w:type="dxa"/>
            <w:tcBorders/>
            <w:shd w:fill="CCEEFF" w:val="clear"/>
            <w:vAlign w:val="bottom"/>
          </w:tcPr>
          <w:p>
            <w:pPr>
              <w:pStyle w:val="TableContents"/>
              <w:spacing w:before="0" w:after="283"/>
              <w:jc w:val="right"/>
              <w:rPr/>
            </w:pPr>
            <w:r>
              <w:rPr/>
              <w:t>(5.4</w:t>
            </w:r>
          </w:p>
        </w:tc>
        <w:tc>
          <w:tcPr>
            <w:tcW w:w="240" w:type="dxa"/>
            <w:tcBorders/>
            <w:shd w:fill="CCEEFF" w:val="clear"/>
            <w:vAlign w:val="bottom"/>
          </w:tcPr>
          <w:p>
            <w:pPr>
              <w:pStyle w:val="TableContents"/>
              <w:spacing w:before="0" w:after="283"/>
              <w:rPr/>
            </w:pPr>
            <w:r>
              <w:rPr/>
              <w:t>)</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 </w:t>
            </w:r>
          </w:p>
        </w:tc>
        <w:tc>
          <w:tcPr>
            <w:tcW w:w="1145" w:type="dxa"/>
            <w:tcBorders/>
            <w:shd w:fill="CCEEFF" w:val="clear"/>
            <w:vAlign w:val="bottom"/>
          </w:tcPr>
          <w:p>
            <w:pPr>
              <w:pStyle w:val="TableContents"/>
              <w:spacing w:before="0" w:after="283"/>
              <w:jc w:val="right"/>
              <w:rPr/>
            </w:pPr>
            <w:r>
              <w:rPr/>
              <w:t>(1.5</w:t>
            </w:r>
          </w:p>
        </w:tc>
        <w:tc>
          <w:tcPr>
            <w:tcW w:w="147" w:type="dxa"/>
            <w:tcBorders/>
            <w:shd w:fill="CCEEFF" w:val="clear"/>
            <w:vAlign w:val="bottom"/>
          </w:tcPr>
          <w:p>
            <w:pPr>
              <w:pStyle w:val="TableContents"/>
              <w:spacing w:before="0" w:after="283"/>
              <w:rPr/>
            </w:pPr>
            <w:r>
              <w:rPr/>
              <w:t>)</w:t>
            </w:r>
          </w:p>
        </w:tc>
      </w:tr>
      <w:tr>
        <w:trPr/>
        <w:tc>
          <w:tcPr>
            <w:tcW w:w="5909" w:type="dxa"/>
            <w:tcBorders/>
            <w:shd w:fill="auto" w:val="clear"/>
            <w:vAlign w:val="bottom"/>
          </w:tcPr>
          <w:p>
            <w:pPr>
              <w:pStyle w:val="TableContents"/>
              <w:spacing w:before="0" w:after="0"/>
              <w:ind w:left="675" w:right="0" w:hanging="225"/>
              <w:rPr/>
            </w:pPr>
            <w:r>
              <w:rPr/>
              <w:t>Loans forfeited, net of collections on bad debt</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280" w:type="dxa"/>
            <w:tcBorders/>
            <w:shd w:fill="auto" w:val="clear"/>
            <w:vAlign w:val="bottom"/>
          </w:tcPr>
          <w:p>
            <w:pPr>
              <w:pStyle w:val="TableContents"/>
              <w:spacing w:before="0" w:after="283"/>
              <w:jc w:val="right"/>
              <w:rPr/>
            </w:pPr>
            <w:r>
              <w:rPr/>
              <w:t>(2.4</w:t>
            </w:r>
          </w:p>
        </w:tc>
        <w:tc>
          <w:tcPr>
            <w:tcW w:w="240"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 </w:t>
            </w:r>
          </w:p>
        </w:tc>
        <w:tc>
          <w:tcPr>
            <w:tcW w:w="1145" w:type="dxa"/>
            <w:tcBorders/>
            <w:shd w:fill="auto" w:val="clear"/>
            <w:vAlign w:val="bottom"/>
          </w:tcPr>
          <w:p>
            <w:pPr>
              <w:pStyle w:val="TableContents"/>
              <w:spacing w:before="0" w:after="283"/>
              <w:jc w:val="right"/>
              <w:rPr/>
            </w:pPr>
            <w:r>
              <w:rPr/>
              <w:t>(0.2</w:t>
            </w:r>
          </w:p>
        </w:tc>
        <w:tc>
          <w:tcPr>
            <w:tcW w:w="147" w:type="dxa"/>
            <w:tcBorders/>
            <w:shd w:fill="auto" w:val="clear"/>
            <w:vAlign w:val="bottom"/>
          </w:tcPr>
          <w:p>
            <w:pPr>
              <w:pStyle w:val="TableContents"/>
              <w:spacing w:before="0" w:after="283"/>
              <w:rPr/>
            </w:pPr>
            <w:r>
              <w:rPr/>
              <w:t>)</w:t>
            </w:r>
          </w:p>
        </w:tc>
      </w:tr>
      <w:tr>
        <w:trPr/>
        <w:tc>
          <w:tcPr>
            <w:tcW w:w="5909" w:type="dxa"/>
            <w:tcBorders/>
            <w:shd w:fill="CCEEFF" w:val="clear"/>
            <w:vAlign w:val="bottom"/>
          </w:tcPr>
          <w:p>
            <w:pPr>
              <w:pStyle w:val="TableContents"/>
              <w:spacing w:before="0" w:after="0"/>
              <w:ind w:left="675" w:right="0" w:hanging="225"/>
              <w:rPr/>
            </w:pPr>
            <w:r>
              <w:rPr/>
              <w:t>Loans acquired in business acquisition</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w:t>
            </w:r>
          </w:p>
        </w:tc>
        <w:tc>
          <w:tcPr>
            <w:tcW w:w="24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1.1</w:t>
            </w:r>
          </w:p>
        </w:tc>
        <w:tc>
          <w:tcPr>
            <w:tcW w:w="147" w:type="dxa"/>
            <w:tcBorders/>
            <w:shd w:fill="CCEEFF" w:val="clear"/>
            <w:vAlign w:val="bottom"/>
          </w:tcPr>
          <w:p>
            <w:pPr>
              <w:pStyle w:val="TableContents"/>
              <w:spacing w:before="0" w:after="283"/>
              <w:rPr/>
            </w:pPr>
            <w:r>
              <w:rPr/>
              <w:t> </w:t>
            </w:r>
          </w:p>
        </w:tc>
      </w:tr>
      <w:tr>
        <w:trPr/>
        <w:tc>
          <w:tcPr>
            <w:tcW w:w="5909" w:type="dxa"/>
            <w:tcBorders/>
            <w:shd w:fill="auto" w:val="clear"/>
            <w:vAlign w:val="center"/>
          </w:tcPr>
          <w:p>
            <w:pPr>
              <w:pStyle w:val="TableContents"/>
              <w:spacing w:before="0" w:after="0"/>
              <w:ind w:left="225" w:right="0" w:hanging="225"/>
              <w:rPr/>
            </w:pPr>
            <w:r>
              <w:rPr/>
              <w:t> </w:t>
            </w:r>
          </w:p>
        </w:tc>
        <w:tc>
          <w:tcPr>
            <w:tcW w:w="388" w:type="dxa"/>
            <w:tcBorders/>
            <w:shd w:fill="auto" w:val="clear"/>
            <w:vAlign w:val="center"/>
          </w:tcPr>
          <w:p>
            <w:pPr>
              <w:pStyle w:val="TableContents"/>
              <w:spacing w:before="0" w:after="283"/>
              <w:rPr/>
            </w:pPr>
            <w:r>
              <w:rPr/>
              <w:t> </w:t>
            </w:r>
          </w:p>
        </w:tc>
        <w:tc>
          <w:tcPr>
            <w:tcW w:w="16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14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5909" w:type="dxa"/>
            <w:tcBorders/>
            <w:shd w:fill="auto" w:val="clear"/>
            <w:vAlign w:val="bottom"/>
          </w:tcPr>
          <w:p>
            <w:pPr>
              <w:pStyle w:val="TableContents"/>
              <w:spacing w:before="0" w:after="0"/>
              <w:ind w:left="450" w:right="0" w:hanging="225"/>
              <w:rPr/>
            </w:pPr>
            <w:r>
              <w:rPr/>
              <w:t>Net increase in loans outstanding at the end of the year</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280" w:type="dxa"/>
            <w:tcBorders/>
            <w:shd w:fill="auto" w:val="clear"/>
            <w:vAlign w:val="bottom"/>
          </w:tcPr>
          <w:p>
            <w:pPr>
              <w:pStyle w:val="TableContents"/>
              <w:spacing w:before="0" w:after="283"/>
              <w:jc w:val="right"/>
              <w:rPr/>
            </w:pPr>
            <w:r>
              <w:rPr/>
              <w:t>1.5</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left"/>
              <w:rPr/>
            </w:pPr>
            <w:r>
              <w:rPr/>
              <w:t>$</w:t>
            </w:r>
          </w:p>
        </w:tc>
        <w:tc>
          <w:tcPr>
            <w:tcW w:w="1145" w:type="dxa"/>
            <w:tcBorders/>
            <w:shd w:fill="auto" w:val="clear"/>
            <w:vAlign w:val="bottom"/>
          </w:tcPr>
          <w:p>
            <w:pPr>
              <w:pStyle w:val="TableContents"/>
              <w:spacing w:before="0" w:after="283"/>
              <w:jc w:val="right"/>
              <w:rPr/>
            </w:pPr>
            <w:r>
              <w:rPr/>
              <w:t>1.7</w:t>
            </w:r>
          </w:p>
        </w:tc>
        <w:tc>
          <w:tcPr>
            <w:tcW w:w="147" w:type="dxa"/>
            <w:tcBorders/>
            <w:shd w:fill="auto" w:val="clear"/>
            <w:vAlign w:val="bottom"/>
          </w:tcPr>
          <w:p>
            <w:pPr>
              <w:pStyle w:val="TableContents"/>
              <w:spacing w:before="0" w:after="283"/>
              <w:rPr/>
            </w:pPr>
            <w:r>
              <w:rPr/>
              <w:t> </w:t>
            </w:r>
          </w:p>
        </w:tc>
      </w:tr>
      <w:tr>
        <w:trPr/>
        <w:tc>
          <w:tcPr>
            <w:tcW w:w="5909" w:type="dxa"/>
            <w:tcBorders/>
            <w:shd w:fill="auto" w:val="clear"/>
            <w:vAlign w:val="center"/>
          </w:tcPr>
          <w:p>
            <w:pPr>
              <w:pStyle w:val="TableContents"/>
              <w:spacing w:before="0" w:after="0"/>
              <w:ind w:left="225" w:right="0" w:hanging="225"/>
              <w:rPr/>
            </w:pPr>
            <w:r>
              <w:rPr/>
              <w:t> </w:t>
            </w:r>
          </w:p>
        </w:tc>
        <w:tc>
          <w:tcPr>
            <w:tcW w:w="388" w:type="dxa"/>
            <w:tcBorders/>
            <w:shd w:fill="auto" w:val="clear"/>
            <w:vAlign w:val="center"/>
          </w:tcPr>
          <w:p>
            <w:pPr>
              <w:pStyle w:val="TableContents"/>
              <w:spacing w:before="0" w:after="283"/>
              <w:rPr/>
            </w:pPr>
            <w:r>
              <w:rPr/>
              <w:t> </w:t>
            </w:r>
          </w:p>
        </w:tc>
        <w:tc>
          <w:tcPr>
            <w:tcW w:w="16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14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59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5909" w:type="dxa"/>
            <w:tcBorders/>
            <w:shd w:fill="CCEEFF" w:val="clear"/>
            <w:vAlign w:val="bottom"/>
          </w:tcPr>
          <w:p>
            <w:pPr>
              <w:pStyle w:val="TableContents"/>
              <w:spacing w:before="0" w:after="0"/>
              <w:ind w:left="675" w:right="0" w:hanging="225"/>
              <w:rPr/>
            </w:pPr>
            <w:r>
              <w:rPr/>
              <w:t>Loans renewed</w:t>
            </w:r>
          </w:p>
        </w:tc>
        <w:tc>
          <w:tcPr>
            <w:tcW w:w="388"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280" w:type="dxa"/>
            <w:tcBorders/>
            <w:shd w:fill="CCEEFF" w:val="clear"/>
            <w:vAlign w:val="bottom"/>
          </w:tcPr>
          <w:p>
            <w:pPr>
              <w:pStyle w:val="TableContents"/>
              <w:spacing w:before="0" w:after="283"/>
              <w:jc w:val="right"/>
              <w:rPr/>
            </w:pPr>
            <w:r>
              <w:rPr/>
              <w:t>16.1</w:t>
            </w:r>
          </w:p>
        </w:tc>
        <w:tc>
          <w:tcPr>
            <w:tcW w:w="24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left"/>
              <w:rPr/>
            </w:pPr>
            <w:r>
              <w:rPr/>
              <w:t>$</w:t>
            </w:r>
          </w:p>
        </w:tc>
        <w:tc>
          <w:tcPr>
            <w:tcW w:w="1145" w:type="dxa"/>
            <w:tcBorders/>
            <w:shd w:fill="CCEEFF" w:val="clear"/>
            <w:vAlign w:val="bottom"/>
          </w:tcPr>
          <w:p>
            <w:pPr>
              <w:pStyle w:val="TableContents"/>
              <w:spacing w:before="0" w:after="283"/>
              <w:jc w:val="right"/>
              <w:rPr/>
            </w:pPr>
            <w:r>
              <w:rPr/>
              <w:t>9.1</w:t>
            </w:r>
          </w:p>
        </w:tc>
        <w:tc>
          <w:tcPr>
            <w:tcW w:w="147"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loans are secured by the titles to customers automobiles. Lending decisions and loan amounts are determined based on customers income levels, an inspection of the automobile and title and reference to market values of used automobiles. Auction proceeds from repossessed automobiles reduce bad debt.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the time a signature loan or auto title loan is made, a loan agreement and credit services agreement, when applicable, are given to the borrower. It presents the name and address of the lender, the borrower and the credit services company when applicable, the borrowers identification information, the date of the loan, the amount financed, the interest or service charges due on maturity, the maturity date of the loan, the total amount that must be paid and the annual percentage rate.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Seasonality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fiscal quarters and lowest in the second fiscal quarter due primarily to the impact of tax refunds.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income tax refund season.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typical company pawn store employs approximately six full-time equivalent employees (FTEs), consisting of a store manager, an operations manager and four pawnbrokers. Each store manager is responsible for ensuring that the store is run in accordance with our policies, procedures and operating guidelines, and reports to an area manager. Area managers are responsible for the performance of all stores within their area and report to one of our regional directors, who in turn report to a Vice President. Area managers, store managers and operations managers receive incentive compensation based on the performance of their store or area in comparison to an operating budget. Our U.S. pawnbrokers are also eligible to receive incentive compensation based on the stores performance and their individual productivity performance. The incentive compensation for our pawn employees typically ranges between 5% and 30% of their total compensation. The total compensation of our regional directors is also dependent upon the performance of their region or district.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Short-term consumer loan stores typically employ two to three FTEs per location, consisting of a store manager and one or two customer service representatives. Each store manager is responsible for ensuring that the store is run in accordance with our policies, procedures and operating guidelines, and reports to an area manager, who is responsible for the stores within a specific operating area. Area managers report to one of the regional directors, who in turn report to the President  Signature Loans. Managers and regional directors receive incentive compensation based on their performance in comparison to an operating budget.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majority of our short-term consumer loan stores, store employees attempt to collect defaulted signature loans in the first 30 days after default. After the initial 30 days, our centralized collection center assumes collection responsibility for these stores loans. The centralized collection center also collects defaulted signature loans for all other locations from the date of default. After attempting to collect for approximately 90 days, we generally sell the remaining defaulted signature loans to a third party or refer them to an outside collection agency for a contingency fee.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an internally developed store level point of sale system that automates the recording of store-level pawn transactions and a separate loan management computer system specifically designed to handle signature loans and auto title loans. We have redundant backup systems in the event of a system failure or natural disaster. Financial data from all stores is processed at the corporate office each day, and the preceding days data are available for management review via our internal network. Our communications network provides information access between the stores and the corporate office.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internal audit staff monitors the perpetual inventory system, lending practices, regulatory compliance and compliance with our policies and procedures. Each location is typically audited four times annually.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September 30, 2010, we employed approximately 4,900 people. We believe that our success is dependent upon our employees ability to provide prompt and courteous customer service and to execute our operating procedures and standards. We seek to hire people who will become long-term, career employees. To achieve our long-range personnel goals, we offer a structured career development program for all of our field associates. This program encompasses computer-based training, formal structured classroom training and supervised on-the-job training. All store associates, including managers, must meet certain competency criteria prior to hire or promotion and participate in on-going training classes and formal instructional programs. Our career development program develops and advances our employees and provides training for the efficient integration of experienced managers and associates from outside the company.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Trademarks and Trade Names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operate our U.S. pawn stores principally under the names EZPAWN or Value Pawn and the Mexico pawn stores under the names EMPEÑO FÁCIL and EMPEÑE SU ORO AL INSTANTE. Our U.S. short-term consumer loan stores operate under a variety of names, including EZMONEY Payday Loans, EZ Loan Services, EZ Payday Advance, AAA Payday Loans and EZPAWN Payday Loans and our CSO stores operate under the name EZMONEY Loan Services. Our short-term consumer loan stores in Canada operate under the name CASHMAX. We have registered with the United States Patent and Trademark Office the names EZPAWN, EZMONEY and EZCORP, among others. We hold a trademark in Mexico for the name EMPEÑO FÁCIL.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Growth and Expansion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plan to expand the number of locations we operate through opening new locations and through acquisitions. We believe that in the near term the largest growth opportunities are with new pawn stores in Mexico and the U.S., short-term consumer loan stores in Canada and pawn store acquisitions in the United States. We continually evaluate and test new products and formats, which may result in further expansion opportunities.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June 2010, we acquired eight pawn stores located in Central and South Florida and five pawn stores located in the Chicago metropolitan area. These acquisitions further strengthen our leadership position in Florida and represent our initial entrance to the Chicago area. In September 2010 we acquired two pawn stores in Corpus Christi, Texas and one pawn store in Las Vegas, Nevada. During fiscal 2010, we also opened seven pawn stores in the United States, 53 pawn stores in Mexico, 50 short-term consumer loan stores in Canada and one in the United States. In fiscal 2011, we plan to open 55 to 60 Empeño Fácil pawn locations in Mexico, 35 to 40 CASHMAX locations in Canada, and 10 pawn stores in the United States.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seven new U.S. pawn stores opened in fiscal 2010 required an average property and equipment investment of approximately $266,000. The 50 new CASHMAX stores opened in fiscal 2010 required an average property and equipment investment of approximately $67,000. In fiscal 2010 we opened 34 Empeñe Su Oro jewelry only stores and 19 full line pawn stores for a total of 53 new pawn stores in Mexico. The jewelry only stores required an average property and equipment investment of approximately $39,000 with the full line pawn stores averaging a property and equipment investment of $110,000.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ability to add new stores is dependent on several variables, such as the availability of acceptable sites or acquisition candidates, the regulatory environment, local zoning ordinances, access to capital and the availability of qualified personnel.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Competition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encounter significant competition in connection with all of our activities. These competitive conditions may adversely affect our revenues, profitability and ability to expand. In our lending business, we compete with other pawn stores, payday lenders, credit service organizations, banks, credits unions and other financial institutions, such as consumer finance companies. Other lenders may lend money on an unsecured basis, at interest rates that may be lower than our service charges and on other terms that may be more favorable than ours. We believe that the primary elements of competition are the quality of customer service and relationship management, store location, a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customer friendly store environment and the ability to loan competitive amounts at competitive rates. In addition, we believe the ability to compete effectively will be based increasingly on strong general management, regional focus, automated management information systems, access to capital, and superior customer service.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competitors for merchandise sales include numerous retail and wholesale stores, including jewelry stores, discount retail stores, consumer electronics stores, other pawn stores, other resale stores, electronic commerce retailers and auction sites. Competitive factors in our retail operations include the ability to provide the customer with a variety of merchandise at an exceptional value.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pawn industry in the United States is large and highly fragmented. The industry consists of approximately 11,000 pawn stores owned primarily by independent operators who own one to three locations, and we consider the industry relatively mature. We are the second largest operator of pawn stores in the United States, with 390 locations at September 30, 2010. The three largest pawn store operators account for approximately ten percent of the total estimated pawn stores in the United States.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pawn industry in Mexico is also fragmented, but less so than in the United States. The industry consists of approximately 5,000 pawn stores owned by independent operators and chains, including some owned by not-for-profit organizations. The pawn industry, particularly full-line stores offering general merchandise and jewelry loans and resale, remains in more of an expansion stage in Mexico than in the United States. The market for gold-only pawn stores is still in an expansion phase in Mexico, although is closer to maturity than full-line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short-term consumer loan industry in the United States is larger and more concentrated than the pawn industry. The industry consists of approximately 22,000 locations that are either mono-line stores offering only short-term consumer loans, or other businesses offering short-term consumer loans in addition to other products and services, such as check cashing stores and pawn stores. The ten largest short-term consumer loan companies, including us, operate approximately 40% of the total number of locations.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short-term consumer loan industry in Canada remains in a growth stage. The industry consists of approximately 1,400 locations that are either mono-line stores offering only short-term consumer loans, or other businesses offering short-term consumer loans in addition to other products and services, such as check cashing stores and pawn stores. The Canadian short-term consumer loan industry is highly concentrated, with the three largest companies operating approximately 70% of the total number of locations.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Strategic Investments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2010, we held almost 30% of the outstanding shares of Albemarle &amp; Bond Holdings PLC. At June 30, 2010, the latest date at which Albemarle &amp; Bond has publicly reported results, Albemarle &amp; Bond operated 132 locations in the United Kingdom that offer pawn loans, payday loans, installment loans, check cashing and retail jewelry. For Albemarle &amp; Bonds fiscal year ended June 30, 2010, its turnover (gross revenues) increased 48% to £82.0 million ($129.8 million), its profit after tax (net income) increased 35% over the prior year to approximately £14.4 million ($22.8 million), and its diluted earnings per share increased 34% to £0.2589 ($0.4097). Albemarle &amp; Bond is based in Bristol, England, and its stock is publicly traded on the Alternative Investment Market of the London Stock Exchange. We are its largest single shareholder and currently hold three of the nine seats on Albemarle &amp; Bonds board of directors. We account for our investment in Albemarle &amp; Bond under the equity method. In fiscal 2010, our interest in Albemarle &amp; Bonds income was $6.8 million and we received dividends of $2.3 million. Based on the closing price and exchange rates on September 30, 2010, the market value of our investment in Albemarle &amp; Bond was approximately $75.5 million compared to its book value of $43.1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November 2009 we acquired approximately 108.2 million shares of newly issued capital stock of Cash Converters International Limited, a public company headquartered in Perth, Australia, giving us approximately 30% ownership after the transaction. We paid AUS $0.50 per share, for a total cash investment of AUS $54.1 million (approximately U.S. $49.6 million including direct transaction costs). We acquired 16.2 million additional shares in May 2010 at a cost of AUS $9.7 million (approximately U.S. $8.2 million), which increased our ownership level to approximately 33%. As its largest single shareholder and pursuant to a shareholder agreement, we hold two of the five seats on Cash Converters board of directors. Cash Converters franchises and operates a worldwide network of over 500 financial services and retail stores, which provide pawn loans, short-term unsecured loans, and other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consumer finance products, and buy and sell used merchandise. Cash Converters now owns and operates 39 locations in Australia and 32 locations in the United Kingdom, and has more than 500 franchised stores in 21 countries, including 138 in Australia, 157 in the United Kingdom and significant presences in Spain, South Africa and France. During the past several years, Cash Converters has been buying back franchised locations and converting them into company operated stores. We expect the proceeds from our investments will be used to accelerate this buy back activity, as well as increase Cash Converters portfolio of short-term consumer loans in Australia and the U.K.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its fiscal year ended June 30, 2010, Cash Converters gross revenue improved 35% to AUS $127.8 million (U.S. $112.7 million), net income improved 34% to AUS $21.7 million (U.S. $19.1 million), and diluted earnings per share decreased 1% to AUS $0.0658 (U.S. $0.0580). For the year, Cash Converters paid dividends of AUS $0.03 (U.S. $0.0265) per share. We account for our investment in Cash Converters under the equity method. In fiscal 2010, our interest in Cash Converters income was $3.9 million and we received dividends of $1.5 million. Based on the closing price and exchange rates on September 30, 2010, the market value of our investment in Cash Converters was approximately $70.0 million compared to its book value of $58.3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Regulation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operations are subject to extensive regulation under various federal, state and local laws and regulations, and we believe that we conduct our business in material compliance with all of these rules. The following is a general description of significant regulations affecting our business. For a geographic breakdown of our operating locations, see Item 2  Properties.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Pawn Regulations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pawn stores are regulated by the states in which they are located and, in some cases, by individual municipalities or other local authorities. The applicable statutes, ordinances and regulations vary from location to location and typically impose licensing requirements for pawn stores or individual pawn store employees. Licensing requirements typically relate to financial responsibility and character, and may establish restrictions on where pawn stores can operate. Additional rules regulate various aspects of the day-to-day pawn operations, including the service charges and interest rates that a pawn store may charge, the maximum amount of a pawn loan, the minimum or maximum term of a pawn loan, the content and format of the pawn ticket and the length of time after a loan default that a pawn store must hold a pawned item before it can be sold.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interest, fees, total payments and annual percentage rate related to each pawn loan transaction. Additional federal regulations applicable to our pawn lending business are described in Other Federal Regulations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Most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Historically, we have not experienced a material number of claims of this nature.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do not purchase, sell or make pawn loans on handguns or assault weapons. Some of our pawn stores in the U.S. handle other types of firearms, such as sporting rifles and other long guns, and each of those shops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Mexico regulates various aspects of the pawn industry at the federal, state and local level. Regulations issued by the federal consumer protection agency, Procuraduría Federal del Consumidor (PROFECO), govern the form of pawn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loan contracts and consumer disclosures, but the regulations do not impose interest rate or service charge limitations on pawn loans. Pawn stores, like other businesses in Mexico, are also subject to a variety of regulations in such areas as tax compliance, customs, consumer protection and employment.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Short-Term Consumer Loan Regulations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state in which we offer short-term consumer loan products has specific laws and regulations dealing with the conduct of this business. These laws and regulations vary in scope, but generally require licensing of locations, establish loan terms, provide for consumer protections and disclosures, and permit periodic regulatory examinations. In the case of payday loans, most applicable laws and regulations limit the amount of fees that may be charged, establish maximum loan amounts and duration, and restrict the customers ability to renew or extend the loan. Some states require reporting of customers payday loan activities to a state-wide database, and prohibit the making of payday loans to customers who have payday loans outstanding with other lenders. Some municipalities in which we operate also impose various rules and regulations, primarily related to zoning and licensing requirements. Failure to observe applicable legal requirements could result in a loss of license, the imposition of fines or customer refunds, and other civil or criminal penalties.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must also comply with various federal requirements (including the Truth in Lending Act and Regulation Z) regarding the disclosure of interest, fees, total payments and annual percentage rate related to each loan transaction. With respect to our debt collection activities, we comply with the federal Fair Debt Collection Practices Act and similar state laws regulating debt collection practices. Additional federal regulations applicable to our short-term consumer loan business are described in Other Federal Regulations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Texas, we do not make loans to customers, but rather offer fee-based credit services, including assistance in arranging loans with independent third-party lenders. As required by state law, we are registered as a Credit Services Organization (CSO) in order to provide such services. Texas law requires us to provide each customer with an upfront disclosure statement describing, among other things, the services to be provided and the fees to be charged and, upon entering into a transaction, with a written contract fully describing the services provided. State law prohibits us from receiving compensation solely for referring a customer to a lender and also provides for other disclosure requirements, cancellation rights for customers, and prohibitions on fraudulent or deceptive conduct. Violations of the CSO law could subject us to criminal and civil liability. The independent lenders are not required to be licensed and are not regulated by any state agency so long as the interest rate charged on the loan does not exceed 10% per annum. The lenders are also permitted to charge late fees and insufficient funds fees. The lenders are subject to the federal regulations described below with regard to their lending activities.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Legislators and regulators frequently scrutinize the legislative and regulatory environment for short-term lending, often proposing additional legislative and regulatory restrictions ranging from additional disclosure requirements to limits on rates and fees. In some cases, rate and fee limits would effectively prohibit certain short-term lending products, such as payday loans, because it would no longer be economically feasible for most lenders to offer such products.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Dodd-Frank Wall Street Reform and Consumer Protection Act was enacted in July 2010. This new federal law, among other things, establishes a Bureau of Consumer Financial Protection, which will regulate companies that offer or supply consumer financial products and services, including payday loans, pawn loans and other products and services that we offer. The act contains provisions relating to the establishment of the bureau, the transfer of authority and staff from existing federal regulatory agencies and the provision of funding for the bureau. Those provisions are in the very early stages of implementation, and until the bureau has become operational and begins to propose rules and regulations that apply to our activities, it is not possible to accurately predict what affect the bureau will have on our business.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fiscal 2010, legislation adversely affecting our business was enacted in Colorado and Wisconsin. The new Colorado law, which became effective August 11, 2010, eliminated the traditional short-term payday loan product by requiring that payday loans have a minimum term of six months and an annual interest rate of no more than 45%. But the new law permits six-month installment loans and certain add-on fees such as finance charges and maintenance fees. The new Wisconsin law, which becomes effective January 1, 2011, limits the dollar amount of payday loans a customer can have outstanding at any one time, establishes statewide database reporting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requirements, redefines payday loans to bring some installment loan products within the definition and completely eliminates auto title loans in Wisconsin. After evaluating the estimated impact of these new laws on our operations, we decided to consolidate three of our short-term consumer loan stores in Colorado and to consolidate or close eight of our stores in Wisconsin. With respect to the remaining stores, we have implemented, or are in the process of designing and implementing, new or modified products that will fit within the new regulatory frameworks and are evaluating the feasibility of additional product offerings to enhance our business in those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can be no assurance that additional legislative or regulatory efforts to eliminate or restrict the availability of certain short-term loan products, including payday loans and auto title loans, will not be successful, despite significant customer demand. To the extent such efforts are successful, our short-term consumer loan business could be adversely affected. See Item 1A  Risk Factors.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Federal Regulations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of our lending activities, both pawn loans and short-term consumer loans, are subject to other state and federal statutes and regulations, including the following: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In addition, the Federal Fair and Accurate Credit Transactions Act requires us to adopt written guidance and procedures for detecting, preventing and mitigating identity theft, and to adopt various policies and procedures (including employee training) that address the importance of protecting non-public personal information and aid in detecting and responding to suspicious activity or identify theft red flags.</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The federal Equal Credit Opportunity Act prohibits discrimination against any credit applicant on the basis of any protected category such as race, color, religion, national origin, sex, marital status or age. If we deny an application for credit, we are required to provide the applicant with a Notice of Adverse Action, informing the applicant of the action taken regarding the credit application, a statement of the prohibition on discrimination, the name and address of both the creditor and the federal agency that monitors compliance, and the applicants right to learn the specific reasons for the denial.</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Under the USA PATRIOT Act, we must maintain an anti-money laundering compliance program that includes the development of internal policies, procedures, and controls; the designation of a compliance officer; an ongoing employee training program; and an independent audit function to test the program.</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We are also subject to the Bank Secrecy Act and its underlying regulations, which requires us to report and maintain records of certain high-dollar transactions. In addition, federal regulations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Federal law limits the annual percentage rate that may be charged on loans made to active duty military personnel and their immediate families at 36%. This 36% annual percentage rate cap applies to a variety of loan products, including signature loans, though it does not apply to pawn loans. We do not make signature loans to active duty military personnel or their immediate families because it is not economically feasible for us to do so at these rates.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Available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public may read and copy any materials that we file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Information on our website is not incorporated by reference into this report. </w:t>
      </w:r>
    </w:p>
    <w:p>
      <w:pPr>
        <w:pStyle w:val="TextBody"/>
        <w:spacing w:before="120" w:after="283"/>
        <w:jc w:val="left"/>
        <w:rPr>
          <w:rFonts w:ascii="Times New Roman;Times;serif" w:hAnsi="Times New Roman;Times;serif"/>
          <w:sz w:val="17"/>
        </w:rPr>
      </w:pPr>
      <w:bookmarkStart w:id="5" w:name="103"/>
      <w:bookmarkEnd w:id="5"/>
      <w:r>
        <w:rPr>
          <w:rFonts w:ascii="Times New Roman;Times;serif" w:hAnsi="Times New Roman;Times;serif"/>
          <w:b/>
          <w:smallCaps/>
          <w:sz w:val="17"/>
        </w:rPr>
        <w:t>Item</w:t>
      </w:r>
      <w:r>
        <w:rPr>
          <w:rFonts w:ascii="Times New Roman;Times;serif" w:hAnsi="Times New Roman;Times;serif"/>
          <w:sz w:val="17"/>
        </w:rPr>
        <w:t xml:space="preserve"> </w:t>
      </w:r>
      <w:r>
        <w:rPr>
          <w:rFonts w:ascii="Times New Roman;Times;serif" w:hAnsi="Times New Roman;Times;serif"/>
          <w:b/>
          <w:sz w:val="17"/>
        </w:rPr>
        <w:t xml:space="preserve">1A. </w:t>
      </w:r>
      <w:r>
        <w:rPr>
          <w:rFonts w:ascii="Times New Roman;Times;serif" w:hAnsi="Times New Roman;Times;serif"/>
          <w:b/>
          <w:smallCaps/>
          <w:sz w:val="17"/>
        </w:rPr>
        <w:t>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many risks and uncertainties that may affect the operations, performance, development and results of our business. Many of these risks are beyond our control. The following is a description of the important risk factors that may affect our business. If any one or more of these risks actually occur, our business, financial condition or results of operations would likely suffer.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b/>
              </w:rPr>
              <w:t xml:space="preserve">Changes in laws and regulations affecting our financial services and products could have a material adverse effect on our operations and financial performance. </w:t>
            </w:r>
            <w:r>
              <w:rPr/>
              <w:t>Our financial products and services are subject to extensive regulation under various federal, state and local laws and regulations. There have been, and continue to be, legislative and regulatory efforts to regulate, prohibit or severely restrict some of the types of short-term financial services and products we offer, particularly payday loans and auto title loans.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As noted above under Item 1  Business  Regulation, the recently enacted Dodd-Frank Wall Street Reform and Consumer Protection Act establishes a Bureau of Consumer Financial Protection, which will have the power to, among other things, regulate companies that offer or supply payday loans, pawn loans and other products and services that we offer. Until the bureau has become operational and begins to propose rules and regulations that apply to our activities, it is not possible to accurately predict what affect the bureau will have on our business. There can be no assurance that the bureau will not propose and enact rules or regulations that would have a material adverse effect on our operations and financial performance.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Adverse legislation could also be enacted in any state in which we operate. As noted above under Item 1  Business  Regulation, recent legislative changes in Colorado and Wisconsin adversely affected our business in those states. Although we decided to close or consolidate 11 short-term consumer loan stores in those states because of those changes, we are continuing to operate in the remaining stores with new or modified products that fit within the new regulatory frameworks and are evaluating the feasibility of additional product offerings to enhance our business in those stores. If we are unable to continue to operate profitably under the new laws in either or both of these states, or if adverse legislation is passed in other states, we may decide to close or consolidate additional stores, resulting in decreased revenues, earnings and assets. In particular, a bill has been proposed in Texas that, if enacted in its current form, would adversely affect our short-term consumer loan business in Texas. The next biennual session of the Texas legislature does not begin until January 2011 (and is scheduled to adjourn in May 2011), and thus, it is not possible to say with any certainty what will happen with that bill or any other bill that may be introduced.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Many of the legislative and regulatory efforts that are adverse to the short-term consumer loan industry are the result of the negative characterization of the industry by some consumer advocacy groups and some media reports. We can give no assurance that there will not be further negative characterizations of our industry or that legislative or regulatory efforts to eliminate or restrict the availability of certain short-term loan products, including payday loans and auto title loans, will not be successful despite significant customer demand for such products. Such efforts, if successful, could have a material adverse effect on our operations or financial performance.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5"/>
        <w:gridCol w:w="102"/>
        <w:gridCol w:w="9593"/>
      </w:tblGrid>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b/>
              </w:rPr>
              <w:t xml:space="preserve">A significant or sudden decrease in gold values may have a material impact on our earnings and financial position. </w:t>
            </w:r>
            <w:r>
              <w:rPr/>
              <w:t>Gold jewelry comprises a significant portion of the collateral security for our pawn loans and our inventory, and gold scrapping accounts for a significant portion of our revenues and gross profit. Pawn service charges, sales proceeds and our ability to liquidate excess jewelry inventory at an acceptable margin are dependent upon gold values. The impact on our financial position and results of operations of a hypothetical decrease in gold values cannot be reasonably estimated because the market and competitive response to changes in gold values is not known; however, a significant decline in gold values could result in decreases in sales, sales margins, and pawn service charge revenues.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b/>
              </w:rPr>
              <w:t xml:space="preserve">A significant portion of our business is concentrated in Texas. </w:t>
            </w:r>
            <w:r>
              <w:rPr/>
              <w:t>Over half of our short-term consumer loan stores and almost half of our domestic pawn stores are located in Texas, and those stores account for a significant portion of our revenues and profitability. The legislative, regulatory and general business environment in Texas has been, and continues to be, relatively favorable for our business activities. We have been successful in growing and expanding our businesses in areas outside Texas for the past several years, and we expect that our business in other areas (including Mexico and Canada) will continue to grow faster than our business in Texas. In the foreseeable future, however, a negative legislative or regulatory change in Texas could have a material adverse effect on our overall operations and financial performance.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b/>
              </w:rPr>
              <w:t xml:space="preserve">A significant change in foreign currency exchange rates could have a material adverse impact on our earnings and financial position. </w:t>
            </w:r>
            <w:r>
              <w:rPr/>
              <w:t>We have foreign operations in Mexico and Canada and equity investments in the United Kingdom and Australia. Our assets, investments in, earnings from and dividends from each of these must be translated to U.S. dollars from their respective functional currencies of the Mexican peso, Canadian dollar, British pound and the Australian dollar. A significant weakening of any of these foreign currencies could result in lower assets and earnings in U.S. dollars, resulting in a material adverse impact on our financial position, results of operations and cash flows.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b/>
              </w:rPr>
              <w:t xml:space="preserve">Prolonged periods of economic recession and unemployment could adversely affect our lending and retail businesses. </w:t>
            </w:r>
            <w:r>
              <w:rPr/>
              <w:t>All of our businesses, like other businesses, are subject to fluctuations based on varying economic conditions. Economic conditions and general consumer confidence affect the demand for our retail products and the ability and willingness of our customers to utilize our loan products and services. Our signature loan products and services require the customer to have a verifiable recurring source of income. Consequently, we may experience reduced demand for our signature loan products during prolonged periods of high unemployment. Weakened economic conditions may also result in an increase in loan defaults and loan losses. Even in the current economic environment, we have been able to efficiently manage our bad debt through our underwriting and collection efforts. There can be no assurance that we will be able to sustain our current bad debt rates or that we will not experience increasing difficulty in collecting defaulted loans.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b/>
              </w:rPr>
              <w:t xml:space="preserve">A significant portion of our short-term consumer loan revenues and profitability is dependent upon the ability and willingness of unaffiliated lenders to make loans to our customers. </w:t>
            </w:r>
            <w:r>
              <w:rPr/>
              <w:t>In Texas, where over half of our short-term consumer loan stores are located, we do not make such loans to customers, but assist customers in arranging loans with unaffiliated lenders. Our short-term consumer loan business could be adversely affected if (a) we were to lose our current relationships with unaffiliated lenders and were unable to establish a relationship with another unaffiliated lender who was willing and able to make short-term loans to our Texas customers or (b) the unaffiliated lenders are unable to obtain capital or other sources of funding at appropriate rates.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b/>
              </w:rPr>
              <w:t xml:space="preserve">Achievement of our growth objectives is dependent upon our ability to open and acquire new stores. </w:t>
            </w:r>
            <w:r>
              <w:rPr/>
              <w:t>Our expansion strategy includes opening new stores and acquiring existing stores. The success of this strategy is subject to numerous factors that cannot be predicted or controlled, such as the availability of acceptable locations, the ability to obtain required government permits and licenses, the availability of attractive acquisition candidates and our ability to attract, train and retain qualified associates. Failure to achieve our expansion goals would adversely affect our prospects and future results of operations.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210"/>
        <w:gridCol w:w="103"/>
        <w:gridCol w:w="9588"/>
      </w:tblGrid>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Changes in the business, regulatory or political climate in Mexico or Canada could adversely affect our operations in those countries, which could adversely affect our growth plans. </w:t>
            </w:r>
            <w:r>
              <w:rPr/>
              <w:t>Our growth plans include significant expansion in Mexico and Canada. Changes in the business, regulatory or political climate in either of those countries, or significant fluctuations in currency exchange rates could affect our ability to expand or continue our operations there, which could have a material adverse impact on our prospects, results of operations and cash flows.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Drug related violence could adversely affect our operations and growth plans in Mexico. </w:t>
            </w:r>
            <w:r>
              <w:rPr/>
              <w:t>To date, the drug related violence in Mexico has been most prevalent along the United States border and other areas where we do not have a significant presence, and has had little effect on our operations. If the violence were to spread to other areas of Mexico, where we have a greater presence, it could affect our ability to expand or continue our operations there, which could have a material adverse impact on our prospects, results of operations, cash flows and assets.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Fluctuations in our sales, pawn loan balances, sales margins, pawn redemption rates and loan default and collection rates could have a material adverse impact on our operating results. </w:t>
            </w:r>
            <w:r>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Changes in our liquidity and capital requirements or in banks abilities or willingness to lend to us could limit our ability to achieve our plans. </w:t>
            </w:r>
            <w:r>
              <w:rPr/>
              <w:t>We require continued access to capital. A significant reduction in cash flows from operations or the availability of credit could materially and adversely affect our ability to achieve our planned growth and operating results. We currently have a credit agreement with a syndicate of banks. If one of those lenders is unable to provide funding in accordance with its commitment, our available credit could be reduced by the amount of that lenders commitment.</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Changes in competition from various sources could have a material adverse impact on our ability to achieve our plans. </w:t>
            </w:r>
            <w:r>
              <w:rPr/>
              <w:t>We encounter significant competition from other pawn stores, cash advance companies, credit service organizations, online lenders, consumer finance companies and other forms of financial institutions and other retailers, many of which have significantly greater financial resources than we do. Significant increases in the number or size of competitors or other changes in competitive influences could adversely affect our operations through a decrease in the number or quality of loan products and services we are able to provide or our ability to liquidate forfeited collateral at acceptable margins.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Infrastructure failures and breaches in data security could harm our business. </w:t>
            </w:r>
            <w:r>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283"/>
              <w:rPr/>
            </w:pPr>
            <w:r>
              <w:rPr>
                <w:b/>
              </w:rPr>
              <w:t xml:space="preserve">One person beneficially owns all of our voting stock and controls the outcome of all matters requiring a vote of stockholders, which may influence the value of our publicly traded non-voting stock. </w:t>
            </w:r>
            <w:r>
              <w:rPr/>
              <w:t>Phillip E. Cohen is the beneficial owner of all of our Class B Voting Common Stock and controls the outcome of all issues requiring a vote of stockholders. All of our publicly traded stock is non-voting stock. Consequently, stockholders other than Mr. Cohen have no vote with respect to the election of directors or any other matter requiring a vote of stockholders. This lack of voting rights may adversely affect the market value of the publicly traded Class A Non-voting Common Stock.</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b/>
              </w:rPr>
              <w:t xml:space="preserve">We may be subject to litigation proceedings that could harm our business. </w:t>
            </w:r>
            <w:r>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litigation is subject to inherent uncertainties and unfavorable rulings could occur. An unfavorable ruling could include monetary damages or an injunction prohibiting us from conducting our business as we currently do. If we were to receive an unfavorable ruling in a matter, our business and results of operations could be materially harmed.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b/>
              </w:rPr>
              <w:t xml:space="preserve">We invest in companies for strategic reasons and may not realize a return on our investments. </w:t>
            </w:r>
            <w:r>
              <w:rPr/>
              <w:t>We currently have significant investments in Albemarle &amp; Bond Holdings PLC and Cash Converters International Limited, both of which are publicly traded companies based outside the United States. We have made these investments, and may in the future make additional investments in these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If we determine that an other-than-temporary decline in the fair value exists for one of our equity investments, we will be required to write down that investment to its fair value and recognize the related write-down as an investment loss. Furthermore, there can be no assurance that we will be able to dispose of some or all of an investment on favorable terms, should we decide to do so in the future. Any realized investment loss would adversely affect our results of operations.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b/>
              </w:rPr>
              <w:t xml:space="preserve">We may incur property, casualty or other losses not covered by insurance. </w:t>
            </w:r>
            <w:r>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b/>
              </w:rPr>
              <w:t xml:space="preserve">Our acquisitions, investments and other transactions could disrupt our ongoing business and harm our results of operations. </w:t>
            </w:r>
            <w:r>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b/>
              </w:rPr>
            </w:pPr>
            <w:r>
              <w:rPr>
                <w:b/>
              </w:rPr>
              <w:t>We face other risks discussed under Quantitative and Qualitative Disclosures about Market Risk in Item 7A of this Form 10-K.</w:t>
            </w:r>
          </w:p>
        </w:tc>
      </w:tr>
    </w:tbl>
    <w:p>
      <w:pPr>
        <w:pStyle w:val="TextBody"/>
        <w:spacing w:before="120" w:after="283"/>
        <w:jc w:val="left"/>
        <w:rPr>
          <w:rFonts w:ascii="Times New Roman;Times;serif" w:hAnsi="Times New Roman;Times;serif"/>
          <w:sz w:val="17"/>
        </w:rPr>
      </w:pPr>
      <w:bookmarkStart w:id="6" w:name="104"/>
      <w:bookmarkEnd w:id="6"/>
      <w:r>
        <w:rPr>
          <w:rFonts w:ascii="Times New Roman;Times;serif" w:hAnsi="Times New Roman;Times;serif"/>
          <w:b/>
          <w:smallCaps/>
          <w:sz w:val="17"/>
        </w:rPr>
        <w:t>Item</w:t>
      </w:r>
      <w:r>
        <w:rPr>
          <w:rFonts w:ascii="Times New Roman;Times;serif" w:hAnsi="Times New Roman;Times;serif"/>
          <w:sz w:val="17"/>
        </w:rPr>
        <w:t xml:space="preserve"> </w:t>
      </w:r>
      <w:r>
        <w:rPr>
          <w:rFonts w:ascii="Times New Roman;Times;serif" w:hAnsi="Times New Roman;Times;serif"/>
          <w:b/>
          <w:sz w:val="17"/>
        </w:rPr>
        <w:t xml:space="preserve">1B. </w:t>
      </w:r>
      <w:r>
        <w:rPr>
          <w:rFonts w:ascii="Times New Roman;Times;serif" w:hAnsi="Times New Roman;Times;serif"/>
          <w:b/>
          <w:smallCaps/>
          <w:sz w:val="17"/>
        </w:rPr>
        <w:t>Unresolved Staff Comments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bookmarkStart w:id="7" w:name="105"/>
      <w:bookmarkEnd w:id="7"/>
      <w:r>
        <w:rPr>
          <w:rFonts w:ascii="Times New Roman;Times;serif" w:hAnsi="Times New Roman;Times;serif"/>
          <w:b/>
          <w:smallCaps/>
          <w:sz w:val="17"/>
        </w:rPr>
        <w:t>Item 2. Properties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typical pawn store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The typical pawn store has approximately 1,800 square feet of retail space and approximately 3,200 square feet dedicated to collateral storage. Approximately 30% of our pawn stores in Mexico are gold jewelry-only pawn stores with no retail activities, which typically occupy 500 to 1,000 square feet. Short-term consumer loan stores are designed to resemble a bank interior. The typical short-term consumer loan store is approximately 1,000 to 1,500 square feet and is located in a retail strip center. Some of our short-term consumer loan stores adjoin a pawn location and occupy approximately 300 to 500 square feet, with a different entrance, signage, décor, and staffing. From the customers perspective, these are viewed as a separate business, but they are covered by the same lease agreement. We maintain property and general liability insurance for each of our stores. Our stores are open six or seven days a week.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lease substantially all of our locations, and generally lease facilities for a term of three to ten years with one or more renewal options. Our existing leases expire on dates ranging between November 30, 2010 and July 31, 2026,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summary of changes in the number of store locations during fiscal 2010, 2009 and 2008. </w:t>
      </w:r>
    </w:p>
    <w:tbl>
      <w:tblPr>
        <w:tblW w:w="5000" w:type="pct"/>
        <w:jc w:val="center"/>
        <w:tblInd w:w="0" w:type="dxa"/>
        <w:tblCellMar>
          <w:top w:w="0" w:type="dxa"/>
          <w:left w:w="0" w:type="dxa"/>
          <w:bottom w:w="0" w:type="dxa"/>
          <w:right w:w="0" w:type="dxa"/>
        </w:tblCellMar>
      </w:tblPr>
      <w:tblGrid>
        <w:gridCol w:w="5382"/>
        <w:gridCol w:w="409"/>
        <w:gridCol w:w="142"/>
        <w:gridCol w:w="1005"/>
        <w:gridCol w:w="181"/>
        <w:gridCol w:w="439"/>
        <w:gridCol w:w="142"/>
        <w:gridCol w:w="800"/>
        <w:gridCol w:w="181"/>
        <w:gridCol w:w="439"/>
        <w:gridCol w:w="141"/>
        <w:gridCol w:w="803"/>
        <w:gridCol w:w="141"/>
      </w:tblGrid>
      <w:tr>
        <w:trPr/>
        <w:tc>
          <w:tcPr>
            <w:tcW w:w="5382"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382"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4273"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141" w:type="dxa"/>
            <w:tcBorders/>
            <w:shd w:fill="auto" w:val="clear"/>
            <w:vAlign w:val="bottom"/>
          </w:tcPr>
          <w:p>
            <w:pPr>
              <w:pStyle w:val="TableContents"/>
              <w:spacing w:before="0" w:after="283"/>
              <w:rPr/>
            </w:pPr>
            <w:r>
              <w:rPr/>
              <w:t> </w:t>
            </w:r>
          </w:p>
        </w:tc>
      </w:tr>
      <w:tr>
        <w:trPr/>
        <w:tc>
          <w:tcPr>
            <w:tcW w:w="5382"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1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8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94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8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94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41" w:type="dxa"/>
            <w:tcBorders/>
            <w:shd w:fill="auto" w:val="clear"/>
            <w:vAlign w:val="bottom"/>
          </w:tcPr>
          <w:p>
            <w:pPr>
              <w:pStyle w:val="TableContents"/>
              <w:spacing w:before="0" w:after="283"/>
              <w:rPr/>
            </w:pPr>
            <w:r>
              <w:rPr/>
              <w:t> </w:t>
            </w:r>
          </w:p>
        </w:tc>
      </w:tr>
      <w:tr>
        <w:trPr/>
        <w:tc>
          <w:tcPr>
            <w:tcW w:w="5382" w:type="dxa"/>
            <w:tcBorders/>
            <w:shd w:fill="CCEEFF" w:val="clear"/>
            <w:vAlign w:val="bottom"/>
          </w:tcPr>
          <w:p>
            <w:pPr>
              <w:pStyle w:val="TableContents"/>
              <w:spacing w:before="0" w:after="0"/>
              <w:ind w:left="225" w:right="0" w:hanging="225"/>
              <w:rPr/>
            </w:pPr>
            <w:r>
              <w:rPr/>
              <w:t>Store count at beginning of fiscal year</w:t>
            </w:r>
          </w:p>
        </w:tc>
        <w:tc>
          <w:tcPr>
            <w:tcW w:w="40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pPr>
            <w:r>
              <w:rPr/>
              <w:t>910</w:t>
            </w:r>
          </w:p>
        </w:tc>
        <w:tc>
          <w:tcPr>
            <w:tcW w:w="181"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809</w:t>
            </w:r>
          </w:p>
        </w:tc>
        <w:tc>
          <w:tcPr>
            <w:tcW w:w="181"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731</w:t>
            </w:r>
          </w:p>
        </w:tc>
        <w:tc>
          <w:tcPr>
            <w:tcW w:w="141" w:type="dxa"/>
            <w:tcBorders/>
            <w:shd w:fill="CCEEFF" w:val="clear"/>
            <w:vAlign w:val="bottom"/>
          </w:tcPr>
          <w:p>
            <w:pPr>
              <w:pStyle w:val="TableContents"/>
              <w:spacing w:before="0" w:after="283"/>
              <w:rPr/>
            </w:pPr>
            <w:r>
              <w:rPr/>
              <w:t> </w:t>
            </w:r>
          </w:p>
        </w:tc>
      </w:tr>
      <w:tr>
        <w:trPr/>
        <w:tc>
          <w:tcPr>
            <w:tcW w:w="5382" w:type="dxa"/>
            <w:tcBorders/>
            <w:shd w:fill="auto" w:val="clear"/>
            <w:vAlign w:val="bottom"/>
          </w:tcPr>
          <w:p>
            <w:pPr>
              <w:pStyle w:val="TableContents"/>
              <w:spacing w:before="0" w:after="0"/>
              <w:ind w:left="225" w:right="0" w:hanging="225"/>
              <w:rPr/>
            </w:pPr>
            <w:r>
              <w:rPr/>
              <w:t>New stores opened</w:t>
            </w:r>
          </w:p>
        </w:tc>
        <w:tc>
          <w:tcPr>
            <w:tcW w:w="40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pPr>
            <w:r>
              <w:rPr/>
              <w:t>111</w:t>
            </w:r>
          </w:p>
        </w:tc>
        <w:tc>
          <w:tcPr>
            <w:tcW w:w="18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42</w:t>
            </w:r>
          </w:p>
        </w:tc>
        <w:tc>
          <w:tcPr>
            <w:tcW w:w="181"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80</w:t>
            </w:r>
          </w:p>
        </w:tc>
        <w:tc>
          <w:tcPr>
            <w:tcW w:w="141" w:type="dxa"/>
            <w:tcBorders/>
            <w:shd w:fill="auto" w:val="clear"/>
            <w:vAlign w:val="bottom"/>
          </w:tcPr>
          <w:p>
            <w:pPr>
              <w:pStyle w:val="TableContents"/>
              <w:spacing w:before="0" w:after="283"/>
              <w:rPr/>
            </w:pPr>
            <w:r>
              <w:rPr/>
              <w:t> </w:t>
            </w:r>
          </w:p>
        </w:tc>
      </w:tr>
      <w:tr>
        <w:trPr/>
        <w:tc>
          <w:tcPr>
            <w:tcW w:w="5382" w:type="dxa"/>
            <w:tcBorders/>
            <w:shd w:fill="CCEEFF" w:val="clear"/>
            <w:vAlign w:val="bottom"/>
          </w:tcPr>
          <w:p>
            <w:pPr>
              <w:pStyle w:val="TableContents"/>
              <w:spacing w:before="0" w:after="0"/>
              <w:ind w:left="225" w:right="0" w:hanging="225"/>
              <w:rPr/>
            </w:pPr>
            <w:r>
              <w:rPr/>
              <w:t>Acquired stores</w:t>
            </w:r>
          </w:p>
        </w:tc>
        <w:tc>
          <w:tcPr>
            <w:tcW w:w="40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pPr>
            <w:r>
              <w:rPr/>
              <w:t>16</w:t>
            </w:r>
          </w:p>
        </w:tc>
        <w:tc>
          <w:tcPr>
            <w:tcW w:w="181"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78</w:t>
            </w:r>
          </w:p>
        </w:tc>
        <w:tc>
          <w:tcPr>
            <w:tcW w:w="181"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20</w:t>
            </w:r>
          </w:p>
        </w:tc>
        <w:tc>
          <w:tcPr>
            <w:tcW w:w="141" w:type="dxa"/>
            <w:tcBorders/>
            <w:shd w:fill="CCEEFF" w:val="clear"/>
            <w:vAlign w:val="bottom"/>
          </w:tcPr>
          <w:p>
            <w:pPr>
              <w:pStyle w:val="TableContents"/>
              <w:spacing w:before="0" w:after="283"/>
              <w:rPr/>
            </w:pPr>
            <w:r>
              <w:rPr/>
              <w:t> </w:t>
            </w:r>
          </w:p>
        </w:tc>
      </w:tr>
      <w:tr>
        <w:trPr/>
        <w:tc>
          <w:tcPr>
            <w:tcW w:w="5382" w:type="dxa"/>
            <w:tcBorders/>
            <w:shd w:fill="auto" w:val="clear"/>
            <w:vAlign w:val="bottom"/>
          </w:tcPr>
          <w:p>
            <w:pPr>
              <w:pStyle w:val="TableContents"/>
              <w:spacing w:before="0" w:after="0"/>
              <w:ind w:left="225" w:right="0" w:hanging="225"/>
              <w:rPr/>
            </w:pPr>
            <w:r>
              <w:rPr/>
              <w:t>Stores closed or consolidated</w:t>
            </w:r>
          </w:p>
        </w:tc>
        <w:tc>
          <w:tcPr>
            <w:tcW w:w="40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283"/>
              <w:jc w:val="right"/>
              <w:rPr/>
            </w:pPr>
            <w:r>
              <w:rPr/>
              <w:t>(31</w:t>
            </w:r>
          </w:p>
        </w:tc>
        <w:tc>
          <w:tcPr>
            <w:tcW w:w="181" w:type="dxa"/>
            <w:tcBorders/>
            <w:shd w:fill="auto" w:val="clear"/>
            <w:vAlign w:val="bottom"/>
          </w:tcPr>
          <w:p>
            <w:pPr>
              <w:pStyle w:val="TableContents"/>
              <w:spacing w:before="0" w:after="283"/>
              <w:rPr/>
            </w:pPr>
            <w:r>
              <w:rPr/>
              <w:t>)</w:t>
            </w:r>
          </w:p>
        </w:tc>
        <w:tc>
          <w:tcPr>
            <w:tcW w:w="43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(19</w:t>
            </w:r>
          </w:p>
        </w:tc>
        <w:tc>
          <w:tcPr>
            <w:tcW w:w="181" w:type="dxa"/>
            <w:tcBorders/>
            <w:shd w:fill="auto" w:val="clear"/>
            <w:vAlign w:val="bottom"/>
          </w:tcPr>
          <w:p>
            <w:pPr>
              <w:pStyle w:val="TableContents"/>
              <w:spacing w:before="0" w:after="283"/>
              <w:rPr/>
            </w:pPr>
            <w:r>
              <w:rPr/>
              <w:t>)</w:t>
            </w:r>
          </w:p>
        </w:tc>
        <w:tc>
          <w:tcPr>
            <w:tcW w:w="43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right"/>
              <w:rPr/>
            </w:pPr>
            <w:r>
              <w:rPr/>
              <w:t>(22</w:t>
            </w:r>
          </w:p>
        </w:tc>
        <w:tc>
          <w:tcPr>
            <w:tcW w:w="141" w:type="dxa"/>
            <w:tcBorders/>
            <w:shd w:fill="auto" w:val="clear"/>
            <w:vAlign w:val="bottom"/>
          </w:tcPr>
          <w:p>
            <w:pPr>
              <w:pStyle w:val="TableContents"/>
              <w:spacing w:before="0" w:after="283"/>
              <w:rPr/>
            </w:pPr>
            <w:r>
              <w:rPr/>
              <w:t>)</w:t>
            </w:r>
          </w:p>
        </w:tc>
      </w:tr>
      <w:tr>
        <w:trPr/>
        <w:tc>
          <w:tcPr>
            <w:tcW w:w="5382"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1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1"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1"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382" w:type="dxa"/>
            <w:tcBorders/>
            <w:shd w:fill="CCEEFF" w:val="clear"/>
            <w:vAlign w:val="bottom"/>
          </w:tcPr>
          <w:p>
            <w:pPr>
              <w:pStyle w:val="TableContents"/>
              <w:spacing w:before="0" w:after="0"/>
              <w:ind w:left="225" w:right="0" w:hanging="225"/>
              <w:rPr/>
            </w:pPr>
            <w:r>
              <w:rPr/>
              <w:t>Store count at end of fiscal year</w:t>
            </w:r>
          </w:p>
        </w:tc>
        <w:tc>
          <w:tcPr>
            <w:tcW w:w="40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pPr>
            <w:r>
              <w:rPr/>
              <w:t>1,006</w:t>
            </w:r>
          </w:p>
        </w:tc>
        <w:tc>
          <w:tcPr>
            <w:tcW w:w="181"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910</w:t>
            </w:r>
          </w:p>
        </w:tc>
        <w:tc>
          <w:tcPr>
            <w:tcW w:w="181"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809</w:t>
            </w:r>
          </w:p>
        </w:tc>
        <w:tc>
          <w:tcPr>
            <w:tcW w:w="141" w:type="dxa"/>
            <w:tcBorders/>
            <w:shd w:fill="CCEEFF" w:val="clear"/>
            <w:vAlign w:val="bottom"/>
          </w:tcPr>
          <w:p>
            <w:pPr>
              <w:pStyle w:val="TableContents"/>
              <w:spacing w:before="0" w:after="283"/>
              <w:rPr/>
            </w:pPr>
            <w:r>
              <w:rPr/>
              <w:t> </w:t>
            </w:r>
          </w:p>
        </w:tc>
      </w:tr>
      <w:tr>
        <w:trPr/>
        <w:tc>
          <w:tcPr>
            <w:tcW w:w="5382"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1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1"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1"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2010, we opened 53 Empeño Fácil pawn stores in Mexico, 50 CASHMAX short-term consumer loan stores in Canada and seven U.S pawn stores. We also acquired 16 pawn stores in the U.S. during fiscal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an ongoing basis, we may close or consolidate under-performing store locations. In fiscal 2010, we closed 10 short-term consumer loan stores, consolidated 19 short-term consumer loan stores into other existing short-term consumer loan stores and consolidated two U.S. pawn stores into existing pawn stores. In fiscal 2009, we closed eight short-term consumer loan stores and consolidated nine short-term consumer loan stores into other existing short-term consumer loan stores and consolidated two U.S. pawn stores into existing pawn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our 450 U.S. short-term consumer loan stores, 158 adjoin a pawn store, but they are covered by the same lease agreement. The lease agreements at approximately 93% of the remaining 292 free-standing U.S. short-term consumer loan stores contain provisions that limit our exposure for additional rent at these stores to only a few months if laws were enacted that had a significant negative effect on our operations at these stores. If such laws were passed, the space currently utilized by stores adjoining pawn stores could be re-incorporated into the pawn operations. Following the passage of such laws in fiscal 2010, we closed or consolidated 11 signature loan stores in Colorado and Wisconsin, resulting in a total rent exposure of approximately $0.2 million.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number of pawn and short-term consumer loan store locations by state or province as of September 30, 2010: </w:t>
      </w:r>
    </w:p>
    <w:tbl>
      <w:tblPr>
        <w:tblW w:w="5000" w:type="pct"/>
        <w:jc w:val="center"/>
        <w:tblInd w:w="0" w:type="dxa"/>
        <w:tblCellMar>
          <w:top w:w="0" w:type="dxa"/>
          <w:left w:w="0" w:type="dxa"/>
          <w:bottom w:w="0" w:type="dxa"/>
          <w:right w:w="0" w:type="dxa"/>
        </w:tblCellMar>
      </w:tblPr>
      <w:tblGrid>
        <w:gridCol w:w="5045"/>
        <w:gridCol w:w="367"/>
        <w:gridCol w:w="160"/>
        <w:gridCol w:w="942"/>
        <w:gridCol w:w="109"/>
        <w:gridCol w:w="367"/>
        <w:gridCol w:w="219"/>
        <w:gridCol w:w="1302"/>
        <w:gridCol w:w="109"/>
        <w:gridCol w:w="366"/>
        <w:gridCol w:w="133"/>
        <w:gridCol w:w="970"/>
        <w:gridCol w:w="116"/>
      </w:tblGrid>
      <w:tr>
        <w:trPr/>
        <w:tc>
          <w:tcPr>
            <w:tcW w:w="50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521" w:type="dxa"/>
            <w:gridSpan w:val="2"/>
            <w:tcBorders/>
            <w:shd w:fill="auto" w:val="clear"/>
            <w:vAlign w:val="bottom"/>
          </w:tcPr>
          <w:p>
            <w:pPr>
              <w:pStyle w:val="TableContents"/>
              <w:spacing w:before="0" w:after="283"/>
              <w:jc w:val="center"/>
              <w:rPr/>
            </w:pPr>
            <w:r>
              <w:rPr/>
              <w:t>Short-Term</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Pawn</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521" w:type="dxa"/>
            <w:gridSpan w:val="2"/>
            <w:tcBorders/>
            <w:shd w:fill="auto" w:val="clear"/>
            <w:vAlign w:val="bottom"/>
          </w:tcPr>
          <w:p>
            <w:pPr>
              <w:pStyle w:val="TableContents"/>
              <w:spacing w:before="0" w:after="283"/>
              <w:jc w:val="center"/>
              <w:rPr/>
            </w:pPr>
            <w:r>
              <w:rPr/>
              <w:t>Consumer</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jc w:val="center"/>
              <w:rPr/>
            </w:pPr>
            <w:r>
              <w:rPr/>
              <w:t>Total</w:t>
            </w:r>
          </w:p>
        </w:tc>
        <w:tc>
          <w:tcPr>
            <w:tcW w:w="116" w:type="dxa"/>
            <w:tcBorders/>
            <w:shd w:fill="auto"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102" w:type="dxa"/>
            <w:gridSpan w:val="2"/>
            <w:tcBorders>
              <w:bottom w:val="single" w:sz="2" w:space="0" w:color="000000"/>
            </w:tcBorders>
            <w:shd w:fill="auto" w:val="clear"/>
            <w:tcMar>
              <w:bottom w:w="28" w:type="dxa"/>
            </w:tcMar>
            <w:vAlign w:val="bottom"/>
          </w:tcPr>
          <w:p>
            <w:pPr>
              <w:pStyle w:val="TableContents"/>
              <w:spacing w:before="0" w:after="283"/>
              <w:jc w:val="center"/>
              <w:rPr/>
            </w:pPr>
            <w:r>
              <w:rPr/>
              <w:t>Locations</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521" w:type="dxa"/>
            <w:gridSpan w:val="2"/>
            <w:tcBorders>
              <w:bottom w:val="single" w:sz="2" w:space="0" w:color="000000"/>
            </w:tcBorders>
            <w:shd w:fill="auto" w:val="clear"/>
            <w:tcMar>
              <w:bottom w:w="28" w:type="dxa"/>
            </w:tcMar>
            <w:vAlign w:val="bottom"/>
          </w:tcPr>
          <w:p>
            <w:pPr>
              <w:pStyle w:val="TableContents"/>
              <w:spacing w:before="0" w:after="283"/>
              <w:jc w:val="center"/>
              <w:rPr/>
            </w:pPr>
            <w:r>
              <w:rPr/>
              <w:t>Loan Locations</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03" w:type="dxa"/>
            <w:gridSpan w:val="2"/>
            <w:tcBorders>
              <w:bottom w:val="single" w:sz="2" w:space="0" w:color="000000"/>
            </w:tcBorders>
            <w:shd w:fill="auto" w:val="clear"/>
            <w:tcMar>
              <w:bottom w:w="28" w:type="dxa"/>
            </w:tcMar>
            <w:vAlign w:val="bottom"/>
          </w:tcPr>
          <w:p>
            <w:pPr>
              <w:pStyle w:val="TableContents"/>
              <w:spacing w:before="0" w:after="283"/>
              <w:jc w:val="center"/>
              <w:rPr/>
            </w:pPr>
            <w:r>
              <w:rPr/>
              <w:t>Locations</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225" w:right="0" w:hanging="225"/>
              <w:rPr/>
            </w:pPr>
            <w:r>
              <w:rPr/>
              <w:t>United States:</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Texas</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186</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290</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476</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Florida</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85</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85</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Colorado</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38</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34</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72</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Wisconsin</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35</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35</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Oklahoma</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20</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6</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26</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Idaho</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20</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20</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Utah</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17</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17</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Alabama</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9</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16</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Nevada</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16</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16</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Indiana</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15</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15</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Kansas</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13</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13</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Missouri</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13</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13</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South Dakota</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7</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Tennessee</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7</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Nebraska</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6</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6</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Illinois</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5</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5</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Georgia</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4</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4</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Louisiana</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3</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3</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Mississippi</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3</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3</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Arkansas</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1</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center"/>
          </w:tcPr>
          <w:p>
            <w:pPr>
              <w:pStyle w:val="TableContents"/>
              <w:spacing w:before="0" w:after="0"/>
              <w:ind w:left="450" w:right="0" w:hanging="225"/>
              <w:rPr/>
            </w:pPr>
            <w:r>
              <w:rPr/>
              <w:t> </w:t>
            </w:r>
          </w:p>
        </w:tc>
        <w:tc>
          <w:tcPr>
            <w:tcW w:w="367"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5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1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045" w:type="dxa"/>
            <w:tcBorders/>
            <w:shd w:fill="auto" w:val="clear"/>
            <w:vAlign w:val="bottom"/>
          </w:tcPr>
          <w:p>
            <w:pPr>
              <w:pStyle w:val="TableContents"/>
              <w:spacing w:before="0" w:after="0"/>
              <w:ind w:left="225" w:right="0" w:hanging="225"/>
              <w:rPr/>
            </w:pPr>
            <w:r>
              <w:rPr/>
              <w:t>Total United States Locations</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390</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450</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840</w:t>
            </w:r>
          </w:p>
        </w:tc>
        <w:tc>
          <w:tcPr>
            <w:tcW w:w="116" w:type="dxa"/>
            <w:tcBorders/>
            <w:shd w:fill="auto"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225" w:right="0" w:hanging="225"/>
              <w:rPr/>
            </w:pPr>
            <w:r>
              <w:rPr/>
              <w:t> </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225" w:right="0" w:hanging="225"/>
              <w:rPr/>
            </w:pPr>
            <w:r>
              <w:rPr/>
              <w:t>Mexico:</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Guanajuato</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19</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19</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Veracruz</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16</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16</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Jalisco</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15</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15</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Puebla</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15</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15</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Mexico</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11</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11</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Tamaulipas</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7</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Michoacán</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7</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Querétaro</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6</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6</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Oaxaca</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6</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6</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Aguascalientes</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5</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5</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Tabasco</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5</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5</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450" w:right="0" w:hanging="225"/>
              <w:rPr/>
            </w:pPr>
            <w:r>
              <w:rPr/>
              <w:t>San Luis Potosí</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3</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3</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center"/>
          </w:tcPr>
          <w:p>
            <w:pPr>
              <w:pStyle w:val="TableContents"/>
              <w:spacing w:before="0" w:after="0"/>
              <w:ind w:left="450" w:right="0" w:hanging="225"/>
              <w:rPr/>
            </w:pPr>
            <w:r>
              <w:rPr/>
              <w:t> </w:t>
            </w:r>
          </w:p>
        </w:tc>
        <w:tc>
          <w:tcPr>
            <w:tcW w:w="367"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5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1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045" w:type="dxa"/>
            <w:tcBorders/>
            <w:shd w:fill="auto" w:val="clear"/>
            <w:vAlign w:val="bottom"/>
          </w:tcPr>
          <w:p>
            <w:pPr>
              <w:pStyle w:val="TableContents"/>
              <w:spacing w:before="0" w:after="0"/>
              <w:ind w:left="225" w:right="0" w:hanging="225"/>
              <w:rPr/>
            </w:pPr>
            <w:r>
              <w:rPr/>
              <w:t>Total Mexico Locations</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115</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115</w:t>
            </w:r>
          </w:p>
        </w:tc>
        <w:tc>
          <w:tcPr>
            <w:tcW w:w="116" w:type="dxa"/>
            <w:tcBorders/>
            <w:shd w:fill="auto"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225" w:right="0" w:hanging="225"/>
              <w:rPr/>
            </w:pPr>
            <w:r>
              <w:rPr/>
              <w:t> </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225" w:right="0" w:hanging="225"/>
              <w:rPr/>
            </w:pPr>
            <w:r>
              <w:rPr/>
              <w:t>Canada:</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450" w:right="0" w:hanging="225"/>
              <w:rPr/>
            </w:pPr>
            <w:r>
              <w:rPr/>
              <w:t>Ontario</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51</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51</w:t>
            </w:r>
          </w:p>
        </w:tc>
        <w:tc>
          <w:tcPr>
            <w:tcW w:w="116" w:type="dxa"/>
            <w:tcBorders/>
            <w:shd w:fill="auto" w:val="clear"/>
            <w:vAlign w:val="bottom"/>
          </w:tcPr>
          <w:p>
            <w:pPr>
              <w:pStyle w:val="TableContents"/>
              <w:spacing w:before="0" w:after="283"/>
              <w:rPr/>
            </w:pPr>
            <w:r>
              <w:rPr/>
              <w:t> </w:t>
            </w:r>
          </w:p>
        </w:tc>
      </w:tr>
      <w:tr>
        <w:trPr/>
        <w:tc>
          <w:tcPr>
            <w:tcW w:w="5045" w:type="dxa"/>
            <w:tcBorders/>
            <w:shd w:fill="auto" w:val="clear"/>
            <w:vAlign w:val="center"/>
          </w:tcPr>
          <w:p>
            <w:pPr>
              <w:pStyle w:val="TableContents"/>
              <w:spacing w:before="0" w:after="0"/>
              <w:ind w:left="450" w:right="0" w:hanging="225"/>
              <w:rPr/>
            </w:pPr>
            <w:r>
              <w:rPr/>
              <w:t> </w:t>
            </w:r>
          </w:p>
        </w:tc>
        <w:tc>
          <w:tcPr>
            <w:tcW w:w="367"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5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1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045" w:type="dxa"/>
            <w:tcBorders/>
            <w:shd w:fill="CCEEFF" w:val="clear"/>
            <w:vAlign w:val="bottom"/>
          </w:tcPr>
          <w:p>
            <w:pPr>
              <w:pStyle w:val="TableContents"/>
              <w:spacing w:before="0" w:after="0"/>
              <w:ind w:left="225" w:right="0" w:hanging="225"/>
              <w:rPr/>
            </w:pPr>
            <w:r>
              <w:rPr/>
              <w:t>Total Canada Locations</w:t>
            </w:r>
          </w:p>
        </w:tc>
        <w:tc>
          <w:tcPr>
            <w:tcW w:w="36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302" w:type="dxa"/>
            <w:tcBorders/>
            <w:shd w:fill="CCEEFF" w:val="clear"/>
            <w:vAlign w:val="bottom"/>
          </w:tcPr>
          <w:p>
            <w:pPr>
              <w:pStyle w:val="TableContents"/>
              <w:spacing w:before="0" w:after="283"/>
              <w:jc w:val="right"/>
              <w:rPr/>
            </w:pPr>
            <w:r>
              <w:rPr/>
              <w:t>51</w:t>
            </w:r>
          </w:p>
        </w:tc>
        <w:tc>
          <w:tcPr>
            <w:tcW w:w="109"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51</w:t>
            </w:r>
          </w:p>
        </w:tc>
        <w:tc>
          <w:tcPr>
            <w:tcW w:w="116" w:type="dxa"/>
            <w:tcBorders/>
            <w:shd w:fill="CCEEFF" w:val="clear"/>
            <w:vAlign w:val="bottom"/>
          </w:tcPr>
          <w:p>
            <w:pPr>
              <w:pStyle w:val="TableContents"/>
              <w:spacing w:before="0" w:after="283"/>
              <w:rPr/>
            </w:pPr>
            <w:r>
              <w:rPr/>
              <w:t> </w:t>
            </w:r>
          </w:p>
        </w:tc>
      </w:tr>
      <w:tr>
        <w:trPr/>
        <w:tc>
          <w:tcPr>
            <w:tcW w:w="5045" w:type="dxa"/>
            <w:tcBorders/>
            <w:shd w:fill="auto" w:val="clear"/>
            <w:vAlign w:val="center"/>
          </w:tcPr>
          <w:p>
            <w:pPr>
              <w:pStyle w:val="TableContents"/>
              <w:spacing w:before="0" w:after="0"/>
              <w:ind w:left="450" w:right="0" w:hanging="225"/>
              <w:rPr/>
            </w:pPr>
            <w:r>
              <w:rPr/>
              <w:t> </w:t>
            </w:r>
          </w:p>
        </w:tc>
        <w:tc>
          <w:tcPr>
            <w:tcW w:w="367"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5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1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5045" w:type="dxa"/>
            <w:tcBorders/>
            <w:shd w:fill="auto" w:val="clear"/>
            <w:vAlign w:val="bottom"/>
          </w:tcPr>
          <w:p>
            <w:pPr>
              <w:pStyle w:val="TableContents"/>
              <w:spacing w:before="0" w:after="0"/>
              <w:ind w:left="225" w:right="0" w:hanging="225"/>
              <w:rPr/>
            </w:pPr>
            <w:r>
              <w:rPr/>
              <w:t> </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5045" w:type="dxa"/>
            <w:tcBorders/>
            <w:shd w:fill="auto" w:val="clear"/>
            <w:vAlign w:val="bottom"/>
          </w:tcPr>
          <w:p>
            <w:pPr>
              <w:pStyle w:val="TableContents"/>
              <w:spacing w:before="0" w:after="0"/>
              <w:ind w:left="225" w:right="0" w:hanging="225"/>
              <w:rPr/>
            </w:pPr>
            <w:r>
              <w:rPr/>
              <w:t>Total Company</w:t>
            </w:r>
          </w:p>
        </w:tc>
        <w:tc>
          <w:tcPr>
            <w:tcW w:w="36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505</w:t>
            </w:r>
          </w:p>
        </w:tc>
        <w:tc>
          <w:tcPr>
            <w:tcW w:w="10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2" w:type="dxa"/>
            <w:tcBorders/>
            <w:shd w:fill="auto" w:val="clear"/>
            <w:vAlign w:val="bottom"/>
          </w:tcPr>
          <w:p>
            <w:pPr>
              <w:pStyle w:val="TableContents"/>
              <w:spacing w:before="0" w:after="283"/>
              <w:jc w:val="right"/>
              <w:rPr/>
            </w:pPr>
            <w:r>
              <w:rPr/>
              <w:t>501</w:t>
            </w:r>
          </w:p>
        </w:tc>
        <w:tc>
          <w:tcPr>
            <w:tcW w:w="109"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1,006</w:t>
            </w:r>
          </w:p>
        </w:tc>
        <w:tc>
          <w:tcPr>
            <w:tcW w:w="116" w:type="dxa"/>
            <w:tcBorders/>
            <w:shd w:fill="auto" w:val="clear"/>
            <w:vAlign w:val="bottom"/>
          </w:tcPr>
          <w:p>
            <w:pPr>
              <w:pStyle w:val="TableContents"/>
              <w:spacing w:before="0" w:after="283"/>
              <w:rPr/>
            </w:pPr>
            <w:r>
              <w:rPr/>
              <w:t> </w:t>
            </w:r>
          </w:p>
        </w:tc>
      </w:tr>
      <w:tr>
        <w:trPr/>
        <w:tc>
          <w:tcPr>
            <w:tcW w:w="5045" w:type="dxa"/>
            <w:tcBorders/>
            <w:shd w:fill="auto" w:val="clear"/>
            <w:vAlign w:val="center"/>
          </w:tcPr>
          <w:p>
            <w:pPr>
              <w:pStyle w:val="TableContents"/>
              <w:spacing w:before="0" w:after="0"/>
              <w:ind w:left="450" w:right="0" w:hanging="225"/>
              <w:rPr/>
            </w:pPr>
            <w:r>
              <w:rPr/>
              <w:t> </w:t>
            </w:r>
          </w:p>
        </w:tc>
        <w:tc>
          <w:tcPr>
            <w:tcW w:w="367" w:type="dxa"/>
            <w:tcBorders/>
            <w:shd w:fill="auto" w:val="clear"/>
            <w:vAlign w:val="center"/>
          </w:tcPr>
          <w:p>
            <w:pPr>
              <w:pStyle w:val="TableContents"/>
              <w:spacing w:before="0" w:after="283"/>
              <w:rPr/>
            </w:pPr>
            <w:r>
              <w:rPr/>
              <w:t> </w:t>
            </w:r>
          </w:p>
        </w:tc>
        <w:tc>
          <w:tcPr>
            <w:tcW w:w="11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5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1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our store locations, we lease our Austin, Texas corporate offices totaling 51,600 square feet, and our 3,900 square foot corporate office in Querétaro, Mexico.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store data and products offered in each segment as of September 30, 2010: </w:t>
      </w:r>
    </w:p>
    <w:tbl>
      <w:tblPr>
        <w:tblW w:w="5000" w:type="pct"/>
        <w:jc w:val="center"/>
        <w:tblInd w:w="0" w:type="dxa"/>
        <w:tblCellMar>
          <w:top w:w="0" w:type="dxa"/>
          <w:left w:w="0" w:type="dxa"/>
          <w:bottom w:w="0" w:type="dxa"/>
          <w:right w:w="0" w:type="dxa"/>
        </w:tblCellMar>
      </w:tblPr>
      <w:tblGrid>
        <w:gridCol w:w="3723"/>
        <w:gridCol w:w="344"/>
        <w:gridCol w:w="166"/>
        <w:gridCol w:w="979"/>
        <w:gridCol w:w="104"/>
        <w:gridCol w:w="344"/>
        <w:gridCol w:w="142"/>
        <w:gridCol w:w="824"/>
        <w:gridCol w:w="104"/>
        <w:gridCol w:w="344"/>
        <w:gridCol w:w="183"/>
        <w:gridCol w:w="1084"/>
        <w:gridCol w:w="104"/>
        <w:gridCol w:w="344"/>
        <w:gridCol w:w="150"/>
        <w:gridCol w:w="1151"/>
        <w:gridCol w:w="115"/>
      </w:tblGrid>
      <w:tr>
        <w:trPr/>
        <w:tc>
          <w:tcPr>
            <w:tcW w:w="37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7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jc w:val="center"/>
              <w:rPr/>
            </w:pPr>
            <w:r>
              <w:rPr/>
              <w:t>U.S. Pawn</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966" w:type="dxa"/>
            <w:gridSpan w:val="2"/>
            <w:tcBorders/>
            <w:shd w:fill="auto" w:val="clear"/>
            <w:vAlign w:val="bottom"/>
          </w:tcPr>
          <w:p>
            <w:pPr>
              <w:pStyle w:val="TableContents"/>
              <w:spacing w:before="0" w:after="283"/>
              <w:jc w:val="center"/>
              <w:rPr/>
            </w:pPr>
            <w:r>
              <w:rPr/>
              <w:t>Empeño</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267" w:type="dxa"/>
            <w:gridSpan w:val="2"/>
            <w:tcBorders/>
            <w:shd w:fill="auto" w:val="clear"/>
            <w:vAlign w:val="bottom"/>
          </w:tcPr>
          <w:p>
            <w:pPr>
              <w:pStyle w:val="TableContents"/>
              <w:spacing w:before="0" w:after="283"/>
              <w:jc w:val="center"/>
              <w:rPr/>
            </w:pPr>
            <w:r>
              <w:rPr/>
              <w:t>EZMONEY</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266" w:type="dxa"/>
            <w:gridSpan w:val="2"/>
            <w:tcBorders/>
            <w:shd w:fill="auto" w:val="clear"/>
          </w:tcPr>
          <w:p>
            <w:pPr>
              <w:pStyle w:val="TableContents"/>
              <w:spacing w:before="0" w:after="283"/>
              <w:rPr>
                <w:sz w:val="4"/>
                <w:szCs w:val="4"/>
              </w:rPr>
            </w:pPr>
            <w:r>
              <w:rPr>
                <w:sz w:val="4"/>
                <w:szCs w:val="4"/>
              </w:rPr>
            </w:r>
          </w:p>
        </w:tc>
      </w:tr>
      <w:tr>
        <w:trPr/>
        <w:tc>
          <w:tcPr>
            <w:tcW w:w="37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45"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966"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267"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1"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15" w:type="dxa"/>
            <w:tcBorders/>
            <w:shd w:fill="auto" w:val="clear"/>
            <w:vAlign w:val="bottom"/>
          </w:tcPr>
          <w:p>
            <w:pPr>
              <w:pStyle w:val="TableContents"/>
              <w:spacing w:before="0" w:after="283"/>
              <w:rPr/>
            </w:pPr>
            <w:r>
              <w:rPr/>
              <w:t> </w:t>
            </w:r>
          </w:p>
        </w:tc>
      </w:tr>
      <w:tr>
        <w:trPr/>
        <w:tc>
          <w:tcPr>
            <w:tcW w:w="3723" w:type="dxa"/>
            <w:tcBorders/>
            <w:shd w:fill="CCEEFF" w:val="clear"/>
            <w:vAlign w:val="bottom"/>
          </w:tcPr>
          <w:p>
            <w:pPr>
              <w:pStyle w:val="TableContents"/>
              <w:spacing w:before="0" w:after="0"/>
              <w:ind w:left="225" w:right="0" w:hanging="225"/>
              <w:rPr/>
            </w:pPr>
            <w:r>
              <w:rPr/>
              <w:t>Pawn stores</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390</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115</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505</w:t>
            </w:r>
          </w:p>
        </w:tc>
        <w:tc>
          <w:tcPr>
            <w:tcW w:w="115" w:type="dxa"/>
            <w:tcBorders/>
            <w:shd w:fill="CCEEFF" w:val="clear"/>
            <w:vAlign w:val="bottom"/>
          </w:tcPr>
          <w:p>
            <w:pPr>
              <w:pStyle w:val="TableContents"/>
              <w:spacing w:before="0" w:after="283"/>
              <w:rPr/>
            </w:pPr>
            <w:r>
              <w:rPr/>
              <w:t> </w:t>
            </w:r>
          </w:p>
        </w:tc>
      </w:tr>
      <w:tr>
        <w:trPr/>
        <w:tc>
          <w:tcPr>
            <w:tcW w:w="3723" w:type="dxa"/>
            <w:tcBorders/>
            <w:shd w:fill="auto" w:val="clear"/>
            <w:vAlign w:val="bottom"/>
          </w:tcPr>
          <w:p>
            <w:pPr>
              <w:pStyle w:val="TableContents"/>
              <w:spacing w:before="0" w:after="0"/>
              <w:ind w:left="225" w:right="0" w:hanging="225"/>
              <w:rPr/>
            </w:pPr>
            <w:r>
              <w:rPr/>
              <w:t>Short-term consumer loan stores adjoining U.S. pawn stores</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6</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152</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158</w:t>
            </w:r>
          </w:p>
        </w:tc>
        <w:tc>
          <w:tcPr>
            <w:tcW w:w="115" w:type="dxa"/>
            <w:tcBorders/>
            <w:shd w:fill="auto" w:val="clear"/>
            <w:vAlign w:val="bottom"/>
          </w:tcPr>
          <w:p>
            <w:pPr>
              <w:pStyle w:val="TableContents"/>
              <w:spacing w:before="0" w:after="283"/>
              <w:rPr/>
            </w:pPr>
            <w:r>
              <w:rPr/>
              <w:t> </w:t>
            </w:r>
          </w:p>
        </w:tc>
      </w:tr>
      <w:tr>
        <w:trPr/>
        <w:tc>
          <w:tcPr>
            <w:tcW w:w="3723" w:type="dxa"/>
            <w:tcBorders/>
            <w:shd w:fill="CCEEFF" w:val="clear"/>
            <w:vAlign w:val="bottom"/>
          </w:tcPr>
          <w:p>
            <w:pPr>
              <w:pStyle w:val="TableContents"/>
              <w:spacing w:before="0" w:after="0"/>
              <w:ind w:left="225" w:right="0" w:hanging="225"/>
              <w:rPr/>
            </w:pPr>
            <w:r>
              <w:rPr/>
              <w:t>Short-term consumer loan stores  free standing</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343</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343</w:t>
            </w:r>
          </w:p>
        </w:tc>
        <w:tc>
          <w:tcPr>
            <w:tcW w:w="115" w:type="dxa"/>
            <w:tcBorders/>
            <w:shd w:fill="CCEEFF" w:val="clear"/>
            <w:vAlign w:val="bottom"/>
          </w:tcPr>
          <w:p>
            <w:pPr>
              <w:pStyle w:val="TableContents"/>
              <w:spacing w:before="0" w:after="283"/>
              <w:rPr/>
            </w:pPr>
            <w:r>
              <w:rPr/>
              <w:t> </w:t>
            </w:r>
          </w:p>
        </w:tc>
      </w:tr>
      <w:tr>
        <w:trPr/>
        <w:tc>
          <w:tcPr>
            <w:tcW w:w="3723"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9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2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3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723" w:type="dxa"/>
            <w:tcBorders/>
            <w:shd w:fill="auto" w:val="clear"/>
            <w:vAlign w:val="bottom"/>
          </w:tcPr>
          <w:p>
            <w:pPr>
              <w:pStyle w:val="TableContents"/>
              <w:spacing w:before="0" w:after="0"/>
              <w:ind w:left="225" w:right="0" w:hanging="225"/>
              <w:rPr/>
            </w:pPr>
            <w:r>
              <w:rPr/>
              <w:t>Total stores in operation</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396</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115</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495</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1,006</w:t>
            </w:r>
          </w:p>
        </w:tc>
        <w:tc>
          <w:tcPr>
            <w:tcW w:w="115" w:type="dxa"/>
            <w:tcBorders/>
            <w:shd w:fill="auto" w:val="clear"/>
            <w:vAlign w:val="bottom"/>
          </w:tcPr>
          <w:p>
            <w:pPr>
              <w:pStyle w:val="TableContents"/>
              <w:spacing w:before="0" w:after="283"/>
              <w:rPr/>
            </w:pPr>
            <w:r>
              <w:rPr/>
              <w:t> </w:t>
            </w:r>
          </w:p>
        </w:tc>
      </w:tr>
      <w:tr>
        <w:trPr/>
        <w:tc>
          <w:tcPr>
            <w:tcW w:w="3723" w:type="dxa"/>
            <w:tcBorders/>
            <w:shd w:fill="auto" w:val="clear"/>
            <w:vAlign w:val="center"/>
          </w:tcPr>
          <w:p>
            <w:pPr>
              <w:pStyle w:val="TableContents"/>
              <w:spacing w:before="0" w:after="0"/>
              <w:ind w:left="225" w:right="0" w:hanging="225"/>
              <w:rPr/>
            </w:pPr>
            <w:r>
              <w:rPr/>
              <w:t> </w:t>
            </w:r>
          </w:p>
        </w:tc>
        <w:tc>
          <w:tcPr>
            <w:tcW w:w="344" w:type="dxa"/>
            <w:tcBorders/>
            <w:shd w:fill="auto" w:val="clear"/>
            <w:vAlign w:val="center"/>
          </w:tcPr>
          <w:p>
            <w:pPr>
              <w:pStyle w:val="TableContents"/>
              <w:spacing w:before="0" w:after="283"/>
              <w:rPr/>
            </w:pPr>
            <w:r>
              <w:rPr/>
              <w:t> </w:t>
            </w:r>
          </w:p>
        </w:tc>
        <w:tc>
          <w:tcPr>
            <w:tcW w:w="11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9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2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3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3723" w:type="dxa"/>
            <w:tcBorders/>
            <w:shd w:fill="auto" w:val="clear"/>
            <w:vAlign w:val="bottom"/>
          </w:tcPr>
          <w:p>
            <w:pPr>
              <w:pStyle w:val="TableContents"/>
              <w:spacing w:before="0" w:after="0"/>
              <w:ind w:left="225" w:right="0" w:hanging="225"/>
              <w:rPr/>
            </w:pPr>
            <w:r>
              <w:rPr/>
              <w:t> </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3723" w:type="dxa"/>
            <w:tcBorders/>
            <w:shd w:fill="CCEEFF" w:val="clear"/>
            <w:vAlign w:val="bottom"/>
          </w:tcPr>
          <w:p>
            <w:pPr>
              <w:pStyle w:val="TableContents"/>
              <w:spacing w:before="0" w:after="0"/>
              <w:ind w:left="225" w:right="0" w:hanging="225"/>
              <w:rPr/>
            </w:pPr>
            <w:r>
              <w:rPr/>
              <w:t>Stores offering payday loans (including credit services)</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59</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461</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520</w:t>
            </w:r>
          </w:p>
        </w:tc>
        <w:tc>
          <w:tcPr>
            <w:tcW w:w="115" w:type="dxa"/>
            <w:tcBorders/>
            <w:shd w:fill="CCEEFF" w:val="clear"/>
            <w:vAlign w:val="bottom"/>
          </w:tcPr>
          <w:p>
            <w:pPr>
              <w:pStyle w:val="TableContents"/>
              <w:spacing w:before="0" w:after="283"/>
              <w:rPr/>
            </w:pPr>
            <w:r>
              <w:rPr/>
              <w:t> </w:t>
            </w:r>
          </w:p>
        </w:tc>
      </w:tr>
      <w:tr>
        <w:trPr/>
        <w:tc>
          <w:tcPr>
            <w:tcW w:w="3723" w:type="dxa"/>
            <w:tcBorders/>
            <w:shd w:fill="auto" w:val="clear"/>
            <w:vAlign w:val="bottom"/>
          </w:tcPr>
          <w:p>
            <w:pPr>
              <w:pStyle w:val="TableContents"/>
              <w:spacing w:before="0" w:after="0"/>
              <w:ind w:left="225" w:right="0" w:hanging="225"/>
              <w:rPr/>
            </w:pPr>
            <w:r>
              <w:rPr/>
              <w:t>Stores offering installment loans (including credit services)</w:t>
            </w:r>
          </w:p>
        </w:tc>
        <w:tc>
          <w:tcPr>
            <w:tcW w:w="34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415</w:t>
            </w:r>
          </w:p>
        </w:tc>
        <w:tc>
          <w:tcPr>
            <w:tcW w:w="10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415</w:t>
            </w:r>
          </w:p>
        </w:tc>
        <w:tc>
          <w:tcPr>
            <w:tcW w:w="115" w:type="dxa"/>
            <w:tcBorders/>
            <w:shd w:fill="auto" w:val="clear"/>
            <w:vAlign w:val="bottom"/>
          </w:tcPr>
          <w:p>
            <w:pPr>
              <w:pStyle w:val="TableContents"/>
              <w:spacing w:before="0" w:after="283"/>
              <w:rPr/>
            </w:pPr>
            <w:r>
              <w:rPr/>
              <w:t> </w:t>
            </w:r>
          </w:p>
        </w:tc>
      </w:tr>
      <w:tr>
        <w:trPr/>
        <w:tc>
          <w:tcPr>
            <w:tcW w:w="3723" w:type="dxa"/>
            <w:tcBorders/>
            <w:shd w:fill="CCEEFF" w:val="clear"/>
            <w:vAlign w:val="bottom"/>
          </w:tcPr>
          <w:p>
            <w:pPr>
              <w:pStyle w:val="TableContents"/>
              <w:spacing w:before="0" w:after="0"/>
              <w:ind w:left="225" w:right="0" w:hanging="225"/>
              <w:rPr/>
            </w:pPr>
            <w:r>
              <w:rPr/>
              <w:t>Stores offering auto title loans (including credit services)</w:t>
            </w:r>
          </w:p>
        </w:tc>
        <w:tc>
          <w:tcPr>
            <w:tcW w:w="34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58</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390</w:t>
            </w:r>
          </w:p>
        </w:tc>
        <w:tc>
          <w:tcPr>
            <w:tcW w:w="10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448</w:t>
            </w:r>
          </w:p>
        </w:tc>
        <w:tc>
          <w:tcPr>
            <w:tcW w:w="115"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b/>
          <w:smallCaps/>
          <w:sz w:val="17"/>
        </w:rPr>
      </w:pPr>
      <w:bookmarkStart w:id="8" w:name="106"/>
      <w:bookmarkEnd w:id="8"/>
      <w:r>
        <w:rPr>
          <w:rFonts w:ascii="Times New Roman;Times;serif" w:hAnsi="Times New Roman;Times;serif"/>
          <w:b/>
          <w:smallCaps/>
          <w:sz w:val="17"/>
        </w:rPr>
        <w:t xml:space="preserve">Item 3. Legal Proceedings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120" w:after="283"/>
        <w:jc w:val="left"/>
        <w:rPr>
          <w:rFonts w:ascii="Times New Roman;Times;serif" w:hAnsi="Times New Roman;Times;serif"/>
          <w:sz w:val="17"/>
        </w:rPr>
      </w:pPr>
      <w:bookmarkStart w:id="9" w:name="107"/>
      <w:bookmarkEnd w:id="9"/>
      <w:r>
        <w:rPr>
          <w:rFonts w:ascii="Times New Roman;Times;serif" w:hAnsi="Times New Roman;Times;serif"/>
          <w:b/>
          <w:smallCaps/>
          <w:sz w:val="17"/>
        </w:rPr>
        <w:t>Item 4. Removed and Reserved</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0" w:name="108"/>
      <w:bookmarkEnd w:id="10"/>
      <w:r>
        <w:rPr>
          <w:rFonts w:ascii="Times New Roman;Times;serif" w:hAnsi="Times New Roman;Times;serif"/>
          <w:b/>
          <w:sz w:val="17"/>
        </w:rPr>
        <w:t>PART II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11" w:name="109"/>
      <w:bookmarkEnd w:id="11"/>
      <w:r>
        <w:rPr>
          <w:rFonts w:ascii="Times New Roman;Times;serif" w:hAnsi="Times New Roman;Times;serif"/>
          <w:b/>
          <w:smallCaps/>
          <w:sz w:val="17"/>
        </w:rPr>
        <w:t>Item 5. Market for Registrants Common Equity, Related Stockholder Matters and Issuer Purchases of Equity Securities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u w:val="single"/>
        </w:rPr>
        <w:t>Market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Class A Non-voting Common Stock (Class A Common Stock) is traded on The NASDAQ Stock Market (NASDAQ Global Select Market) under the symbol EZPW. As of October 31, 2010, there were 105 stockholders of record of our Class A Common Stock. There is no trading market for our Class B Voting Common Stock (Class B Common Stock), which was held by one stockholder as of October 31,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high and low per share sales price for our Class A Common Stock for the past two fiscal years, as reported by The NASDAQ Stock Market, were as follows: </w:t>
      </w:r>
    </w:p>
    <w:tbl>
      <w:tblPr>
        <w:tblW w:w="5000" w:type="pct"/>
        <w:jc w:val="center"/>
        <w:tblInd w:w="0" w:type="dxa"/>
        <w:tblCellMar>
          <w:top w:w="0" w:type="dxa"/>
          <w:left w:w="0" w:type="dxa"/>
          <w:bottom w:w="0" w:type="dxa"/>
          <w:right w:w="0" w:type="dxa"/>
        </w:tblCellMar>
      </w:tblPr>
      <w:tblGrid>
        <w:gridCol w:w="237"/>
        <w:gridCol w:w="886"/>
        <w:gridCol w:w="240"/>
        <w:gridCol w:w="412"/>
        <w:gridCol w:w="5618"/>
        <w:gridCol w:w="412"/>
        <w:gridCol w:w="194"/>
        <w:gridCol w:w="849"/>
        <w:gridCol w:w="124"/>
        <w:gridCol w:w="412"/>
        <w:gridCol w:w="193"/>
        <w:gridCol w:w="561"/>
        <w:gridCol w:w="67"/>
      </w:tblGrid>
      <w:tr>
        <w:trPr/>
        <w:tc>
          <w:tcPr>
            <w:tcW w:w="23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61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r>
      <w:tr>
        <w:trPr/>
        <w:tc>
          <w:tcPr>
            <w:tcW w:w="237"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61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043" w:type="dxa"/>
            <w:gridSpan w:val="2"/>
            <w:tcBorders>
              <w:bottom w:val="single" w:sz="2" w:space="0" w:color="000000"/>
            </w:tcBorders>
            <w:shd w:fill="auto" w:val="clear"/>
            <w:tcMar>
              <w:bottom w:w="28" w:type="dxa"/>
            </w:tcMar>
            <w:vAlign w:val="bottom"/>
          </w:tcPr>
          <w:p>
            <w:pPr>
              <w:pStyle w:val="TableContents"/>
              <w:spacing w:before="0" w:after="283"/>
              <w:jc w:val="center"/>
              <w:rPr/>
            </w:pPr>
            <w:r>
              <w:rPr/>
              <w:t>High</w:t>
            </w:r>
          </w:p>
        </w:tc>
        <w:tc>
          <w:tcPr>
            <w:tcW w:w="12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754" w:type="dxa"/>
            <w:gridSpan w:val="2"/>
            <w:tcBorders>
              <w:bottom w:val="single" w:sz="2" w:space="0" w:color="000000"/>
            </w:tcBorders>
            <w:shd w:fill="auto" w:val="clear"/>
            <w:tcMar>
              <w:bottom w:w="28" w:type="dxa"/>
            </w:tcMar>
            <w:vAlign w:val="bottom"/>
          </w:tcPr>
          <w:p>
            <w:pPr>
              <w:pStyle w:val="TableContents"/>
              <w:spacing w:before="0" w:after="283"/>
              <w:jc w:val="center"/>
              <w:rPr/>
            </w:pPr>
            <w:r>
              <w:rPr/>
              <w:t>Low</w:t>
            </w:r>
          </w:p>
        </w:tc>
        <w:tc>
          <w:tcPr>
            <w:tcW w:w="67" w:type="dxa"/>
            <w:tcBorders/>
            <w:shd w:fill="auto" w:val="clear"/>
            <w:vAlign w:val="bottom"/>
          </w:tcPr>
          <w:p>
            <w:pPr>
              <w:pStyle w:val="TableContents"/>
              <w:spacing w:before="0" w:after="283"/>
              <w:rPr/>
            </w:pPr>
            <w:r>
              <w:rPr/>
              <w:t> </w:t>
            </w:r>
          </w:p>
        </w:tc>
      </w:tr>
      <w:tr>
        <w:trPr/>
        <w:tc>
          <w:tcPr>
            <w:tcW w:w="1363" w:type="dxa"/>
            <w:gridSpan w:val="3"/>
            <w:tcBorders/>
            <w:shd w:fill="CCEEFF" w:val="clear"/>
          </w:tcPr>
          <w:p>
            <w:pPr>
              <w:pStyle w:val="TableContents"/>
              <w:spacing w:before="0" w:after="283"/>
              <w:jc w:val="center"/>
              <w:rPr/>
            </w:pPr>
            <w:r>
              <w:rPr/>
              <w:t>Fiscal 2010:</w:t>
            </w:r>
          </w:p>
        </w:tc>
        <w:tc>
          <w:tcPr>
            <w:tcW w:w="412" w:type="dxa"/>
            <w:tcBorders/>
            <w:shd w:fill="CCEEFF" w:val="clear"/>
            <w:vAlign w:val="bottom"/>
          </w:tcPr>
          <w:p>
            <w:pPr>
              <w:pStyle w:val="TableContents"/>
              <w:spacing w:before="0" w:after="283"/>
              <w:rPr/>
            </w:pPr>
            <w:r>
              <w:rPr/>
              <w:t> </w:t>
            </w:r>
          </w:p>
        </w:tc>
        <w:tc>
          <w:tcPr>
            <w:tcW w:w="5618" w:type="dxa"/>
            <w:tcBorders/>
            <w:shd w:fill="CCEEFF" w:val="clear"/>
            <w:vAlign w:val="bottom"/>
          </w:tcPr>
          <w:p>
            <w:pPr>
              <w:pStyle w:val="TableContents"/>
              <w:spacing w:before="0" w:after="0"/>
              <w:ind w:left="225" w:right="0" w:hanging="225"/>
              <w:rPr/>
            </w:pPr>
            <w:r>
              <w:rPr/>
              <w:t> </w:t>
            </w:r>
          </w:p>
        </w:tc>
        <w:tc>
          <w:tcPr>
            <w:tcW w:w="41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r>
      <w:tr>
        <w:trPr/>
        <w:tc>
          <w:tcPr>
            <w:tcW w:w="237" w:type="dxa"/>
            <w:tcBorders/>
            <w:shd w:fill="auto" w:val="clear"/>
          </w:tcPr>
          <w:p>
            <w:pPr>
              <w:pStyle w:val="TableContents"/>
              <w:spacing w:before="0" w:after="283"/>
              <w:jc w:val="left"/>
              <w:rPr/>
            </w:pPr>
            <w:r>
              <w:rPr/>
              <w:t> </w:t>
            </w:r>
          </w:p>
        </w:tc>
        <w:tc>
          <w:tcPr>
            <w:tcW w:w="886" w:type="dxa"/>
            <w:tcBorders/>
            <w:shd w:fill="auto" w:val="clear"/>
          </w:tcPr>
          <w:p>
            <w:pPr>
              <w:pStyle w:val="TableContents"/>
              <w:spacing w:before="0" w:after="283"/>
              <w:jc w:val="right"/>
              <w:rPr/>
            </w:pPr>
            <w:r>
              <w:rPr/>
              <w:t> </w:t>
            </w:r>
          </w:p>
        </w:tc>
        <w:tc>
          <w:tcPr>
            <w:tcW w:w="240" w:type="dxa"/>
            <w:tcBorders/>
            <w:shd w:fill="auto" w:val="clear"/>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618" w:type="dxa"/>
            <w:tcBorders/>
            <w:shd w:fill="auto" w:val="clear"/>
            <w:vAlign w:val="bottom"/>
          </w:tcPr>
          <w:p>
            <w:pPr>
              <w:pStyle w:val="TableContents"/>
              <w:spacing w:before="0" w:after="0"/>
              <w:ind w:left="225" w:right="0" w:hanging="225"/>
              <w:rPr/>
            </w:pPr>
            <w:r>
              <w:rPr/>
              <w:t>Fourth quarter ended September 30, 2010</w:t>
            </w:r>
          </w:p>
        </w:tc>
        <w:tc>
          <w:tcPr>
            <w:tcW w:w="41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20.80</w:t>
            </w:r>
          </w:p>
        </w:tc>
        <w:tc>
          <w:tcPr>
            <w:tcW w:w="12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561" w:type="dxa"/>
            <w:tcBorders/>
            <w:shd w:fill="auto" w:val="clear"/>
            <w:vAlign w:val="bottom"/>
          </w:tcPr>
          <w:p>
            <w:pPr>
              <w:pStyle w:val="TableContents"/>
              <w:spacing w:before="0" w:after="283"/>
              <w:jc w:val="right"/>
              <w:rPr/>
            </w:pPr>
            <w:r>
              <w:rPr/>
              <w:t>17.88</w:t>
            </w:r>
          </w:p>
        </w:tc>
        <w:tc>
          <w:tcPr>
            <w:tcW w:w="67" w:type="dxa"/>
            <w:tcBorders/>
            <w:shd w:fill="auto" w:val="clear"/>
            <w:vAlign w:val="bottom"/>
          </w:tcPr>
          <w:p>
            <w:pPr>
              <w:pStyle w:val="TableContents"/>
              <w:spacing w:before="0" w:after="283"/>
              <w:rPr/>
            </w:pPr>
            <w:r>
              <w:rPr/>
              <w:t> </w:t>
            </w:r>
          </w:p>
        </w:tc>
      </w:tr>
      <w:tr>
        <w:trPr/>
        <w:tc>
          <w:tcPr>
            <w:tcW w:w="237" w:type="dxa"/>
            <w:tcBorders/>
            <w:shd w:fill="CCEEFF" w:val="clear"/>
          </w:tcPr>
          <w:p>
            <w:pPr>
              <w:pStyle w:val="TableContents"/>
              <w:spacing w:before="0" w:after="283"/>
              <w:jc w:val="left"/>
              <w:rPr/>
            </w:pPr>
            <w:r>
              <w:rPr/>
              <w:t> </w:t>
            </w:r>
          </w:p>
        </w:tc>
        <w:tc>
          <w:tcPr>
            <w:tcW w:w="886" w:type="dxa"/>
            <w:tcBorders/>
            <w:shd w:fill="CCEEFF" w:val="clear"/>
          </w:tcPr>
          <w:p>
            <w:pPr>
              <w:pStyle w:val="TableContents"/>
              <w:spacing w:before="0" w:after="283"/>
              <w:jc w:val="right"/>
              <w:rPr/>
            </w:pPr>
            <w:r>
              <w:rPr/>
              <w:t> </w:t>
            </w:r>
          </w:p>
        </w:tc>
        <w:tc>
          <w:tcPr>
            <w:tcW w:w="240" w:type="dxa"/>
            <w:tcBorders/>
            <w:shd w:fill="CCEEFF" w:val="clear"/>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5618" w:type="dxa"/>
            <w:tcBorders/>
            <w:shd w:fill="CCEEFF" w:val="clear"/>
            <w:vAlign w:val="bottom"/>
          </w:tcPr>
          <w:p>
            <w:pPr>
              <w:pStyle w:val="TableContents"/>
              <w:spacing w:before="0" w:after="0"/>
              <w:ind w:left="225" w:right="0" w:hanging="225"/>
              <w:rPr/>
            </w:pPr>
            <w:r>
              <w:rPr/>
              <w:t>Third quarter ended June 30, 2010</w:t>
            </w:r>
          </w:p>
        </w:tc>
        <w:tc>
          <w:tcPr>
            <w:tcW w:w="41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23.75</w:t>
            </w:r>
          </w:p>
        </w:tc>
        <w:tc>
          <w:tcPr>
            <w:tcW w:w="12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10.07</w:t>
            </w:r>
          </w:p>
        </w:tc>
        <w:tc>
          <w:tcPr>
            <w:tcW w:w="67" w:type="dxa"/>
            <w:tcBorders/>
            <w:shd w:fill="CCEEFF" w:val="clear"/>
            <w:vAlign w:val="bottom"/>
          </w:tcPr>
          <w:p>
            <w:pPr>
              <w:pStyle w:val="TableContents"/>
              <w:spacing w:before="0" w:after="283"/>
              <w:rPr/>
            </w:pPr>
            <w:r>
              <w:rPr/>
              <w:t> </w:t>
            </w:r>
          </w:p>
        </w:tc>
      </w:tr>
      <w:tr>
        <w:trPr/>
        <w:tc>
          <w:tcPr>
            <w:tcW w:w="237" w:type="dxa"/>
            <w:tcBorders/>
            <w:shd w:fill="auto" w:val="clear"/>
          </w:tcPr>
          <w:p>
            <w:pPr>
              <w:pStyle w:val="TableContents"/>
              <w:spacing w:before="0" w:after="283"/>
              <w:jc w:val="left"/>
              <w:rPr/>
            </w:pPr>
            <w:r>
              <w:rPr/>
              <w:t> </w:t>
            </w:r>
          </w:p>
        </w:tc>
        <w:tc>
          <w:tcPr>
            <w:tcW w:w="886" w:type="dxa"/>
            <w:tcBorders/>
            <w:shd w:fill="auto" w:val="clear"/>
          </w:tcPr>
          <w:p>
            <w:pPr>
              <w:pStyle w:val="TableContents"/>
              <w:spacing w:before="0" w:after="283"/>
              <w:jc w:val="right"/>
              <w:rPr/>
            </w:pPr>
            <w:r>
              <w:rPr/>
              <w:t> </w:t>
            </w:r>
          </w:p>
        </w:tc>
        <w:tc>
          <w:tcPr>
            <w:tcW w:w="240" w:type="dxa"/>
            <w:tcBorders/>
            <w:shd w:fill="auto" w:val="clear"/>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618" w:type="dxa"/>
            <w:tcBorders/>
            <w:shd w:fill="auto" w:val="clear"/>
            <w:vAlign w:val="bottom"/>
          </w:tcPr>
          <w:p>
            <w:pPr>
              <w:pStyle w:val="TableContents"/>
              <w:spacing w:before="0" w:after="0"/>
              <w:ind w:left="225" w:right="0" w:hanging="225"/>
              <w:rPr/>
            </w:pPr>
            <w:r>
              <w:rPr/>
              <w:t>Second quarter ended March 31, 2010</w:t>
            </w:r>
          </w:p>
        </w:tc>
        <w:tc>
          <w:tcPr>
            <w:tcW w:w="41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22.19</w:t>
            </w:r>
          </w:p>
        </w:tc>
        <w:tc>
          <w:tcPr>
            <w:tcW w:w="12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16.43</w:t>
            </w:r>
          </w:p>
        </w:tc>
        <w:tc>
          <w:tcPr>
            <w:tcW w:w="67" w:type="dxa"/>
            <w:tcBorders/>
            <w:shd w:fill="auto" w:val="clear"/>
            <w:vAlign w:val="bottom"/>
          </w:tcPr>
          <w:p>
            <w:pPr>
              <w:pStyle w:val="TableContents"/>
              <w:spacing w:before="0" w:after="283"/>
              <w:rPr/>
            </w:pPr>
            <w:r>
              <w:rPr/>
              <w:t> </w:t>
            </w:r>
          </w:p>
        </w:tc>
      </w:tr>
      <w:tr>
        <w:trPr/>
        <w:tc>
          <w:tcPr>
            <w:tcW w:w="237" w:type="dxa"/>
            <w:tcBorders/>
            <w:shd w:fill="CCEEFF" w:val="clear"/>
          </w:tcPr>
          <w:p>
            <w:pPr>
              <w:pStyle w:val="TableContents"/>
              <w:spacing w:before="0" w:after="283"/>
              <w:jc w:val="left"/>
              <w:rPr/>
            </w:pPr>
            <w:r>
              <w:rPr/>
              <w:t> </w:t>
            </w:r>
          </w:p>
        </w:tc>
        <w:tc>
          <w:tcPr>
            <w:tcW w:w="886" w:type="dxa"/>
            <w:tcBorders/>
            <w:shd w:fill="CCEEFF" w:val="clear"/>
          </w:tcPr>
          <w:p>
            <w:pPr>
              <w:pStyle w:val="TableContents"/>
              <w:spacing w:before="0" w:after="283"/>
              <w:jc w:val="right"/>
              <w:rPr/>
            </w:pPr>
            <w:r>
              <w:rPr/>
              <w:t> </w:t>
            </w:r>
          </w:p>
        </w:tc>
        <w:tc>
          <w:tcPr>
            <w:tcW w:w="240" w:type="dxa"/>
            <w:tcBorders/>
            <w:shd w:fill="CCEEFF" w:val="clear"/>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5618" w:type="dxa"/>
            <w:tcBorders/>
            <w:shd w:fill="CCEEFF" w:val="clear"/>
            <w:vAlign w:val="bottom"/>
          </w:tcPr>
          <w:p>
            <w:pPr>
              <w:pStyle w:val="TableContents"/>
              <w:spacing w:before="0" w:after="0"/>
              <w:ind w:left="225" w:right="0" w:hanging="225"/>
              <w:rPr/>
            </w:pPr>
            <w:r>
              <w:rPr/>
              <w:t>First quarter ended December 31, 2009</w:t>
            </w:r>
          </w:p>
        </w:tc>
        <w:tc>
          <w:tcPr>
            <w:tcW w:w="41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17.72</w:t>
            </w:r>
          </w:p>
        </w:tc>
        <w:tc>
          <w:tcPr>
            <w:tcW w:w="12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12.75</w:t>
            </w:r>
          </w:p>
        </w:tc>
        <w:tc>
          <w:tcPr>
            <w:tcW w:w="67" w:type="dxa"/>
            <w:tcBorders/>
            <w:shd w:fill="CCEEFF" w:val="clear"/>
            <w:vAlign w:val="bottom"/>
          </w:tcPr>
          <w:p>
            <w:pPr>
              <w:pStyle w:val="TableContents"/>
              <w:spacing w:before="0" w:after="283"/>
              <w:rPr/>
            </w:pPr>
            <w:r>
              <w:rPr/>
              <w:t> </w:t>
            </w:r>
          </w:p>
        </w:tc>
      </w:tr>
      <w:tr>
        <w:trPr/>
        <w:tc>
          <w:tcPr>
            <w:tcW w:w="1363" w:type="dxa"/>
            <w:gridSpan w:val="3"/>
            <w:tcBorders/>
            <w:shd w:fill="auto" w:val="clear"/>
          </w:tcPr>
          <w:p>
            <w:pPr>
              <w:pStyle w:val="TableContents"/>
              <w:spacing w:before="0" w:after="283"/>
              <w:jc w:val="center"/>
              <w:rPr/>
            </w:pPr>
            <w:r>
              <w:rPr/>
              <w:t>Fiscal 2009:</w:t>
            </w:r>
          </w:p>
        </w:tc>
        <w:tc>
          <w:tcPr>
            <w:tcW w:w="412" w:type="dxa"/>
            <w:tcBorders/>
            <w:shd w:fill="auto" w:val="clear"/>
            <w:vAlign w:val="bottom"/>
          </w:tcPr>
          <w:p>
            <w:pPr>
              <w:pStyle w:val="TableContents"/>
              <w:spacing w:before="0" w:after="283"/>
              <w:rPr/>
            </w:pPr>
            <w:r>
              <w:rPr/>
              <w:t> </w:t>
            </w:r>
          </w:p>
        </w:tc>
        <w:tc>
          <w:tcPr>
            <w:tcW w:w="5618" w:type="dxa"/>
            <w:tcBorders/>
            <w:shd w:fill="auto" w:val="clear"/>
            <w:vAlign w:val="bottom"/>
          </w:tcPr>
          <w:p>
            <w:pPr>
              <w:pStyle w:val="TableContents"/>
              <w:spacing w:before="0" w:after="0"/>
              <w:ind w:left="225" w:right="0" w:hanging="225"/>
              <w:rPr/>
            </w:pPr>
            <w:r>
              <w:rPr/>
              <w:t> </w:t>
            </w:r>
          </w:p>
        </w:tc>
        <w:tc>
          <w:tcPr>
            <w:tcW w:w="41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r>
      <w:tr>
        <w:trPr/>
        <w:tc>
          <w:tcPr>
            <w:tcW w:w="237" w:type="dxa"/>
            <w:tcBorders/>
            <w:shd w:fill="CCEEFF" w:val="clear"/>
          </w:tcPr>
          <w:p>
            <w:pPr>
              <w:pStyle w:val="TableContents"/>
              <w:spacing w:before="0" w:after="283"/>
              <w:jc w:val="left"/>
              <w:rPr/>
            </w:pPr>
            <w:r>
              <w:rPr/>
              <w:t> </w:t>
            </w:r>
          </w:p>
        </w:tc>
        <w:tc>
          <w:tcPr>
            <w:tcW w:w="886" w:type="dxa"/>
            <w:tcBorders/>
            <w:shd w:fill="CCEEFF" w:val="clear"/>
          </w:tcPr>
          <w:p>
            <w:pPr>
              <w:pStyle w:val="TableContents"/>
              <w:spacing w:before="0" w:after="283"/>
              <w:jc w:val="right"/>
              <w:rPr/>
            </w:pPr>
            <w:r>
              <w:rPr/>
              <w:t> </w:t>
            </w:r>
          </w:p>
        </w:tc>
        <w:tc>
          <w:tcPr>
            <w:tcW w:w="240" w:type="dxa"/>
            <w:tcBorders/>
            <w:shd w:fill="CCEEFF" w:val="clear"/>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5618" w:type="dxa"/>
            <w:tcBorders/>
            <w:shd w:fill="CCEEFF" w:val="clear"/>
            <w:vAlign w:val="bottom"/>
          </w:tcPr>
          <w:p>
            <w:pPr>
              <w:pStyle w:val="TableContents"/>
              <w:spacing w:before="0" w:after="0"/>
              <w:ind w:left="225" w:right="0" w:hanging="225"/>
              <w:rPr/>
            </w:pPr>
            <w:r>
              <w:rPr/>
              <w:t>Fourth quarter ended September 30, 2009</w:t>
            </w:r>
          </w:p>
        </w:tc>
        <w:tc>
          <w:tcPr>
            <w:tcW w:w="41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13.90</w:t>
            </w:r>
          </w:p>
        </w:tc>
        <w:tc>
          <w:tcPr>
            <w:tcW w:w="12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561" w:type="dxa"/>
            <w:tcBorders/>
            <w:shd w:fill="CCEEFF" w:val="clear"/>
            <w:vAlign w:val="bottom"/>
          </w:tcPr>
          <w:p>
            <w:pPr>
              <w:pStyle w:val="TableContents"/>
              <w:spacing w:before="0" w:after="283"/>
              <w:jc w:val="right"/>
              <w:rPr/>
            </w:pPr>
            <w:r>
              <w:rPr/>
              <w:t>10.00</w:t>
            </w:r>
          </w:p>
        </w:tc>
        <w:tc>
          <w:tcPr>
            <w:tcW w:w="67" w:type="dxa"/>
            <w:tcBorders/>
            <w:shd w:fill="CCEEFF" w:val="clear"/>
            <w:vAlign w:val="bottom"/>
          </w:tcPr>
          <w:p>
            <w:pPr>
              <w:pStyle w:val="TableContents"/>
              <w:spacing w:before="0" w:after="283"/>
              <w:rPr/>
            </w:pPr>
            <w:r>
              <w:rPr/>
              <w:t> </w:t>
            </w:r>
          </w:p>
        </w:tc>
      </w:tr>
      <w:tr>
        <w:trPr/>
        <w:tc>
          <w:tcPr>
            <w:tcW w:w="237" w:type="dxa"/>
            <w:tcBorders/>
            <w:shd w:fill="auto" w:val="clear"/>
          </w:tcPr>
          <w:p>
            <w:pPr>
              <w:pStyle w:val="TableContents"/>
              <w:spacing w:before="0" w:after="283"/>
              <w:jc w:val="left"/>
              <w:rPr/>
            </w:pPr>
            <w:r>
              <w:rPr/>
              <w:t> </w:t>
            </w:r>
          </w:p>
        </w:tc>
        <w:tc>
          <w:tcPr>
            <w:tcW w:w="886" w:type="dxa"/>
            <w:tcBorders/>
            <w:shd w:fill="auto" w:val="clear"/>
          </w:tcPr>
          <w:p>
            <w:pPr>
              <w:pStyle w:val="TableContents"/>
              <w:spacing w:before="0" w:after="283"/>
              <w:jc w:val="right"/>
              <w:rPr/>
            </w:pPr>
            <w:r>
              <w:rPr/>
              <w:t> </w:t>
            </w:r>
          </w:p>
        </w:tc>
        <w:tc>
          <w:tcPr>
            <w:tcW w:w="240" w:type="dxa"/>
            <w:tcBorders/>
            <w:shd w:fill="auto" w:val="clear"/>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618" w:type="dxa"/>
            <w:tcBorders/>
            <w:shd w:fill="auto" w:val="clear"/>
            <w:vAlign w:val="bottom"/>
          </w:tcPr>
          <w:p>
            <w:pPr>
              <w:pStyle w:val="TableContents"/>
              <w:spacing w:before="0" w:after="0"/>
              <w:ind w:left="225" w:right="0" w:hanging="225"/>
              <w:rPr/>
            </w:pPr>
            <w:r>
              <w:rPr/>
              <w:t>Third quarter ended June 30, 2009</w:t>
            </w:r>
          </w:p>
        </w:tc>
        <w:tc>
          <w:tcPr>
            <w:tcW w:w="41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13.86</w:t>
            </w:r>
          </w:p>
        </w:tc>
        <w:tc>
          <w:tcPr>
            <w:tcW w:w="12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10.11</w:t>
            </w:r>
          </w:p>
        </w:tc>
        <w:tc>
          <w:tcPr>
            <w:tcW w:w="67" w:type="dxa"/>
            <w:tcBorders/>
            <w:shd w:fill="auto" w:val="clear"/>
            <w:vAlign w:val="bottom"/>
          </w:tcPr>
          <w:p>
            <w:pPr>
              <w:pStyle w:val="TableContents"/>
              <w:spacing w:before="0" w:after="283"/>
              <w:rPr/>
            </w:pPr>
            <w:r>
              <w:rPr/>
              <w:t> </w:t>
            </w:r>
          </w:p>
        </w:tc>
      </w:tr>
      <w:tr>
        <w:trPr/>
        <w:tc>
          <w:tcPr>
            <w:tcW w:w="237" w:type="dxa"/>
            <w:tcBorders/>
            <w:shd w:fill="CCEEFF" w:val="clear"/>
          </w:tcPr>
          <w:p>
            <w:pPr>
              <w:pStyle w:val="TableContents"/>
              <w:spacing w:before="0" w:after="283"/>
              <w:jc w:val="left"/>
              <w:rPr/>
            </w:pPr>
            <w:r>
              <w:rPr/>
              <w:t> </w:t>
            </w:r>
          </w:p>
        </w:tc>
        <w:tc>
          <w:tcPr>
            <w:tcW w:w="886" w:type="dxa"/>
            <w:tcBorders/>
            <w:shd w:fill="CCEEFF" w:val="clear"/>
          </w:tcPr>
          <w:p>
            <w:pPr>
              <w:pStyle w:val="TableContents"/>
              <w:spacing w:before="0" w:after="283"/>
              <w:jc w:val="right"/>
              <w:rPr/>
            </w:pPr>
            <w:r>
              <w:rPr/>
              <w:t> </w:t>
            </w:r>
          </w:p>
        </w:tc>
        <w:tc>
          <w:tcPr>
            <w:tcW w:w="240" w:type="dxa"/>
            <w:tcBorders/>
            <w:shd w:fill="CCEEFF" w:val="clear"/>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5618" w:type="dxa"/>
            <w:tcBorders/>
            <w:shd w:fill="CCEEFF" w:val="clear"/>
            <w:vAlign w:val="bottom"/>
          </w:tcPr>
          <w:p>
            <w:pPr>
              <w:pStyle w:val="TableContents"/>
              <w:spacing w:before="0" w:after="0"/>
              <w:ind w:left="225" w:right="0" w:hanging="225"/>
              <w:rPr/>
            </w:pPr>
            <w:r>
              <w:rPr/>
              <w:t>Second quarter ended March 31, 2009</w:t>
            </w:r>
          </w:p>
        </w:tc>
        <w:tc>
          <w:tcPr>
            <w:tcW w:w="41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17.01</w:t>
            </w:r>
          </w:p>
        </w:tc>
        <w:tc>
          <w:tcPr>
            <w:tcW w:w="12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9.50</w:t>
            </w:r>
          </w:p>
        </w:tc>
        <w:tc>
          <w:tcPr>
            <w:tcW w:w="67" w:type="dxa"/>
            <w:tcBorders/>
            <w:shd w:fill="CCEEFF" w:val="clear"/>
            <w:vAlign w:val="bottom"/>
          </w:tcPr>
          <w:p>
            <w:pPr>
              <w:pStyle w:val="TableContents"/>
              <w:spacing w:before="0" w:after="283"/>
              <w:rPr/>
            </w:pPr>
            <w:r>
              <w:rPr/>
              <w:t> </w:t>
            </w:r>
          </w:p>
        </w:tc>
      </w:tr>
      <w:tr>
        <w:trPr/>
        <w:tc>
          <w:tcPr>
            <w:tcW w:w="237" w:type="dxa"/>
            <w:tcBorders/>
            <w:shd w:fill="auto" w:val="clear"/>
          </w:tcPr>
          <w:p>
            <w:pPr>
              <w:pStyle w:val="TableContents"/>
              <w:spacing w:before="0" w:after="283"/>
              <w:jc w:val="left"/>
              <w:rPr/>
            </w:pPr>
            <w:r>
              <w:rPr/>
              <w:t> </w:t>
            </w:r>
          </w:p>
        </w:tc>
        <w:tc>
          <w:tcPr>
            <w:tcW w:w="886" w:type="dxa"/>
            <w:tcBorders/>
            <w:shd w:fill="auto" w:val="clear"/>
          </w:tcPr>
          <w:p>
            <w:pPr>
              <w:pStyle w:val="TableContents"/>
              <w:spacing w:before="0" w:after="283"/>
              <w:jc w:val="right"/>
              <w:rPr/>
            </w:pPr>
            <w:r>
              <w:rPr/>
              <w:t> </w:t>
            </w:r>
          </w:p>
        </w:tc>
        <w:tc>
          <w:tcPr>
            <w:tcW w:w="240" w:type="dxa"/>
            <w:tcBorders/>
            <w:shd w:fill="auto" w:val="clear"/>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618" w:type="dxa"/>
            <w:tcBorders/>
            <w:shd w:fill="auto" w:val="clear"/>
            <w:vAlign w:val="bottom"/>
          </w:tcPr>
          <w:p>
            <w:pPr>
              <w:pStyle w:val="TableContents"/>
              <w:spacing w:before="0" w:after="0"/>
              <w:ind w:left="225" w:right="0" w:hanging="225"/>
              <w:rPr/>
            </w:pPr>
            <w:r>
              <w:rPr/>
              <w:t>First quarter ended December 31, 2008</w:t>
            </w:r>
          </w:p>
        </w:tc>
        <w:tc>
          <w:tcPr>
            <w:tcW w:w="41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19.09</w:t>
            </w:r>
          </w:p>
        </w:tc>
        <w:tc>
          <w:tcPr>
            <w:tcW w:w="12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11.00</w:t>
            </w:r>
          </w:p>
        </w:tc>
        <w:tc>
          <w:tcPr>
            <w:tcW w:w="67"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October 29, 2010, our Class A Common Stock closed at $21.48 per share.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the past two fiscal years, we have not declared or paid any dividends and currently do not anticipate paying any cash dividends in the immediate future. Under the terms of our credit agreement, which expires December 31, 2012, payment of dividends is restricted.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Stock Performance Graph</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2005. The graph depicts the change in the value of our Class A Common Stock relative to the indices at the end of each fiscal year and not for any interim period. Historical stock price performance is not necessarily indicative of future stock price performance. </w:t>
      </w:r>
    </w:p>
    <w:p>
      <w:pPr>
        <w:pStyle w:val="TextBody"/>
        <w:spacing w:before="360" w:after="283"/>
        <w:jc w:val="center"/>
        <w:rPr/>
      </w:pPr>
      <w:r>
        <w:rPr/>
        <w:drawing>
          <wp:inline distT="0" distB="0" distL="0" distR="0">
            <wp:extent cx="5676900" cy="3371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76900" cy="3371850"/>
                    </a:xfrm>
                    <a:prstGeom prst="rect">
                      <a:avLst/>
                    </a:prstGeom>
                  </pic:spPr>
                </pic:pic>
              </a:graphicData>
            </a:graphic>
          </wp:inline>
        </w:drawing>
      </w: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bookmarkStart w:id="12" w:name="110"/>
      <w:bookmarkEnd w:id="12"/>
      <w:r>
        <w:rPr>
          <w:rFonts w:ascii="Times New Roman;Times;serif" w:hAnsi="Times New Roman;Times;serif"/>
          <w:b/>
          <w:smallCaps/>
          <w:sz w:val="17"/>
        </w:rPr>
        <w:t>Item 6. Selected Financial Data</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selected financial information should be read in conjunction with, and is qualified in its entirety by the accompanying consolidated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Selected Financial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247"/>
        <w:gridCol w:w="199"/>
        <w:gridCol w:w="152"/>
        <w:gridCol w:w="850"/>
        <w:gridCol w:w="112"/>
        <w:gridCol w:w="199"/>
        <w:gridCol w:w="213"/>
        <w:gridCol w:w="1202"/>
        <w:gridCol w:w="154"/>
        <w:gridCol w:w="226"/>
        <w:gridCol w:w="213"/>
        <w:gridCol w:w="1202"/>
        <w:gridCol w:w="153"/>
        <w:gridCol w:w="226"/>
        <w:gridCol w:w="213"/>
        <w:gridCol w:w="1205"/>
        <w:gridCol w:w="112"/>
        <w:gridCol w:w="199"/>
        <w:gridCol w:w="152"/>
        <w:gridCol w:w="850"/>
        <w:gridCol w:w="126"/>
      </w:tblGrid>
      <w:tr>
        <w:trPr/>
        <w:tc>
          <w:tcPr>
            <w:tcW w:w="224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7633" w:type="dxa"/>
            <w:gridSpan w:val="18"/>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1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1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1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5007" w:type="dxa"/>
            <w:gridSpan w:val="10"/>
            <w:tcBorders/>
            <w:shd w:fill="auto" w:val="clear"/>
            <w:vAlign w:val="bottom"/>
          </w:tcPr>
          <w:p>
            <w:pPr>
              <w:pStyle w:val="TableContents"/>
              <w:spacing w:before="0" w:after="283"/>
              <w:jc w:val="center"/>
              <w:rPr>
                <w:i/>
              </w:rPr>
            </w:pPr>
            <w:r>
              <w:rPr>
                <w:i/>
              </w:rPr>
              <w:t>(in thousands, except per share and store figures)</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225" w:right="0" w:hanging="225"/>
              <w:rPr>
                <w:b/>
              </w:rPr>
            </w:pPr>
            <w:r>
              <w:rPr>
                <w:b/>
              </w:rPr>
              <w:t>Operating Data:</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Sales</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399,531</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2" w:type="dxa"/>
            <w:tcBorders/>
            <w:shd w:fill="auto" w:val="clear"/>
            <w:vAlign w:val="bottom"/>
          </w:tcPr>
          <w:p>
            <w:pPr>
              <w:pStyle w:val="TableContents"/>
              <w:spacing w:before="0" w:after="283"/>
              <w:jc w:val="right"/>
              <w:rPr/>
            </w:pPr>
            <w:r>
              <w:rPr/>
              <w:t>323,596</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2" w:type="dxa"/>
            <w:tcBorders/>
            <w:shd w:fill="auto" w:val="clear"/>
            <w:vAlign w:val="bottom"/>
          </w:tcPr>
          <w:p>
            <w:pPr>
              <w:pStyle w:val="TableContents"/>
              <w:spacing w:before="0" w:after="283"/>
              <w:jc w:val="right"/>
              <w:rPr/>
            </w:pPr>
            <w:r>
              <w:rPr/>
              <w:t>232,560</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5" w:type="dxa"/>
            <w:tcBorders/>
            <w:shd w:fill="auto" w:val="clear"/>
            <w:vAlign w:val="bottom"/>
          </w:tcPr>
          <w:p>
            <w:pPr>
              <w:pStyle w:val="TableContents"/>
              <w:spacing w:before="0" w:after="283"/>
              <w:jc w:val="right"/>
              <w:rPr/>
            </w:pPr>
            <w:r>
              <w:rPr/>
              <w:t>192,987</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177,424</w:t>
            </w:r>
          </w:p>
        </w:tc>
        <w:tc>
          <w:tcPr>
            <w:tcW w:w="126" w:type="dxa"/>
            <w:tcBorders/>
            <w:shd w:fill="auto" w:val="clear"/>
            <w:vAlign w:val="bottom"/>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225" w:right="0" w:hanging="225"/>
              <w:rPr/>
            </w:pPr>
            <w:r>
              <w:rPr/>
              <w:t>Pawn service charges</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163,695</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130,169</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94,244</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73,551</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65,325</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Signature loan fees</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139,315</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133,344</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128,478</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104,347</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71,840</w:t>
            </w:r>
          </w:p>
        </w:tc>
        <w:tc>
          <w:tcPr>
            <w:tcW w:w="126" w:type="dxa"/>
            <w:tcBorders/>
            <w:shd w:fill="auto" w:val="clear"/>
            <w:vAlign w:val="bottom"/>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225" w:right="0" w:hanging="225"/>
              <w:rPr/>
            </w:pPr>
            <w:r>
              <w:rPr/>
              <w:t>Auto title loan fees</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17,707</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3,589</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Other</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12,797</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6,758</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2,121</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1,330</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1,263</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center"/>
          </w:tcPr>
          <w:p>
            <w:pPr>
              <w:pStyle w:val="TableContents"/>
              <w:spacing w:before="0" w:after="0"/>
              <w:ind w:left="225" w:right="0" w:hanging="225"/>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450" w:right="0" w:hanging="225"/>
              <w:rPr/>
            </w:pPr>
            <w:r>
              <w:rPr/>
              <w:t>Total revenues</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733,045</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597,456</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457,403</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372,215</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315,852</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Cost of goods sold</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251,122</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203,589</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139,402</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118,007</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106,873</w:t>
            </w:r>
          </w:p>
        </w:tc>
        <w:tc>
          <w:tcPr>
            <w:tcW w:w="126" w:type="dxa"/>
            <w:tcBorders/>
            <w:shd w:fill="auto" w:val="clear"/>
            <w:vAlign w:val="bottom"/>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225" w:right="0" w:hanging="225"/>
              <w:rPr/>
            </w:pPr>
            <w:r>
              <w:rPr/>
              <w:t>Signature loan bad debt</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31,709</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33,553</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37,150</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28,508</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17,897</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Auto title loan bad debt</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2,735</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380</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center"/>
          </w:tcPr>
          <w:p>
            <w:pPr>
              <w:pStyle w:val="TableContents"/>
              <w:spacing w:before="0" w:after="0"/>
              <w:ind w:left="225" w:right="0" w:hanging="225"/>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450" w:right="0" w:hanging="225"/>
              <w:rPr/>
            </w:pPr>
            <w:r>
              <w:rPr/>
              <w:t>Net revenues</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447,479</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359,934</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280,851</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225,700</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191,082</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Store operating expenses</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236,664</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206,237</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158,927</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133,180</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115,438</w:t>
            </w:r>
          </w:p>
        </w:tc>
        <w:tc>
          <w:tcPr>
            <w:tcW w:w="126" w:type="dxa"/>
            <w:tcBorders/>
            <w:shd w:fill="auto" w:val="clear"/>
            <w:vAlign w:val="bottom"/>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225" w:right="0" w:hanging="225"/>
              <w:rPr/>
            </w:pPr>
            <w:r>
              <w:rPr/>
              <w:t>Administrative expenses</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52,740</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40,497</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34,951</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27,171</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24,049</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Depreciation and amortization</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14,661</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12,746</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12,354</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9,812</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8,610</w:t>
            </w:r>
          </w:p>
        </w:tc>
        <w:tc>
          <w:tcPr>
            <w:tcW w:w="126" w:type="dxa"/>
            <w:tcBorders/>
            <w:shd w:fill="auto" w:val="clear"/>
            <w:vAlign w:val="bottom"/>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225" w:right="0" w:hanging="225"/>
              <w:rPr/>
            </w:pPr>
            <w:r>
              <w:rPr/>
              <w:t>(Gain) loss on disposal of assets</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1,528</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202" w:type="dxa"/>
            <w:tcBorders/>
            <w:shd w:fill="CCEEFF" w:val="clear"/>
            <w:vAlign w:val="bottom"/>
          </w:tcPr>
          <w:p>
            <w:pPr>
              <w:pStyle w:val="TableContents"/>
              <w:spacing w:before="0" w:after="283"/>
              <w:jc w:val="right"/>
              <w:rPr/>
            </w:pPr>
            <w:r>
              <w:rPr/>
              <w:t>(1,024</w:t>
            </w:r>
          </w:p>
        </w:tc>
        <w:tc>
          <w:tcPr>
            <w:tcW w:w="154"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939</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283"/>
              <w:jc w:val="right"/>
              <w:rPr/>
            </w:pPr>
            <w:r>
              <w:rPr/>
              <w:t>(72</w:t>
            </w:r>
          </w:p>
        </w:tc>
        <w:tc>
          <w:tcPr>
            <w:tcW w:w="112" w:type="dxa"/>
            <w:tcBorders/>
            <w:shd w:fill="CCEEFF" w:val="clear"/>
            <w:vAlign w:val="bottom"/>
          </w:tcPr>
          <w:p>
            <w:pPr>
              <w:pStyle w:val="TableContents"/>
              <w:spacing w:before="0" w:after="283"/>
              <w:rPr/>
            </w:pPr>
            <w:r>
              <w:rPr/>
              <w:t>)</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(7</w:t>
            </w:r>
          </w:p>
        </w:tc>
        <w:tc>
          <w:tcPr>
            <w:tcW w:w="126" w:type="dxa"/>
            <w:tcBorders/>
            <w:shd w:fill="CCEEFF" w:val="clear"/>
            <w:vAlign w:val="bottom"/>
          </w:tcPr>
          <w:p>
            <w:pPr>
              <w:pStyle w:val="TableContents"/>
              <w:spacing w:before="0" w:after="283"/>
              <w:rPr/>
            </w:pPr>
            <w:r>
              <w:rPr/>
              <w:t>)</w:t>
            </w:r>
          </w:p>
        </w:tc>
      </w:tr>
      <w:tr>
        <w:trPr/>
        <w:tc>
          <w:tcPr>
            <w:tcW w:w="2247" w:type="dxa"/>
            <w:tcBorders/>
            <w:shd w:fill="auto" w:val="clear"/>
            <w:vAlign w:val="bottom"/>
          </w:tcPr>
          <w:p>
            <w:pPr>
              <w:pStyle w:val="TableContents"/>
              <w:spacing w:before="0" w:after="0"/>
              <w:ind w:left="225" w:right="0" w:hanging="225"/>
              <w:rPr/>
            </w:pPr>
            <w:r>
              <w:rPr/>
              <w:t>Interest expense (income), net</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1,199</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1,144</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1202" w:type="dxa"/>
            <w:tcBorders/>
            <w:shd w:fill="auto" w:val="clear"/>
            <w:vAlign w:val="bottom"/>
          </w:tcPr>
          <w:p>
            <w:pPr>
              <w:pStyle w:val="TableContents"/>
              <w:spacing w:before="0" w:after="283"/>
              <w:jc w:val="right"/>
              <w:rPr/>
            </w:pPr>
            <w:r>
              <w:rPr/>
              <w:t>(57</w:t>
            </w:r>
          </w:p>
        </w:tc>
        <w:tc>
          <w:tcPr>
            <w:tcW w:w="153"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pPr>
            <w:r>
              <w:rPr/>
              <w:t>(1,373</w:t>
            </w:r>
          </w:p>
        </w:tc>
        <w:tc>
          <w:tcPr>
            <w:tcW w:w="112" w:type="dxa"/>
            <w:tcBorders/>
            <w:shd w:fill="auto" w:val="clear"/>
            <w:vAlign w:val="bottom"/>
          </w:tcPr>
          <w:p>
            <w:pPr>
              <w:pStyle w:val="TableContents"/>
              <w:spacing w:before="0" w:after="283"/>
              <w:rPr/>
            </w:pPr>
            <w:r>
              <w:rPr/>
              <w:t>)</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right"/>
              <w:rPr/>
            </w:pPr>
            <w:r>
              <w:rPr/>
              <w:t>(79</w:t>
            </w:r>
          </w:p>
        </w:tc>
        <w:tc>
          <w:tcPr>
            <w:tcW w:w="126" w:type="dxa"/>
            <w:tcBorders/>
            <w:shd w:fill="auto" w:val="clear"/>
            <w:vAlign w:val="bottom"/>
          </w:tcPr>
          <w:p>
            <w:pPr>
              <w:pStyle w:val="TableContents"/>
              <w:spacing w:before="0" w:after="283"/>
              <w:rPr/>
            </w:pPr>
            <w:r>
              <w:rPr/>
              <w:t>)</w:t>
            </w:r>
          </w:p>
        </w:tc>
      </w:tr>
      <w:tr>
        <w:trPr/>
        <w:tc>
          <w:tcPr>
            <w:tcW w:w="2247" w:type="dxa"/>
            <w:tcBorders/>
            <w:shd w:fill="CCEEFF" w:val="clear"/>
            <w:vAlign w:val="bottom"/>
          </w:tcPr>
          <w:p>
            <w:pPr>
              <w:pStyle w:val="TableContents"/>
              <w:spacing w:before="0" w:after="0"/>
              <w:ind w:left="225" w:right="0" w:hanging="225"/>
              <w:rPr/>
            </w:pPr>
            <w:r>
              <w:rPr/>
              <w:t>Equity in net income of unconsolidated affiliates</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(10,750</w:t>
            </w:r>
          </w:p>
        </w:tc>
        <w:tc>
          <w:tcPr>
            <w:tcW w:w="112" w:type="dxa"/>
            <w:tcBorders/>
            <w:shd w:fill="CCEEFF" w:val="clear"/>
            <w:vAlign w:val="bottom"/>
          </w:tcPr>
          <w:p>
            <w:pPr>
              <w:pStyle w:val="TableContents"/>
              <w:spacing w:before="0" w:after="283"/>
              <w:rPr/>
            </w:pPr>
            <w:r>
              <w:rPr/>
              <w:t>)</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202" w:type="dxa"/>
            <w:tcBorders/>
            <w:shd w:fill="CCEEFF" w:val="clear"/>
            <w:vAlign w:val="bottom"/>
          </w:tcPr>
          <w:p>
            <w:pPr>
              <w:pStyle w:val="TableContents"/>
              <w:spacing w:before="0" w:after="283"/>
              <w:jc w:val="right"/>
              <w:rPr/>
            </w:pPr>
            <w:r>
              <w:rPr/>
              <w:t>(5,016</w:t>
            </w:r>
          </w:p>
        </w:tc>
        <w:tc>
          <w:tcPr>
            <w:tcW w:w="154"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202" w:type="dxa"/>
            <w:tcBorders/>
            <w:shd w:fill="CCEEFF" w:val="clear"/>
            <w:vAlign w:val="bottom"/>
          </w:tcPr>
          <w:p>
            <w:pPr>
              <w:pStyle w:val="TableContents"/>
              <w:spacing w:before="0" w:after="283"/>
              <w:jc w:val="right"/>
              <w:rPr/>
            </w:pPr>
            <w:r>
              <w:rPr/>
              <w:t>(4,342</w:t>
            </w:r>
          </w:p>
        </w:tc>
        <w:tc>
          <w:tcPr>
            <w:tcW w:w="153" w:type="dxa"/>
            <w:tcBorders/>
            <w:shd w:fill="CCEEFF" w:val="clear"/>
            <w:vAlign w:val="bottom"/>
          </w:tcPr>
          <w:p>
            <w:pPr>
              <w:pStyle w:val="TableContents"/>
              <w:spacing w:before="0" w:after="283"/>
              <w:rPr/>
            </w:pPr>
            <w:r>
              <w:rPr/>
              <w:t>)</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283"/>
              <w:jc w:val="right"/>
              <w:rPr/>
            </w:pPr>
            <w:r>
              <w:rPr/>
              <w:t>(2,945</w:t>
            </w:r>
          </w:p>
        </w:tc>
        <w:tc>
          <w:tcPr>
            <w:tcW w:w="112" w:type="dxa"/>
            <w:tcBorders/>
            <w:shd w:fill="CCEEFF" w:val="clear"/>
            <w:vAlign w:val="bottom"/>
          </w:tcPr>
          <w:p>
            <w:pPr>
              <w:pStyle w:val="TableContents"/>
              <w:spacing w:before="0" w:after="283"/>
              <w:rPr/>
            </w:pPr>
            <w:r>
              <w:rPr/>
              <w:t>)</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(2,433</w:t>
            </w:r>
          </w:p>
        </w:tc>
        <w:tc>
          <w:tcPr>
            <w:tcW w:w="126" w:type="dxa"/>
            <w:tcBorders/>
            <w:shd w:fill="CCEEFF" w:val="clear"/>
            <w:vAlign w:val="bottom"/>
          </w:tcPr>
          <w:p>
            <w:pPr>
              <w:pStyle w:val="TableContents"/>
              <w:spacing w:before="0" w:after="283"/>
              <w:rPr/>
            </w:pPr>
            <w:r>
              <w:rPr/>
              <w:t>)</w:t>
            </w:r>
          </w:p>
        </w:tc>
      </w:tr>
      <w:tr>
        <w:trPr/>
        <w:tc>
          <w:tcPr>
            <w:tcW w:w="2247" w:type="dxa"/>
            <w:tcBorders/>
            <w:shd w:fill="auto" w:val="clear"/>
            <w:vAlign w:val="bottom"/>
          </w:tcPr>
          <w:p>
            <w:pPr>
              <w:pStyle w:val="TableContents"/>
              <w:spacing w:before="0" w:after="0"/>
              <w:ind w:left="225" w:right="0" w:hanging="225"/>
              <w:rPr/>
            </w:pPr>
            <w:r>
              <w:rPr/>
              <w:t>Other</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right"/>
              <w:rPr/>
            </w:pPr>
            <w:r>
              <w:rPr/>
              <w:t>(93</w:t>
            </w:r>
          </w:p>
        </w:tc>
        <w:tc>
          <w:tcPr>
            <w:tcW w:w="112" w:type="dxa"/>
            <w:tcBorders/>
            <w:shd w:fill="auto" w:val="clear"/>
            <w:vAlign w:val="bottom"/>
          </w:tcPr>
          <w:p>
            <w:pPr>
              <w:pStyle w:val="TableContents"/>
              <w:spacing w:before="0" w:after="283"/>
              <w:rPr/>
            </w:pPr>
            <w:r>
              <w:rPr/>
              <w:t>)</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38</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8</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center"/>
          </w:tcPr>
          <w:p>
            <w:pPr>
              <w:pStyle w:val="TableContents"/>
              <w:spacing w:before="0" w:after="0"/>
              <w:ind w:left="225" w:right="0" w:hanging="225"/>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450" w:right="0" w:hanging="225"/>
              <w:rPr/>
            </w:pPr>
            <w:r>
              <w:rPr/>
              <w:t>Income before income taxes</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151,530</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105,312</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78,071</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59,927</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45,504</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450" w:right="0" w:hanging="225"/>
              <w:rPr/>
            </w:pPr>
            <w:r>
              <w:rPr/>
              <w:t>Income tax expense</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54,236</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36,840</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25,642</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22,053</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16,245</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center"/>
          </w:tcPr>
          <w:p>
            <w:pPr>
              <w:pStyle w:val="TableContents"/>
              <w:spacing w:before="0" w:after="0"/>
              <w:ind w:left="225" w:right="0" w:hanging="225"/>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450" w:right="0" w:hanging="225"/>
              <w:rPr/>
            </w:pPr>
            <w:r>
              <w:rPr/>
              <w:t>Net income</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97,294</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2" w:type="dxa"/>
            <w:tcBorders/>
            <w:shd w:fill="CCEEFF" w:val="clear"/>
            <w:vAlign w:val="bottom"/>
          </w:tcPr>
          <w:p>
            <w:pPr>
              <w:pStyle w:val="TableContents"/>
              <w:spacing w:before="0" w:after="283"/>
              <w:jc w:val="right"/>
              <w:rPr/>
            </w:pPr>
            <w:r>
              <w:rPr/>
              <w:t>68,472</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2" w:type="dxa"/>
            <w:tcBorders/>
            <w:shd w:fill="CCEEFF" w:val="clear"/>
            <w:vAlign w:val="bottom"/>
          </w:tcPr>
          <w:p>
            <w:pPr>
              <w:pStyle w:val="TableContents"/>
              <w:spacing w:before="0" w:after="283"/>
              <w:jc w:val="right"/>
              <w:rPr/>
            </w:pPr>
            <w:r>
              <w:rPr/>
              <w:t>52,429</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5" w:type="dxa"/>
            <w:tcBorders/>
            <w:shd w:fill="CCEEFF" w:val="clear"/>
            <w:vAlign w:val="bottom"/>
          </w:tcPr>
          <w:p>
            <w:pPr>
              <w:pStyle w:val="TableContents"/>
              <w:spacing w:before="0" w:after="283"/>
              <w:jc w:val="right"/>
              <w:rPr/>
            </w:pPr>
            <w:r>
              <w:rPr/>
              <w:t>37,874</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29,259</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center"/>
          </w:tcPr>
          <w:p>
            <w:pPr>
              <w:pStyle w:val="TableContents"/>
              <w:spacing w:before="0" w:after="0"/>
              <w:ind w:left="225" w:right="0" w:hanging="225"/>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4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4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Earnings per common share, diluted</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1.96</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2" w:type="dxa"/>
            <w:tcBorders/>
            <w:shd w:fill="auto" w:val="clear"/>
            <w:vAlign w:val="bottom"/>
          </w:tcPr>
          <w:p>
            <w:pPr>
              <w:pStyle w:val="TableContents"/>
              <w:spacing w:before="0" w:after="283"/>
              <w:jc w:val="right"/>
              <w:rPr/>
            </w:pPr>
            <w:r>
              <w:rPr/>
              <w:t>1.42</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2" w:type="dxa"/>
            <w:tcBorders/>
            <w:shd w:fill="auto" w:val="clear"/>
            <w:vAlign w:val="bottom"/>
          </w:tcPr>
          <w:p>
            <w:pPr>
              <w:pStyle w:val="TableContents"/>
              <w:spacing w:before="0" w:after="283"/>
              <w:jc w:val="right"/>
              <w:rPr/>
            </w:pPr>
            <w:r>
              <w:rPr/>
              <w:t>1.21</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205" w:type="dxa"/>
            <w:tcBorders/>
            <w:shd w:fill="auto" w:val="clear"/>
            <w:vAlign w:val="bottom"/>
          </w:tcPr>
          <w:p>
            <w:pPr>
              <w:pStyle w:val="TableContents"/>
              <w:spacing w:before="0" w:after="283"/>
              <w:jc w:val="right"/>
              <w:rPr/>
            </w:pPr>
            <w:r>
              <w:rPr/>
              <w:t>0.88</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0.69</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225" w:right="0" w:hanging="225"/>
              <w:rPr/>
            </w:pPr>
            <w:r>
              <w:rPr/>
              <w:t>Cash dividends per common share</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2" w:type="dxa"/>
            <w:tcBorders/>
            <w:shd w:fill="CCEEFF" w:val="clear"/>
            <w:vAlign w:val="bottom"/>
          </w:tcPr>
          <w:p>
            <w:pPr>
              <w:pStyle w:val="TableContents"/>
              <w:spacing w:before="0" w:after="283"/>
              <w:jc w:val="right"/>
              <w:rPr/>
            </w:pPr>
            <w:r>
              <w:rPr/>
              <w:t></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2" w:type="dxa"/>
            <w:tcBorders/>
            <w:shd w:fill="CCEEFF" w:val="clear"/>
            <w:vAlign w:val="bottom"/>
          </w:tcPr>
          <w:p>
            <w:pPr>
              <w:pStyle w:val="TableContents"/>
              <w:spacing w:before="0" w:after="283"/>
              <w:jc w:val="right"/>
              <w:rPr/>
            </w:pPr>
            <w:r>
              <w:rPr/>
              <w:t></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205"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Weighted average common shares and share equivalents, diluted</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49,576</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48,076</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43,327</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43,230</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42,264</w:t>
            </w:r>
          </w:p>
        </w:tc>
        <w:tc>
          <w:tcPr>
            <w:tcW w:w="126" w:type="dxa"/>
            <w:tcBorders/>
            <w:shd w:fill="auto" w:val="clear"/>
            <w:vAlign w:val="bottom"/>
          </w:tcPr>
          <w:p>
            <w:pPr>
              <w:pStyle w:val="TableContents"/>
              <w:spacing w:before="0" w:after="283"/>
              <w:rPr/>
            </w:pPr>
            <w:r>
              <w:rPr/>
              <w:t> </w:t>
            </w:r>
          </w:p>
        </w:tc>
      </w:tr>
      <w:tr>
        <w:trPr/>
        <w:tc>
          <w:tcPr>
            <w:tcW w:w="2247" w:type="dxa"/>
            <w:tcBorders/>
            <w:shd w:fill="auto" w:val="clear"/>
            <w:vAlign w:val="bottom"/>
          </w:tcPr>
          <w:p>
            <w:pPr>
              <w:pStyle w:val="TableContents"/>
              <w:spacing w:before="0" w:after="0"/>
              <w:ind w:left="225" w:right="0" w:hanging="225"/>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247" w:type="dxa"/>
            <w:tcBorders/>
            <w:shd w:fill="CCEEFF" w:val="clear"/>
            <w:vAlign w:val="bottom"/>
          </w:tcPr>
          <w:p>
            <w:pPr>
              <w:pStyle w:val="TableContents"/>
              <w:spacing w:before="0" w:after="0"/>
              <w:ind w:left="225" w:right="0" w:hanging="225"/>
              <w:rPr/>
            </w:pPr>
            <w:r>
              <w:rPr/>
              <w:t>Stores operated at end of period</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1,006</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910</w:t>
            </w:r>
          </w:p>
        </w:tc>
        <w:tc>
          <w:tcPr>
            <w:tcW w:w="154"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809</w:t>
            </w:r>
          </w:p>
        </w:tc>
        <w:tc>
          <w:tcPr>
            <w:tcW w:w="153"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731</w:t>
            </w:r>
          </w:p>
        </w:tc>
        <w:tc>
          <w:tcPr>
            <w:tcW w:w="112"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614</w:t>
            </w:r>
          </w:p>
        </w:tc>
        <w:tc>
          <w:tcPr>
            <w:tcW w:w="126"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814"/>
        <w:gridCol w:w="278"/>
        <w:gridCol w:w="159"/>
        <w:gridCol w:w="876"/>
        <w:gridCol w:w="94"/>
        <w:gridCol w:w="278"/>
        <w:gridCol w:w="159"/>
        <w:gridCol w:w="876"/>
        <w:gridCol w:w="94"/>
        <w:gridCol w:w="278"/>
        <w:gridCol w:w="210"/>
        <w:gridCol w:w="1171"/>
        <w:gridCol w:w="94"/>
        <w:gridCol w:w="278"/>
        <w:gridCol w:w="158"/>
        <w:gridCol w:w="876"/>
        <w:gridCol w:w="94"/>
        <w:gridCol w:w="278"/>
        <w:gridCol w:w="159"/>
        <w:gridCol w:w="876"/>
        <w:gridCol w:w="105"/>
      </w:tblGrid>
      <w:tr>
        <w:trPr/>
        <w:tc>
          <w:tcPr>
            <w:tcW w:w="281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7008" w:type="dxa"/>
            <w:gridSpan w:val="18"/>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05"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03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03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38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03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03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05"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381" w:type="dxa"/>
            <w:gridSpan w:val="2"/>
            <w:tcBorders/>
            <w:shd w:fill="auto" w:val="clear"/>
            <w:vAlign w:val="bottom"/>
          </w:tcPr>
          <w:p>
            <w:pPr>
              <w:pStyle w:val="TableContents"/>
              <w:spacing w:before="0" w:after="283"/>
              <w:jc w:val="center"/>
              <w:rPr/>
            </w:pPr>
            <w:r>
              <w:rPr/>
              <w:t>(</w:t>
            </w:r>
            <w:r>
              <w:rPr>
                <w:i/>
              </w:rPr>
              <w:t>in thousands)</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225" w:right="0" w:hanging="225"/>
              <w:rPr>
                <w:b/>
              </w:rPr>
            </w:pPr>
            <w:r>
              <w:rPr>
                <w:b/>
              </w:rPr>
              <w:t>Balance Sheet Data:</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225" w:right="0" w:hanging="225"/>
              <w:rPr/>
            </w:pPr>
            <w:r>
              <w:rPr/>
              <w:t>Pawn loans</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121,201</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101,684</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171" w:type="dxa"/>
            <w:tcBorders/>
            <w:shd w:fill="auto" w:val="clear"/>
            <w:vAlign w:val="bottom"/>
          </w:tcPr>
          <w:p>
            <w:pPr>
              <w:pStyle w:val="TableContents"/>
              <w:spacing w:before="0" w:after="283"/>
              <w:jc w:val="right"/>
              <w:rPr/>
            </w:pPr>
            <w:r>
              <w:rPr/>
              <w:t>75,936</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60,742</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50,304</w:t>
            </w:r>
          </w:p>
        </w:tc>
        <w:tc>
          <w:tcPr>
            <w:tcW w:w="105"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225" w:right="0" w:hanging="225"/>
              <w:rPr/>
            </w:pPr>
            <w:r>
              <w:rPr/>
              <w:t>Signature loans</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10,775</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8,357</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7,124</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4,814</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2,443</w:t>
            </w:r>
          </w:p>
        </w:tc>
        <w:tc>
          <w:tcPr>
            <w:tcW w:w="105"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225" w:right="0" w:hanging="225"/>
              <w:rPr/>
            </w:pPr>
            <w:r>
              <w:rPr/>
              <w:t>Auto title loans</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3,145</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1,663</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1</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225" w:right="0" w:hanging="225"/>
              <w:rPr/>
            </w:pPr>
            <w:r>
              <w:rPr/>
              <w:t>Inventory</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71,502</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64,001</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43,209</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37,942</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35,616</w:t>
            </w:r>
          </w:p>
        </w:tc>
        <w:tc>
          <w:tcPr>
            <w:tcW w:w="105"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225" w:right="0" w:hanging="225"/>
              <w:rPr/>
            </w:pPr>
            <w:r>
              <w:rPr/>
              <w:t>Working capital</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232,713</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228,796</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159,918</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124,871</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117,539</w:t>
            </w:r>
          </w:p>
        </w:tc>
        <w:tc>
          <w:tcPr>
            <w:tcW w:w="105"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225" w:right="0" w:hanging="225"/>
              <w:rPr/>
            </w:pPr>
            <w:r>
              <w:rPr/>
              <w:t>Total assets</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606,412</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492,517</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308,720</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251,186</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197,858</w:t>
            </w:r>
          </w:p>
        </w:tc>
        <w:tc>
          <w:tcPr>
            <w:tcW w:w="105"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225" w:right="0" w:hanging="225"/>
              <w:rPr/>
            </w:pPr>
            <w:r>
              <w:rPr/>
              <w:t>Long-term debt</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25,000</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35,000</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9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225" w:right="0" w:hanging="225"/>
              <w:rPr/>
            </w:pPr>
            <w:r>
              <w:rPr/>
              <w:t>Stockholders equity</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519,428</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415,685</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273,050</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215,925</w:t>
            </w:r>
          </w:p>
        </w:tc>
        <w:tc>
          <w:tcPr>
            <w:tcW w:w="9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170,140</w:t>
            </w:r>
          </w:p>
        </w:tc>
        <w:tc>
          <w:tcPr>
            <w:tcW w:w="105"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bookmarkStart w:id="13" w:name="111"/>
      <w:bookmarkEnd w:id="13"/>
      <w:r>
        <w:rPr>
          <w:rFonts w:ascii="Times New Roman;Times;serif" w:hAnsi="Times New Roman;Times;serif"/>
          <w:b/>
          <w:smallCaps/>
          <w:sz w:val="17"/>
        </w:rPr>
        <w:t>Item 7.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  Risk Factors of this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summary consolidated financial data for our fiscal years ended September 30, 2010 (current year or fiscal 2010), September 30, 2009 (prior year or fiscal 2009) and September 30, 2008 (fiscal 2008).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Summary Financial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19"/>
        <w:gridCol w:w="396"/>
        <w:gridCol w:w="175"/>
        <w:gridCol w:w="954"/>
        <w:gridCol w:w="115"/>
        <w:gridCol w:w="399"/>
        <w:gridCol w:w="212"/>
        <w:gridCol w:w="1169"/>
        <w:gridCol w:w="115"/>
        <w:gridCol w:w="399"/>
        <w:gridCol w:w="175"/>
        <w:gridCol w:w="957"/>
        <w:gridCol w:w="120"/>
      </w:tblGrid>
      <w:tr>
        <w:trPr/>
        <w:tc>
          <w:tcPr>
            <w:tcW w:w="50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50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4670"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20" w:type="dxa"/>
            <w:tcBorders/>
            <w:shd w:fill="auto" w:val="clear"/>
            <w:vAlign w:val="bottom"/>
          </w:tcPr>
          <w:p>
            <w:pPr>
              <w:pStyle w:val="TableContents"/>
              <w:spacing w:before="0" w:after="283"/>
              <w:rPr/>
            </w:pPr>
            <w:r>
              <w:rPr/>
              <w:t> </w:t>
            </w:r>
          </w:p>
        </w:tc>
      </w:tr>
      <w:tr>
        <w:trPr/>
        <w:tc>
          <w:tcPr>
            <w:tcW w:w="50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12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38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13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20" w:type="dxa"/>
            <w:tcBorders/>
            <w:shd w:fill="auto" w:val="clear"/>
            <w:vAlign w:val="bottom"/>
          </w:tcPr>
          <w:p>
            <w:pPr>
              <w:pStyle w:val="TableContents"/>
              <w:spacing w:before="0" w:after="283"/>
              <w:rPr/>
            </w:pPr>
            <w:r>
              <w:rPr/>
              <w:t> </w:t>
            </w:r>
          </w:p>
        </w:tc>
      </w:tr>
      <w:tr>
        <w:trPr/>
        <w:tc>
          <w:tcPr>
            <w:tcW w:w="50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381" w:type="dxa"/>
            <w:gridSpan w:val="2"/>
            <w:tcBorders/>
            <w:shd w:fill="auto" w:val="clear"/>
            <w:vAlign w:val="bottom"/>
          </w:tcPr>
          <w:p>
            <w:pPr>
              <w:pStyle w:val="TableContents"/>
              <w:spacing w:before="0" w:after="283"/>
              <w:jc w:val="center"/>
              <w:rPr>
                <w:i/>
              </w:rPr>
            </w:pPr>
            <w:r>
              <w:rPr>
                <w:i/>
              </w:rPr>
              <w:t>(in thousands)</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5019" w:type="dxa"/>
            <w:tcBorders/>
            <w:shd w:fill="CCEEFF" w:val="clear"/>
            <w:vAlign w:val="bottom"/>
          </w:tcPr>
          <w:p>
            <w:pPr>
              <w:pStyle w:val="TableContents"/>
              <w:spacing w:before="0" w:after="0"/>
              <w:ind w:left="225" w:right="0" w:hanging="225"/>
              <w:rPr>
                <w:b/>
              </w:rPr>
            </w:pPr>
            <w:r>
              <w:rPr>
                <w:b/>
              </w:rPr>
              <w:t>Net revenues:</w:t>
            </w:r>
          </w:p>
        </w:tc>
        <w:tc>
          <w:tcPr>
            <w:tcW w:w="39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5019" w:type="dxa"/>
            <w:tcBorders/>
            <w:shd w:fill="auto" w:val="clear"/>
            <w:vAlign w:val="bottom"/>
          </w:tcPr>
          <w:p>
            <w:pPr>
              <w:pStyle w:val="TableContents"/>
              <w:spacing w:before="0" w:after="0"/>
              <w:ind w:left="450" w:right="0" w:hanging="225"/>
              <w:rPr/>
            </w:pPr>
            <w:r>
              <w:rPr/>
              <w:t>Sales</w:t>
            </w:r>
          </w:p>
        </w:tc>
        <w:tc>
          <w:tcPr>
            <w:tcW w:w="39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54" w:type="dxa"/>
            <w:tcBorders/>
            <w:shd w:fill="auto" w:val="clear"/>
            <w:vAlign w:val="bottom"/>
          </w:tcPr>
          <w:p>
            <w:pPr>
              <w:pStyle w:val="TableContents"/>
              <w:spacing w:before="0" w:after="283"/>
              <w:jc w:val="right"/>
              <w:rPr/>
            </w:pPr>
            <w:r>
              <w:rPr/>
              <w:t>399,531</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323,596</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57" w:type="dxa"/>
            <w:tcBorders/>
            <w:shd w:fill="auto" w:val="clear"/>
            <w:vAlign w:val="bottom"/>
          </w:tcPr>
          <w:p>
            <w:pPr>
              <w:pStyle w:val="TableContents"/>
              <w:spacing w:before="0" w:after="283"/>
              <w:jc w:val="right"/>
              <w:rPr/>
            </w:pPr>
            <w:r>
              <w:rPr/>
              <w:t>232,560</w:t>
            </w:r>
          </w:p>
        </w:tc>
        <w:tc>
          <w:tcPr>
            <w:tcW w:w="120" w:type="dxa"/>
            <w:tcBorders/>
            <w:shd w:fill="auto" w:val="clear"/>
            <w:vAlign w:val="bottom"/>
          </w:tcPr>
          <w:p>
            <w:pPr>
              <w:pStyle w:val="TableContents"/>
              <w:spacing w:before="0" w:after="283"/>
              <w:rPr/>
            </w:pPr>
            <w:r>
              <w:rPr/>
              <w:t> </w:t>
            </w:r>
          </w:p>
        </w:tc>
      </w:tr>
      <w:tr>
        <w:trPr/>
        <w:tc>
          <w:tcPr>
            <w:tcW w:w="5019" w:type="dxa"/>
            <w:tcBorders/>
            <w:shd w:fill="CCEEFF" w:val="clear"/>
            <w:vAlign w:val="bottom"/>
          </w:tcPr>
          <w:p>
            <w:pPr>
              <w:pStyle w:val="TableContents"/>
              <w:spacing w:before="0" w:after="0"/>
              <w:ind w:left="450" w:right="0" w:hanging="225"/>
              <w:rPr/>
            </w:pPr>
            <w:r>
              <w:rPr/>
              <w:t>Pawn service charges</w:t>
            </w:r>
          </w:p>
        </w:tc>
        <w:tc>
          <w:tcPr>
            <w:tcW w:w="39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pPr>
            <w:r>
              <w:rPr/>
              <w:t>163,695</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130,169</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94,244</w:t>
            </w:r>
          </w:p>
        </w:tc>
        <w:tc>
          <w:tcPr>
            <w:tcW w:w="120" w:type="dxa"/>
            <w:tcBorders/>
            <w:shd w:fill="CCEEFF" w:val="clear"/>
            <w:vAlign w:val="bottom"/>
          </w:tcPr>
          <w:p>
            <w:pPr>
              <w:pStyle w:val="TableContents"/>
              <w:spacing w:before="0" w:after="283"/>
              <w:rPr/>
            </w:pPr>
            <w:r>
              <w:rPr/>
              <w:t> </w:t>
            </w:r>
          </w:p>
        </w:tc>
      </w:tr>
      <w:tr>
        <w:trPr/>
        <w:tc>
          <w:tcPr>
            <w:tcW w:w="5019" w:type="dxa"/>
            <w:tcBorders/>
            <w:shd w:fill="auto" w:val="clear"/>
            <w:vAlign w:val="bottom"/>
          </w:tcPr>
          <w:p>
            <w:pPr>
              <w:pStyle w:val="TableContents"/>
              <w:spacing w:before="0" w:after="0"/>
              <w:ind w:left="450" w:right="0" w:hanging="225"/>
              <w:rPr/>
            </w:pPr>
            <w:r>
              <w:rPr/>
              <w:t>Signature loan fees</w:t>
            </w:r>
          </w:p>
        </w:tc>
        <w:tc>
          <w:tcPr>
            <w:tcW w:w="39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pPr>
            <w:r>
              <w:rPr/>
              <w:t>139,315</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133,344</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128,478</w:t>
            </w:r>
          </w:p>
        </w:tc>
        <w:tc>
          <w:tcPr>
            <w:tcW w:w="120" w:type="dxa"/>
            <w:tcBorders/>
            <w:shd w:fill="auto" w:val="clear"/>
            <w:vAlign w:val="bottom"/>
          </w:tcPr>
          <w:p>
            <w:pPr>
              <w:pStyle w:val="TableContents"/>
              <w:spacing w:before="0" w:after="283"/>
              <w:rPr/>
            </w:pPr>
            <w:r>
              <w:rPr/>
              <w:t> </w:t>
            </w:r>
          </w:p>
        </w:tc>
      </w:tr>
      <w:tr>
        <w:trPr/>
        <w:tc>
          <w:tcPr>
            <w:tcW w:w="5019" w:type="dxa"/>
            <w:tcBorders/>
            <w:shd w:fill="CCEEFF" w:val="clear"/>
            <w:vAlign w:val="bottom"/>
          </w:tcPr>
          <w:p>
            <w:pPr>
              <w:pStyle w:val="TableContents"/>
              <w:spacing w:before="0" w:after="0"/>
              <w:ind w:left="450" w:right="0" w:hanging="225"/>
              <w:rPr/>
            </w:pPr>
            <w:r>
              <w:rPr/>
              <w:t>Auto title loan fees</w:t>
            </w:r>
          </w:p>
        </w:tc>
        <w:tc>
          <w:tcPr>
            <w:tcW w:w="39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pPr>
            <w:r>
              <w:rPr/>
              <w:t>17,707</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3,589</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r>
      <w:tr>
        <w:trPr/>
        <w:tc>
          <w:tcPr>
            <w:tcW w:w="5019" w:type="dxa"/>
            <w:tcBorders/>
            <w:shd w:fill="auto" w:val="clear"/>
            <w:vAlign w:val="bottom"/>
          </w:tcPr>
          <w:p>
            <w:pPr>
              <w:pStyle w:val="TableContents"/>
              <w:spacing w:before="0" w:after="0"/>
              <w:ind w:left="450" w:right="0" w:hanging="225"/>
              <w:rPr/>
            </w:pPr>
            <w:r>
              <w:rPr/>
              <w:t>Other</w:t>
            </w:r>
          </w:p>
        </w:tc>
        <w:tc>
          <w:tcPr>
            <w:tcW w:w="39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pPr>
            <w:r>
              <w:rPr/>
              <w:t>12,797</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6,758</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2,121</w:t>
            </w:r>
          </w:p>
        </w:tc>
        <w:tc>
          <w:tcPr>
            <w:tcW w:w="120" w:type="dxa"/>
            <w:tcBorders/>
            <w:shd w:fill="auto" w:val="clear"/>
            <w:vAlign w:val="bottom"/>
          </w:tcPr>
          <w:p>
            <w:pPr>
              <w:pStyle w:val="TableContents"/>
              <w:spacing w:before="0" w:after="283"/>
              <w:rPr/>
            </w:pPr>
            <w:r>
              <w:rPr/>
              <w:t> </w:t>
            </w:r>
          </w:p>
        </w:tc>
      </w:tr>
      <w:tr>
        <w:trPr/>
        <w:tc>
          <w:tcPr>
            <w:tcW w:w="5019" w:type="dxa"/>
            <w:tcBorders/>
            <w:shd w:fill="auto" w:val="clear"/>
            <w:vAlign w:val="center"/>
          </w:tcPr>
          <w:p>
            <w:pPr>
              <w:pStyle w:val="TableContents"/>
              <w:spacing w:before="0" w:after="0"/>
              <w:ind w:left="225" w:right="0" w:hanging="225"/>
              <w:rPr/>
            </w:pPr>
            <w:r>
              <w:rPr/>
              <w:t> </w:t>
            </w:r>
          </w:p>
        </w:tc>
        <w:tc>
          <w:tcPr>
            <w:tcW w:w="396" w:type="dxa"/>
            <w:tcBorders/>
            <w:shd w:fill="auto" w:val="clear"/>
            <w:vAlign w:val="center"/>
          </w:tcPr>
          <w:p>
            <w:pPr>
              <w:pStyle w:val="TableContents"/>
              <w:spacing w:before="0" w:after="283"/>
              <w:rPr/>
            </w:pPr>
            <w:r>
              <w:rPr/>
              <w:t> </w:t>
            </w:r>
          </w:p>
        </w:tc>
        <w:tc>
          <w:tcPr>
            <w:tcW w:w="11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13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5019" w:type="dxa"/>
            <w:tcBorders/>
            <w:shd w:fill="CCEEFF" w:val="clear"/>
            <w:vAlign w:val="bottom"/>
          </w:tcPr>
          <w:p>
            <w:pPr>
              <w:pStyle w:val="TableContents"/>
              <w:spacing w:before="0" w:after="0"/>
              <w:ind w:left="675" w:right="0" w:hanging="225"/>
              <w:rPr/>
            </w:pPr>
            <w:r>
              <w:rPr/>
              <w:t>Total revenues</w:t>
            </w:r>
          </w:p>
        </w:tc>
        <w:tc>
          <w:tcPr>
            <w:tcW w:w="39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pPr>
            <w:r>
              <w:rPr/>
              <w:t>733,045</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597,456</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457,403</w:t>
            </w:r>
          </w:p>
        </w:tc>
        <w:tc>
          <w:tcPr>
            <w:tcW w:w="120" w:type="dxa"/>
            <w:tcBorders/>
            <w:shd w:fill="CCEEFF" w:val="clear"/>
            <w:vAlign w:val="bottom"/>
          </w:tcPr>
          <w:p>
            <w:pPr>
              <w:pStyle w:val="TableContents"/>
              <w:spacing w:before="0" w:after="283"/>
              <w:rPr/>
            </w:pPr>
            <w:r>
              <w:rPr/>
              <w:t> </w:t>
            </w:r>
          </w:p>
        </w:tc>
      </w:tr>
      <w:tr>
        <w:trPr/>
        <w:tc>
          <w:tcPr>
            <w:tcW w:w="5019" w:type="dxa"/>
            <w:tcBorders/>
            <w:shd w:fill="auto" w:val="clear"/>
            <w:vAlign w:val="bottom"/>
          </w:tcPr>
          <w:p>
            <w:pPr>
              <w:pStyle w:val="TableContents"/>
              <w:spacing w:before="0" w:after="0"/>
              <w:ind w:left="450" w:right="0" w:hanging="225"/>
              <w:rPr/>
            </w:pPr>
            <w:r>
              <w:rPr/>
              <w:t>Cost of goods sold</w:t>
            </w:r>
          </w:p>
        </w:tc>
        <w:tc>
          <w:tcPr>
            <w:tcW w:w="39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pPr>
            <w:r>
              <w:rPr/>
              <w:t>251,122</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203,589</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139,402</w:t>
            </w:r>
          </w:p>
        </w:tc>
        <w:tc>
          <w:tcPr>
            <w:tcW w:w="120" w:type="dxa"/>
            <w:tcBorders/>
            <w:shd w:fill="auto" w:val="clear"/>
            <w:vAlign w:val="bottom"/>
          </w:tcPr>
          <w:p>
            <w:pPr>
              <w:pStyle w:val="TableContents"/>
              <w:spacing w:before="0" w:after="283"/>
              <w:rPr/>
            </w:pPr>
            <w:r>
              <w:rPr/>
              <w:t> </w:t>
            </w:r>
          </w:p>
        </w:tc>
      </w:tr>
      <w:tr>
        <w:trPr/>
        <w:tc>
          <w:tcPr>
            <w:tcW w:w="5019" w:type="dxa"/>
            <w:tcBorders/>
            <w:shd w:fill="CCEEFF" w:val="clear"/>
            <w:vAlign w:val="bottom"/>
          </w:tcPr>
          <w:p>
            <w:pPr>
              <w:pStyle w:val="TableContents"/>
              <w:spacing w:before="0" w:after="0"/>
              <w:ind w:left="450" w:right="0" w:hanging="225"/>
              <w:rPr/>
            </w:pPr>
            <w:r>
              <w:rPr/>
              <w:t>Signature loan bad debt</w:t>
            </w:r>
          </w:p>
        </w:tc>
        <w:tc>
          <w:tcPr>
            <w:tcW w:w="39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pPr>
            <w:r>
              <w:rPr/>
              <w:t>31,709</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33,553</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37,150</w:t>
            </w:r>
          </w:p>
        </w:tc>
        <w:tc>
          <w:tcPr>
            <w:tcW w:w="120" w:type="dxa"/>
            <w:tcBorders/>
            <w:shd w:fill="CCEEFF" w:val="clear"/>
            <w:vAlign w:val="bottom"/>
          </w:tcPr>
          <w:p>
            <w:pPr>
              <w:pStyle w:val="TableContents"/>
              <w:spacing w:before="0" w:after="283"/>
              <w:rPr/>
            </w:pPr>
            <w:r>
              <w:rPr/>
              <w:t> </w:t>
            </w:r>
          </w:p>
        </w:tc>
      </w:tr>
      <w:tr>
        <w:trPr/>
        <w:tc>
          <w:tcPr>
            <w:tcW w:w="5019" w:type="dxa"/>
            <w:tcBorders/>
            <w:shd w:fill="auto" w:val="clear"/>
            <w:vAlign w:val="bottom"/>
          </w:tcPr>
          <w:p>
            <w:pPr>
              <w:pStyle w:val="TableContents"/>
              <w:spacing w:before="0" w:after="0"/>
              <w:ind w:left="450" w:right="0" w:hanging="225"/>
              <w:rPr/>
            </w:pPr>
            <w:r>
              <w:rPr/>
              <w:t>Auto title loan bad debt</w:t>
            </w:r>
          </w:p>
        </w:tc>
        <w:tc>
          <w:tcPr>
            <w:tcW w:w="39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pPr>
            <w:r>
              <w:rPr/>
              <w:t>2,735</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380</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r>
      <w:tr>
        <w:trPr/>
        <w:tc>
          <w:tcPr>
            <w:tcW w:w="5019" w:type="dxa"/>
            <w:tcBorders/>
            <w:shd w:fill="auto" w:val="clear"/>
            <w:vAlign w:val="center"/>
          </w:tcPr>
          <w:p>
            <w:pPr>
              <w:pStyle w:val="TableContents"/>
              <w:spacing w:before="0" w:after="0"/>
              <w:ind w:left="225" w:right="0" w:hanging="225"/>
              <w:rPr/>
            </w:pPr>
            <w:r>
              <w:rPr/>
              <w:t> </w:t>
            </w:r>
          </w:p>
        </w:tc>
        <w:tc>
          <w:tcPr>
            <w:tcW w:w="396" w:type="dxa"/>
            <w:tcBorders/>
            <w:shd w:fill="auto" w:val="clear"/>
            <w:vAlign w:val="center"/>
          </w:tcPr>
          <w:p>
            <w:pPr>
              <w:pStyle w:val="TableContents"/>
              <w:spacing w:before="0" w:after="283"/>
              <w:rPr/>
            </w:pPr>
            <w:r>
              <w:rPr/>
              <w:t> </w:t>
            </w:r>
          </w:p>
        </w:tc>
        <w:tc>
          <w:tcPr>
            <w:tcW w:w="11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13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5019" w:type="dxa"/>
            <w:tcBorders/>
            <w:shd w:fill="CCEEFF" w:val="clear"/>
            <w:vAlign w:val="bottom"/>
          </w:tcPr>
          <w:p>
            <w:pPr>
              <w:pStyle w:val="TableContents"/>
              <w:spacing w:before="0" w:after="0"/>
              <w:ind w:left="675" w:right="0" w:hanging="225"/>
              <w:rPr/>
            </w:pPr>
            <w:r>
              <w:rPr/>
              <w:t>Net revenues</w:t>
            </w:r>
          </w:p>
        </w:tc>
        <w:tc>
          <w:tcPr>
            <w:tcW w:w="39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54" w:type="dxa"/>
            <w:tcBorders/>
            <w:shd w:fill="CCEEFF" w:val="clear"/>
            <w:vAlign w:val="bottom"/>
          </w:tcPr>
          <w:p>
            <w:pPr>
              <w:pStyle w:val="TableContents"/>
              <w:spacing w:before="0" w:after="283"/>
              <w:jc w:val="right"/>
              <w:rPr/>
            </w:pPr>
            <w:r>
              <w:rPr/>
              <w:t>447,479</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69" w:type="dxa"/>
            <w:tcBorders/>
            <w:shd w:fill="CCEEFF" w:val="clear"/>
            <w:vAlign w:val="bottom"/>
          </w:tcPr>
          <w:p>
            <w:pPr>
              <w:pStyle w:val="TableContents"/>
              <w:spacing w:before="0" w:after="283"/>
              <w:jc w:val="right"/>
              <w:rPr/>
            </w:pPr>
            <w:r>
              <w:rPr/>
              <w:t>359,934</w:t>
            </w:r>
          </w:p>
        </w:tc>
        <w:tc>
          <w:tcPr>
            <w:tcW w:w="11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57" w:type="dxa"/>
            <w:tcBorders/>
            <w:shd w:fill="CCEEFF" w:val="clear"/>
            <w:vAlign w:val="bottom"/>
          </w:tcPr>
          <w:p>
            <w:pPr>
              <w:pStyle w:val="TableContents"/>
              <w:spacing w:before="0" w:after="283"/>
              <w:jc w:val="right"/>
              <w:rPr/>
            </w:pPr>
            <w:r>
              <w:rPr/>
              <w:t>280,851</w:t>
            </w:r>
          </w:p>
        </w:tc>
        <w:tc>
          <w:tcPr>
            <w:tcW w:w="120" w:type="dxa"/>
            <w:tcBorders/>
            <w:shd w:fill="CCEEFF" w:val="clear"/>
            <w:vAlign w:val="bottom"/>
          </w:tcPr>
          <w:p>
            <w:pPr>
              <w:pStyle w:val="TableContents"/>
              <w:spacing w:before="0" w:after="283"/>
              <w:rPr/>
            </w:pPr>
            <w:r>
              <w:rPr/>
              <w:t> </w:t>
            </w:r>
          </w:p>
        </w:tc>
      </w:tr>
      <w:tr>
        <w:trPr/>
        <w:tc>
          <w:tcPr>
            <w:tcW w:w="5019" w:type="dxa"/>
            <w:tcBorders/>
            <w:shd w:fill="auto" w:val="clear"/>
            <w:vAlign w:val="center"/>
          </w:tcPr>
          <w:p>
            <w:pPr>
              <w:pStyle w:val="TableContents"/>
              <w:spacing w:before="0" w:after="0"/>
              <w:ind w:left="225" w:right="0" w:hanging="225"/>
              <w:rPr/>
            </w:pPr>
            <w:r>
              <w:rPr/>
              <w:t> </w:t>
            </w:r>
          </w:p>
        </w:tc>
        <w:tc>
          <w:tcPr>
            <w:tcW w:w="396" w:type="dxa"/>
            <w:tcBorders/>
            <w:shd w:fill="auto" w:val="clear"/>
            <w:vAlign w:val="center"/>
          </w:tcPr>
          <w:p>
            <w:pPr>
              <w:pStyle w:val="TableContents"/>
              <w:spacing w:before="0" w:after="283"/>
              <w:rPr/>
            </w:pPr>
            <w:r>
              <w:rPr/>
              <w:t> </w:t>
            </w:r>
          </w:p>
        </w:tc>
        <w:tc>
          <w:tcPr>
            <w:tcW w:w="11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13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11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5019" w:type="dxa"/>
            <w:tcBorders/>
            <w:shd w:fill="auto" w:val="clear"/>
            <w:vAlign w:val="bottom"/>
          </w:tcPr>
          <w:p>
            <w:pPr>
              <w:pStyle w:val="TableContents"/>
              <w:spacing w:before="0" w:after="0"/>
              <w:ind w:left="225" w:right="0" w:hanging="225"/>
              <w:rPr/>
            </w:pPr>
            <w:r>
              <w:rPr/>
              <w:t> </w:t>
            </w:r>
          </w:p>
        </w:tc>
        <w:tc>
          <w:tcPr>
            <w:tcW w:w="39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5019" w:type="dxa"/>
            <w:tcBorders/>
            <w:shd w:fill="auto" w:val="clear"/>
            <w:vAlign w:val="bottom"/>
          </w:tcPr>
          <w:p>
            <w:pPr>
              <w:pStyle w:val="TableContents"/>
              <w:spacing w:before="0" w:after="0"/>
              <w:ind w:left="225" w:right="0" w:hanging="225"/>
              <w:rPr>
                <w:b/>
              </w:rPr>
            </w:pPr>
            <w:r>
              <w:rPr>
                <w:b/>
              </w:rPr>
              <w:t>Net Income</w:t>
            </w:r>
          </w:p>
        </w:tc>
        <w:tc>
          <w:tcPr>
            <w:tcW w:w="39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54" w:type="dxa"/>
            <w:tcBorders/>
            <w:shd w:fill="auto" w:val="clear"/>
            <w:vAlign w:val="bottom"/>
          </w:tcPr>
          <w:p>
            <w:pPr>
              <w:pStyle w:val="TableContents"/>
              <w:spacing w:before="0" w:after="283"/>
              <w:jc w:val="right"/>
              <w:rPr/>
            </w:pPr>
            <w:r>
              <w:rPr/>
              <w:t>97,294</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69" w:type="dxa"/>
            <w:tcBorders/>
            <w:shd w:fill="auto" w:val="clear"/>
            <w:vAlign w:val="bottom"/>
          </w:tcPr>
          <w:p>
            <w:pPr>
              <w:pStyle w:val="TableContents"/>
              <w:spacing w:before="0" w:after="283"/>
              <w:jc w:val="right"/>
              <w:rPr/>
            </w:pPr>
            <w:r>
              <w:rPr/>
              <w:t>68,472</w:t>
            </w:r>
          </w:p>
        </w:tc>
        <w:tc>
          <w:tcPr>
            <w:tcW w:w="11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57" w:type="dxa"/>
            <w:tcBorders/>
            <w:shd w:fill="auto" w:val="clear"/>
            <w:vAlign w:val="bottom"/>
          </w:tcPr>
          <w:p>
            <w:pPr>
              <w:pStyle w:val="TableContents"/>
              <w:spacing w:before="0" w:after="283"/>
              <w:jc w:val="right"/>
              <w:rPr/>
            </w:pPr>
            <w:r>
              <w:rPr/>
              <w:t>52,429</w:t>
            </w:r>
          </w:p>
        </w:tc>
        <w:tc>
          <w:tcPr>
            <w:tcW w:w="120" w:type="dxa"/>
            <w:tcBorders/>
            <w:shd w:fill="auto" w:val="clear"/>
            <w:vAlign w:val="bottom"/>
          </w:tcPr>
          <w:p>
            <w:pPr>
              <w:pStyle w:val="TableContents"/>
              <w:spacing w:before="0" w:after="283"/>
              <w:rPr/>
            </w:pPr>
            <w:r>
              <w:rPr/>
              <w:t> </w:t>
            </w:r>
          </w:p>
        </w:tc>
      </w:tr>
      <w:tr>
        <w:trPr/>
        <w:tc>
          <w:tcPr>
            <w:tcW w:w="5019" w:type="dxa"/>
            <w:tcBorders/>
            <w:shd w:fill="auto" w:val="clear"/>
            <w:vAlign w:val="center"/>
          </w:tcPr>
          <w:p>
            <w:pPr>
              <w:pStyle w:val="TableContents"/>
              <w:spacing w:before="0" w:after="0"/>
              <w:ind w:left="225" w:right="0" w:hanging="225"/>
              <w:rPr/>
            </w:pPr>
            <w:r>
              <w:rPr/>
              <w:t> </w:t>
            </w:r>
          </w:p>
        </w:tc>
        <w:tc>
          <w:tcPr>
            <w:tcW w:w="396" w:type="dxa"/>
            <w:tcBorders/>
            <w:shd w:fill="auto" w:val="clear"/>
            <w:vAlign w:val="center"/>
          </w:tcPr>
          <w:p>
            <w:pPr>
              <w:pStyle w:val="TableContents"/>
              <w:spacing w:before="0" w:after="283"/>
              <w:rPr/>
            </w:pPr>
            <w:r>
              <w:rPr/>
              <w:t> </w:t>
            </w:r>
          </w:p>
        </w:tc>
        <w:tc>
          <w:tcPr>
            <w:tcW w:w="11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13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rPr/>
            </w:pPr>
            <w:r>
              <w:rPr/>
              <w:t> </w:t>
            </w:r>
          </w:p>
        </w:tc>
        <w:tc>
          <w:tcPr>
            <w:tcW w:w="11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signature loan data (combined payday loan, installment loan and related credit service activities) are as follows: </w:t>
      </w:r>
    </w:p>
    <w:tbl>
      <w:tblPr>
        <w:tblW w:w="5000" w:type="pct"/>
        <w:jc w:val="center"/>
        <w:tblInd w:w="0" w:type="dxa"/>
        <w:tblCellMar>
          <w:top w:w="0" w:type="dxa"/>
          <w:left w:w="0" w:type="dxa"/>
          <w:bottom w:w="0" w:type="dxa"/>
          <w:right w:w="0" w:type="dxa"/>
        </w:tblCellMar>
      </w:tblPr>
      <w:tblGrid>
        <w:gridCol w:w="5185"/>
        <w:gridCol w:w="393"/>
        <w:gridCol w:w="165"/>
        <w:gridCol w:w="896"/>
        <w:gridCol w:w="216"/>
        <w:gridCol w:w="393"/>
        <w:gridCol w:w="165"/>
        <w:gridCol w:w="896"/>
        <w:gridCol w:w="216"/>
        <w:gridCol w:w="392"/>
        <w:gridCol w:w="165"/>
        <w:gridCol w:w="896"/>
        <w:gridCol w:w="227"/>
      </w:tblGrid>
      <w:tr>
        <w:trPr/>
        <w:tc>
          <w:tcPr>
            <w:tcW w:w="518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r>
      <w:tr>
        <w:trPr/>
        <w:tc>
          <w:tcPr>
            <w:tcW w:w="518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4400"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27" w:type="dxa"/>
            <w:tcBorders/>
            <w:shd w:fill="auto" w:val="clear"/>
            <w:vAlign w:val="bottom"/>
          </w:tcPr>
          <w:p>
            <w:pPr>
              <w:pStyle w:val="TableContents"/>
              <w:spacing w:before="0" w:after="283"/>
              <w:rPr/>
            </w:pPr>
            <w:r>
              <w:rPr/>
              <w:t> </w:t>
            </w:r>
          </w:p>
        </w:tc>
      </w:tr>
      <w:tr>
        <w:trPr/>
        <w:tc>
          <w:tcPr>
            <w:tcW w:w="518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1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1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27" w:type="dxa"/>
            <w:tcBorders/>
            <w:shd w:fill="auto" w:val="clear"/>
            <w:vAlign w:val="bottom"/>
          </w:tcPr>
          <w:p>
            <w:pPr>
              <w:pStyle w:val="TableContents"/>
              <w:spacing w:before="0" w:after="283"/>
              <w:rPr/>
            </w:pPr>
            <w:r>
              <w:rPr/>
              <w:t> </w:t>
            </w:r>
          </w:p>
        </w:tc>
      </w:tr>
      <w:tr>
        <w:trPr/>
        <w:tc>
          <w:tcPr>
            <w:tcW w:w="518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4400" w:type="dxa"/>
            <w:gridSpan w:val="10"/>
            <w:tcBorders/>
            <w:shd w:fill="auto" w:val="clear"/>
            <w:vAlign w:val="bottom"/>
          </w:tcPr>
          <w:p>
            <w:pPr>
              <w:pStyle w:val="TableContents"/>
              <w:spacing w:before="0" w:after="283"/>
              <w:jc w:val="center"/>
              <w:rPr>
                <w:i/>
              </w:rPr>
            </w:pPr>
            <w:r>
              <w:rPr>
                <w:i/>
              </w:rPr>
              <w:t>(Dollars in thousands)</w:t>
            </w:r>
          </w:p>
        </w:tc>
        <w:tc>
          <w:tcPr>
            <w:tcW w:w="227" w:type="dxa"/>
            <w:tcBorders/>
            <w:shd w:fill="auto" w:val="clear"/>
            <w:vAlign w:val="bottom"/>
          </w:tcPr>
          <w:p>
            <w:pPr>
              <w:pStyle w:val="TableContents"/>
              <w:spacing w:before="0" w:after="283"/>
              <w:rPr/>
            </w:pPr>
            <w:r>
              <w:rPr/>
              <w:t> </w:t>
            </w:r>
          </w:p>
        </w:tc>
      </w:tr>
      <w:tr>
        <w:trPr/>
        <w:tc>
          <w:tcPr>
            <w:tcW w:w="5185" w:type="dxa"/>
            <w:tcBorders/>
            <w:shd w:fill="CCEEFF" w:val="clear"/>
            <w:vAlign w:val="bottom"/>
          </w:tcPr>
          <w:p>
            <w:pPr>
              <w:pStyle w:val="TableContents"/>
              <w:spacing w:before="0" w:after="0"/>
              <w:ind w:left="225" w:right="0" w:hanging="225"/>
              <w:rPr/>
            </w:pPr>
            <w:r>
              <w:rPr/>
              <w:t>Fee revenue</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139,315</w:t>
            </w:r>
          </w:p>
        </w:tc>
        <w:tc>
          <w:tcPr>
            <w:tcW w:w="216"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133,344</w:t>
            </w:r>
          </w:p>
        </w:tc>
        <w:tc>
          <w:tcPr>
            <w:tcW w:w="21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128,478</w:t>
            </w:r>
          </w:p>
        </w:tc>
        <w:tc>
          <w:tcPr>
            <w:tcW w:w="227" w:type="dxa"/>
            <w:tcBorders/>
            <w:shd w:fill="CCEEFF" w:val="clear"/>
            <w:vAlign w:val="bottom"/>
          </w:tcPr>
          <w:p>
            <w:pPr>
              <w:pStyle w:val="TableContents"/>
              <w:spacing w:before="0" w:after="283"/>
              <w:rPr/>
            </w:pPr>
            <w:r>
              <w:rPr/>
              <w:t> </w:t>
            </w:r>
          </w:p>
        </w:tc>
      </w:tr>
      <w:tr>
        <w:trPr/>
        <w:tc>
          <w:tcPr>
            <w:tcW w:w="5185" w:type="dxa"/>
            <w:tcBorders/>
            <w:shd w:fill="auto" w:val="clear"/>
            <w:vAlign w:val="bottom"/>
          </w:tcPr>
          <w:p>
            <w:pPr>
              <w:pStyle w:val="TableContents"/>
              <w:spacing w:before="0" w:after="0"/>
              <w:ind w:left="225" w:right="0" w:hanging="225"/>
              <w:rPr/>
            </w:pPr>
            <w:r>
              <w:rPr/>
              <w:t>Bad debt:</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r>
      <w:tr>
        <w:trPr/>
        <w:tc>
          <w:tcPr>
            <w:tcW w:w="5185" w:type="dxa"/>
            <w:tcBorders/>
            <w:shd w:fill="CCEEFF" w:val="clear"/>
            <w:vAlign w:val="bottom"/>
          </w:tcPr>
          <w:p>
            <w:pPr>
              <w:pStyle w:val="TableContents"/>
              <w:spacing w:before="0" w:after="0"/>
              <w:ind w:left="450" w:right="0" w:hanging="225"/>
              <w:rPr/>
            </w:pPr>
            <w:r>
              <w:rPr/>
              <w:t>Net defaults, including interest on brokered loans</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30,699</w:t>
            </w:r>
          </w:p>
        </w:tc>
        <w:tc>
          <w:tcPr>
            <w:tcW w:w="216"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32,885</w:t>
            </w:r>
          </w:p>
        </w:tc>
        <w:tc>
          <w:tcPr>
            <w:tcW w:w="21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34,266</w:t>
            </w:r>
          </w:p>
        </w:tc>
        <w:tc>
          <w:tcPr>
            <w:tcW w:w="227" w:type="dxa"/>
            <w:tcBorders/>
            <w:shd w:fill="CCEEFF" w:val="clear"/>
            <w:vAlign w:val="bottom"/>
          </w:tcPr>
          <w:p>
            <w:pPr>
              <w:pStyle w:val="TableContents"/>
              <w:spacing w:before="0" w:after="283"/>
              <w:rPr/>
            </w:pPr>
            <w:r>
              <w:rPr/>
              <w:t> </w:t>
            </w:r>
          </w:p>
        </w:tc>
      </w:tr>
      <w:tr>
        <w:trPr/>
        <w:tc>
          <w:tcPr>
            <w:tcW w:w="5185" w:type="dxa"/>
            <w:tcBorders/>
            <w:shd w:fill="auto" w:val="clear"/>
            <w:vAlign w:val="bottom"/>
          </w:tcPr>
          <w:p>
            <w:pPr>
              <w:pStyle w:val="TableContents"/>
              <w:spacing w:before="0" w:after="0"/>
              <w:ind w:left="450" w:right="0" w:hanging="225"/>
              <w:rPr/>
            </w:pPr>
            <w:r>
              <w:rPr/>
              <w:t>Insufficient funds fees, net of collections</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906</w:t>
            </w:r>
          </w:p>
        </w:tc>
        <w:tc>
          <w:tcPr>
            <w:tcW w:w="21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1,043</w:t>
            </w:r>
          </w:p>
        </w:tc>
        <w:tc>
          <w:tcPr>
            <w:tcW w:w="21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1,239</w:t>
            </w:r>
          </w:p>
        </w:tc>
        <w:tc>
          <w:tcPr>
            <w:tcW w:w="227" w:type="dxa"/>
            <w:tcBorders/>
            <w:shd w:fill="auto" w:val="clear"/>
            <w:vAlign w:val="bottom"/>
          </w:tcPr>
          <w:p>
            <w:pPr>
              <w:pStyle w:val="TableContents"/>
              <w:spacing w:before="0" w:after="283"/>
              <w:rPr/>
            </w:pPr>
            <w:r>
              <w:rPr/>
              <w:t> </w:t>
            </w:r>
          </w:p>
        </w:tc>
      </w:tr>
      <w:tr>
        <w:trPr/>
        <w:tc>
          <w:tcPr>
            <w:tcW w:w="5185" w:type="dxa"/>
            <w:tcBorders/>
            <w:shd w:fill="CCEEFF" w:val="clear"/>
            <w:vAlign w:val="bottom"/>
          </w:tcPr>
          <w:p>
            <w:pPr>
              <w:pStyle w:val="TableContents"/>
              <w:spacing w:before="0" w:after="0"/>
              <w:ind w:left="450" w:right="0" w:hanging="225"/>
              <w:rPr/>
            </w:pPr>
            <w:r>
              <w:rPr/>
              <w:t>Change in valuation allowance</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96" w:type="dxa"/>
            <w:tcBorders/>
            <w:shd w:fill="CCEEFF" w:val="clear"/>
            <w:vAlign w:val="bottom"/>
          </w:tcPr>
          <w:p>
            <w:pPr>
              <w:pStyle w:val="TableContents"/>
              <w:spacing w:before="0" w:after="283"/>
              <w:jc w:val="right"/>
              <w:rPr/>
            </w:pPr>
            <w:r>
              <w:rPr/>
              <w:t>(172</w:t>
            </w:r>
          </w:p>
        </w:tc>
        <w:tc>
          <w:tcPr>
            <w:tcW w:w="216" w:type="dxa"/>
            <w:tcBorders/>
            <w:shd w:fill="CCEEFF" w:val="clear"/>
            <w:vAlign w:val="bottom"/>
          </w:tcPr>
          <w:p>
            <w:pPr>
              <w:pStyle w:val="TableContents"/>
              <w:spacing w:before="0" w:after="283"/>
              <w:rPr/>
            </w:pPr>
            <w:r>
              <w:rPr/>
              <w:t>)</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96" w:type="dxa"/>
            <w:tcBorders/>
            <w:shd w:fill="CCEEFF" w:val="clear"/>
            <w:vAlign w:val="bottom"/>
          </w:tcPr>
          <w:p>
            <w:pPr>
              <w:pStyle w:val="TableContents"/>
              <w:spacing w:before="0" w:after="283"/>
              <w:jc w:val="right"/>
              <w:rPr/>
            </w:pPr>
            <w:r>
              <w:rPr/>
              <w:t>(597</w:t>
            </w:r>
          </w:p>
        </w:tc>
        <w:tc>
          <w:tcPr>
            <w:tcW w:w="216" w:type="dxa"/>
            <w:tcBorders/>
            <w:shd w:fill="CCEEFF" w:val="clear"/>
            <w:vAlign w:val="bottom"/>
          </w:tcPr>
          <w:p>
            <w:pPr>
              <w:pStyle w:val="TableContents"/>
              <w:spacing w:before="0" w:after="283"/>
              <w:rPr/>
            </w:pPr>
            <w:r>
              <w:rPr/>
              <w:t>)</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1,362</w:t>
            </w:r>
          </w:p>
        </w:tc>
        <w:tc>
          <w:tcPr>
            <w:tcW w:w="227" w:type="dxa"/>
            <w:tcBorders/>
            <w:shd w:fill="CCEEFF" w:val="clear"/>
            <w:vAlign w:val="bottom"/>
          </w:tcPr>
          <w:p>
            <w:pPr>
              <w:pStyle w:val="TableContents"/>
              <w:spacing w:before="0" w:after="283"/>
              <w:rPr/>
            </w:pPr>
            <w:r>
              <w:rPr/>
              <w:t> </w:t>
            </w:r>
          </w:p>
        </w:tc>
      </w:tr>
      <w:tr>
        <w:trPr/>
        <w:tc>
          <w:tcPr>
            <w:tcW w:w="5185" w:type="dxa"/>
            <w:tcBorders/>
            <w:shd w:fill="auto" w:val="clear"/>
            <w:vAlign w:val="bottom"/>
          </w:tcPr>
          <w:p>
            <w:pPr>
              <w:pStyle w:val="TableContents"/>
              <w:spacing w:before="0" w:after="0"/>
              <w:ind w:left="450" w:right="0" w:hanging="225"/>
              <w:rPr/>
            </w:pPr>
            <w:r>
              <w:rPr/>
              <w:t>Other related costs</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276</w:t>
            </w:r>
          </w:p>
        </w:tc>
        <w:tc>
          <w:tcPr>
            <w:tcW w:w="21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222</w:t>
            </w:r>
          </w:p>
        </w:tc>
        <w:tc>
          <w:tcPr>
            <w:tcW w:w="21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283</w:t>
            </w:r>
          </w:p>
        </w:tc>
        <w:tc>
          <w:tcPr>
            <w:tcW w:w="227" w:type="dxa"/>
            <w:tcBorders/>
            <w:shd w:fill="auto" w:val="clear"/>
            <w:vAlign w:val="bottom"/>
          </w:tcPr>
          <w:p>
            <w:pPr>
              <w:pStyle w:val="TableContents"/>
              <w:spacing w:before="0" w:after="283"/>
              <w:rPr/>
            </w:pPr>
            <w:r>
              <w:rPr/>
              <w:t> </w:t>
            </w:r>
          </w:p>
        </w:tc>
      </w:tr>
      <w:tr>
        <w:trPr/>
        <w:tc>
          <w:tcPr>
            <w:tcW w:w="5185" w:type="dxa"/>
            <w:tcBorders/>
            <w:shd w:fill="auto" w:val="clear"/>
            <w:vAlign w:val="center"/>
          </w:tcPr>
          <w:p>
            <w:pPr>
              <w:pStyle w:val="TableContents"/>
              <w:spacing w:before="0" w:after="0"/>
              <w:ind w:left="225" w:right="0" w:hanging="225"/>
              <w:rPr/>
            </w:pPr>
            <w:r>
              <w:rPr/>
              <w:t> </w:t>
            </w:r>
          </w:p>
        </w:tc>
        <w:tc>
          <w:tcPr>
            <w:tcW w:w="393"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185" w:type="dxa"/>
            <w:tcBorders/>
            <w:shd w:fill="CCEEFF" w:val="clear"/>
            <w:vAlign w:val="bottom"/>
          </w:tcPr>
          <w:p>
            <w:pPr>
              <w:pStyle w:val="TableContents"/>
              <w:spacing w:before="0" w:after="0"/>
              <w:ind w:left="675" w:right="0" w:hanging="225"/>
              <w:rPr/>
            </w:pPr>
            <w:r>
              <w:rPr/>
              <w:t>Net bad debt</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31,709</w:t>
            </w:r>
          </w:p>
        </w:tc>
        <w:tc>
          <w:tcPr>
            <w:tcW w:w="216"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33,553</w:t>
            </w:r>
          </w:p>
        </w:tc>
        <w:tc>
          <w:tcPr>
            <w:tcW w:w="21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37,150</w:t>
            </w:r>
          </w:p>
        </w:tc>
        <w:tc>
          <w:tcPr>
            <w:tcW w:w="227" w:type="dxa"/>
            <w:tcBorders/>
            <w:shd w:fill="CCEEFF" w:val="clear"/>
            <w:vAlign w:val="bottom"/>
          </w:tcPr>
          <w:p>
            <w:pPr>
              <w:pStyle w:val="TableContents"/>
              <w:spacing w:before="0" w:after="283"/>
              <w:rPr/>
            </w:pPr>
            <w:r>
              <w:rPr/>
              <w:t> </w:t>
            </w:r>
          </w:p>
        </w:tc>
      </w:tr>
      <w:tr>
        <w:trPr/>
        <w:tc>
          <w:tcPr>
            <w:tcW w:w="5185" w:type="dxa"/>
            <w:tcBorders/>
            <w:shd w:fill="auto" w:val="clear"/>
            <w:vAlign w:val="center"/>
          </w:tcPr>
          <w:p>
            <w:pPr>
              <w:pStyle w:val="TableContents"/>
              <w:spacing w:before="0" w:after="0"/>
              <w:ind w:left="225" w:right="0" w:hanging="225"/>
              <w:rPr/>
            </w:pPr>
            <w:r>
              <w:rPr/>
              <w:t> </w:t>
            </w:r>
          </w:p>
        </w:tc>
        <w:tc>
          <w:tcPr>
            <w:tcW w:w="393"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185" w:type="dxa"/>
            <w:tcBorders/>
            <w:shd w:fill="auto" w:val="clear"/>
            <w:vAlign w:val="bottom"/>
          </w:tcPr>
          <w:p>
            <w:pPr>
              <w:pStyle w:val="TableContents"/>
              <w:spacing w:before="0" w:after="0"/>
              <w:ind w:left="225" w:right="0" w:hanging="225"/>
              <w:rPr/>
            </w:pPr>
            <w:r>
              <w:rPr/>
              <w:t>Fee revenue less bad debt</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107,606</w:t>
            </w:r>
          </w:p>
        </w:tc>
        <w:tc>
          <w:tcPr>
            <w:tcW w:w="21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99,791</w:t>
            </w:r>
          </w:p>
        </w:tc>
        <w:tc>
          <w:tcPr>
            <w:tcW w:w="21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91,328</w:t>
            </w:r>
          </w:p>
        </w:tc>
        <w:tc>
          <w:tcPr>
            <w:tcW w:w="227" w:type="dxa"/>
            <w:tcBorders/>
            <w:shd w:fill="auto" w:val="clear"/>
            <w:vAlign w:val="bottom"/>
          </w:tcPr>
          <w:p>
            <w:pPr>
              <w:pStyle w:val="TableContents"/>
              <w:spacing w:before="0" w:after="283"/>
              <w:rPr/>
            </w:pPr>
            <w:r>
              <w:rPr/>
              <w:t> </w:t>
            </w:r>
          </w:p>
        </w:tc>
      </w:tr>
      <w:tr>
        <w:trPr/>
        <w:tc>
          <w:tcPr>
            <w:tcW w:w="5185" w:type="dxa"/>
            <w:tcBorders/>
            <w:shd w:fill="auto" w:val="clear"/>
            <w:vAlign w:val="center"/>
          </w:tcPr>
          <w:p>
            <w:pPr>
              <w:pStyle w:val="TableContents"/>
              <w:spacing w:before="0" w:after="0"/>
              <w:ind w:left="225" w:right="0" w:hanging="225"/>
              <w:rPr/>
            </w:pPr>
            <w:r>
              <w:rPr/>
              <w:t> </w:t>
            </w:r>
          </w:p>
        </w:tc>
        <w:tc>
          <w:tcPr>
            <w:tcW w:w="393"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185" w:type="dxa"/>
            <w:tcBorders/>
            <w:shd w:fill="auto" w:val="clear"/>
            <w:vAlign w:val="bottom"/>
          </w:tcPr>
          <w:p>
            <w:pPr>
              <w:pStyle w:val="TableContents"/>
              <w:spacing w:before="0" w:after="0"/>
              <w:ind w:left="225" w:right="0" w:hanging="225"/>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r>
      <w:tr>
        <w:trPr/>
        <w:tc>
          <w:tcPr>
            <w:tcW w:w="5185" w:type="dxa"/>
            <w:tcBorders/>
            <w:shd w:fill="CCEEFF" w:val="clear"/>
            <w:vAlign w:val="bottom"/>
          </w:tcPr>
          <w:p>
            <w:pPr>
              <w:pStyle w:val="TableContents"/>
              <w:spacing w:before="0" w:after="0"/>
              <w:ind w:left="225" w:right="0" w:hanging="225"/>
              <w:rPr/>
            </w:pPr>
            <w:r>
              <w:rPr/>
              <w:t>Average signature loan balance outstanding during period (a)</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30,336</w:t>
            </w:r>
          </w:p>
        </w:tc>
        <w:tc>
          <w:tcPr>
            <w:tcW w:w="216"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28,926</w:t>
            </w:r>
          </w:p>
        </w:tc>
        <w:tc>
          <w:tcPr>
            <w:tcW w:w="21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28,790</w:t>
            </w:r>
          </w:p>
        </w:tc>
        <w:tc>
          <w:tcPr>
            <w:tcW w:w="227" w:type="dxa"/>
            <w:tcBorders/>
            <w:shd w:fill="CCEEFF" w:val="clear"/>
            <w:vAlign w:val="bottom"/>
          </w:tcPr>
          <w:p>
            <w:pPr>
              <w:pStyle w:val="TableContents"/>
              <w:spacing w:before="0" w:after="283"/>
              <w:rPr/>
            </w:pPr>
            <w:r>
              <w:rPr/>
              <w:t> </w:t>
            </w:r>
          </w:p>
        </w:tc>
      </w:tr>
      <w:tr>
        <w:trPr/>
        <w:tc>
          <w:tcPr>
            <w:tcW w:w="5185" w:type="dxa"/>
            <w:tcBorders/>
            <w:shd w:fill="auto" w:val="clear"/>
            <w:vAlign w:val="bottom"/>
          </w:tcPr>
          <w:p>
            <w:pPr>
              <w:pStyle w:val="TableContents"/>
              <w:spacing w:before="0" w:after="0"/>
              <w:ind w:left="225" w:right="0" w:hanging="225"/>
              <w:rPr/>
            </w:pPr>
            <w:r>
              <w:rPr/>
              <w:t>Signature loan balance at end of period (a)</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33,715</w:t>
            </w:r>
          </w:p>
        </w:tc>
        <w:tc>
          <w:tcPr>
            <w:tcW w:w="21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31,341</w:t>
            </w:r>
          </w:p>
        </w:tc>
        <w:tc>
          <w:tcPr>
            <w:tcW w:w="21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30,677</w:t>
            </w:r>
          </w:p>
        </w:tc>
        <w:tc>
          <w:tcPr>
            <w:tcW w:w="227" w:type="dxa"/>
            <w:tcBorders/>
            <w:shd w:fill="auto" w:val="clear"/>
            <w:vAlign w:val="bottom"/>
          </w:tcPr>
          <w:p>
            <w:pPr>
              <w:pStyle w:val="TableContents"/>
              <w:spacing w:before="0" w:after="283"/>
              <w:rPr/>
            </w:pPr>
            <w:r>
              <w:rPr/>
              <w:t> </w:t>
            </w:r>
          </w:p>
        </w:tc>
      </w:tr>
      <w:tr>
        <w:trPr/>
        <w:tc>
          <w:tcPr>
            <w:tcW w:w="5185" w:type="dxa"/>
            <w:tcBorders/>
            <w:shd w:fill="CCEEFF" w:val="clear"/>
            <w:vAlign w:val="bottom"/>
          </w:tcPr>
          <w:p>
            <w:pPr>
              <w:pStyle w:val="TableContents"/>
              <w:spacing w:before="0" w:after="0"/>
              <w:ind w:left="225" w:right="0" w:hanging="225"/>
              <w:rPr/>
            </w:pPr>
            <w:r>
              <w:rPr/>
              <w:t>Participating stores at end of period</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554</w:t>
            </w:r>
          </w:p>
        </w:tc>
        <w:tc>
          <w:tcPr>
            <w:tcW w:w="216"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555</w:t>
            </w:r>
          </w:p>
        </w:tc>
        <w:tc>
          <w:tcPr>
            <w:tcW w:w="216"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548</w:t>
            </w:r>
          </w:p>
        </w:tc>
        <w:tc>
          <w:tcPr>
            <w:tcW w:w="227" w:type="dxa"/>
            <w:tcBorders/>
            <w:shd w:fill="CCEEFF" w:val="clear"/>
            <w:vAlign w:val="bottom"/>
          </w:tcPr>
          <w:p>
            <w:pPr>
              <w:pStyle w:val="TableContents"/>
              <w:spacing w:before="0" w:after="283"/>
              <w:rPr/>
            </w:pPr>
            <w:r>
              <w:rPr/>
              <w:t> </w:t>
            </w:r>
          </w:p>
        </w:tc>
      </w:tr>
      <w:tr>
        <w:trPr/>
        <w:tc>
          <w:tcPr>
            <w:tcW w:w="5185" w:type="dxa"/>
            <w:tcBorders/>
            <w:shd w:fill="auto" w:val="clear"/>
            <w:vAlign w:val="bottom"/>
          </w:tcPr>
          <w:p>
            <w:pPr>
              <w:pStyle w:val="TableContents"/>
              <w:spacing w:before="0" w:after="0"/>
              <w:ind w:left="225" w:right="0" w:hanging="225"/>
              <w:rPr/>
            </w:pPr>
            <w:r>
              <w:rPr/>
              <w:t>Signature loan bad debt, as a percent of fee revenue</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96" w:type="dxa"/>
            <w:tcBorders/>
            <w:shd w:fill="auto" w:val="clear"/>
            <w:vAlign w:val="bottom"/>
          </w:tcPr>
          <w:p>
            <w:pPr>
              <w:pStyle w:val="TableContents"/>
              <w:spacing w:before="0" w:after="283"/>
              <w:jc w:val="right"/>
              <w:rPr/>
            </w:pPr>
            <w:r>
              <w:rPr/>
              <w:t>22.8</w:t>
            </w:r>
          </w:p>
        </w:tc>
        <w:tc>
          <w:tcPr>
            <w:tcW w:w="216"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96" w:type="dxa"/>
            <w:tcBorders/>
            <w:shd w:fill="auto" w:val="clear"/>
            <w:vAlign w:val="bottom"/>
          </w:tcPr>
          <w:p>
            <w:pPr>
              <w:pStyle w:val="TableContents"/>
              <w:spacing w:before="0" w:after="283"/>
              <w:jc w:val="right"/>
              <w:rPr/>
            </w:pPr>
            <w:r>
              <w:rPr/>
              <w:t>25.2</w:t>
            </w:r>
          </w:p>
        </w:tc>
        <w:tc>
          <w:tcPr>
            <w:tcW w:w="216" w:type="dxa"/>
            <w:tcBorders/>
            <w:shd w:fill="auto" w:val="clear"/>
            <w:vAlign w:val="bottom"/>
          </w:tcPr>
          <w:p>
            <w:pPr>
              <w:pStyle w:val="TableContents"/>
              <w:spacing w:before="0" w:after="283"/>
              <w:rPr/>
            </w:pPr>
            <w:r>
              <w:rPr/>
              <w:t>%</w:t>
            </w:r>
          </w:p>
        </w:tc>
        <w:tc>
          <w:tcPr>
            <w:tcW w:w="39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96" w:type="dxa"/>
            <w:tcBorders/>
            <w:shd w:fill="auto" w:val="clear"/>
            <w:vAlign w:val="bottom"/>
          </w:tcPr>
          <w:p>
            <w:pPr>
              <w:pStyle w:val="TableContents"/>
              <w:spacing w:before="0" w:after="283"/>
              <w:jc w:val="right"/>
              <w:rPr/>
            </w:pPr>
            <w:r>
              <w:rPr/>
              <w:t>28.9</w:t>
            </w:r>
          </w:p>
        </w:tc>
        <w:tc>
          <w:tcPr>
            <w:tcW w:w="227" w:type="dxa"/>
            <w:tcBorders/>
            <w:shd w:fill="auto" w:val="clear"/>
            <w:vAlign w:val="bottom"/>
          </w:tcPr>
          <w:p>
            <w:pPr>
              <w:pStyle w:val="TableContents"/>
              <w:spacing w:before="0" w:after="283"/>
              <w:rPr/>
            </w:pPr>
            <w:r>
              <w:rPr/>
              <w:t>%</w:t>
            </w:r>
          </w:p>
        </w:tc>
      </w:tr>
      <w:tr>
        <w:trPr/>
        <w:tc>
          <w:tcPr>
            <w:tcW w:w="5185" w:type="dxa"/>
            <w:tcBorders/>
            <w:shd w:fill="CCEEFF" w:val="clear"/>
            <w:vAlign w:val="bottom"/>
          </w:tcPr>
          <w:p>
            <w:pPr>
              <w:pStyle w:val="TableContents"/>
              <w:spacing w:before="0" w:after="0"/>
              <w:ind w:left="225" w:right="0" w:hanging="225"/>
              <w:rPr/>
            </w:pPr>
            <w:r>
              <w:rPr/>
              <w:t>Net default rate (a) (b)</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96" w:type="dxa"/>
            <w:tcBorders/>
            <w:shd w:fill="CCEEFF" w:val="clear"/>
            <w:vAlign w:val="bottom"/>
          </w:tcPr>
          <w:p>
            <w:pPr>
              <w:pStyle w:val="TableContents"/>
              <w:spacing w:before="0" w:after="283"/>
              <w:jc w:val="right"/>
              <w:rPr/>
            </w:pPr>
            <w:r>
              <w:rPr/>
              <w:t>4.6</w:t>
            </w:r>
          </w:p>
        </w:tc>
        <w:tc>
          <w:tcPr>
            <w:tcW w:w="216" w:type="dxa"/>
            <w:tcBorders/>
            <w:shd w:fill="CCEEFF" w:val="clear"/>
            <w:vAlign w:val="bottom"/>
          </w:tcPr>
          <w:p>
            <w:pPr>
              <w:pStyle w:val="TableContents"/>
              <w:spacing w:before="0" w:after="283"/>
              <w:rPr/>
            </w:pPr>
            <w:r>
              <w:rPr/>
              <w:t>%</w:t>
            </w:r>
          </w:p>
        </w:tc>
        <w:tc>
          <w:tcPr>
            <w:tcW w:w="39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96" w:type="dxa"/>
            <w:tcBorders/>
            <w:shd w:fill="CCEEFF" w:val="clear"/>
            <w:vAlign w:val="bottom"/>
          </w:tcPr>
          <w:p>
            <w:pPr>
              <w:pStyle w:val="TableContents"/>
              <w:spacing w:before="0" w:after="283"/>
              <w:jc w:val="right"/>
              <w:rPr/>
            </w:pPr>
            <w:r>
              <w:rPr/>
              <w:t>5.0</w:t>
            </w:r>
          </w:p>
        </w:tc>
        <w:tc>
          <w:tcPr>
            <w:tcW w:w="216" w:type="dxa"/>
            <w:tcBorders/>
            <w:shd w:fill="CCEEFF" w:val="clear"/>
            <w:vAlign w:val="bottom"/>
          </w:tcPr>
          <w:p>
            <w:pPr>
              <w:pStyle w:val="TableContents"/>
              <w:spacing w:before="0" w:after="283"/>
              <w:rPr/>
            </w:pPr>
            <w:r>
              <w:rPr/>
              <w:t>%</w:t>
            </w:r>
          </w:p>
        </w:tc>
        <w:tc>
          <w:tcPr>
            <w:tcW w:w="39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96" w:type="dxa"/>
            <w:tcBorders/>
            <w:shd w:fill="CCEEFF" w:val="clear"/>
            <w:vAlign w:val="bottom"/>
          </w:tcPr>
          <w:p>
            <w:pPr>
              <w:pStyle w:val="TableContents"/>
              <w:spacing w:before="0" w:after="283"/>
              <w:jc w:val="right"/>
              <w:rPr/>
            </w:pPr>
            <w:r>
              <w:rPr/>
              <w:t>5.2</w:t>
            </w:r>
          </w:p>
        </w:tc>
        <w:tc>
          <w:tcPr>
            <w:tcW w:w="227"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loans and installment loans (net of valuation allowance) recorded on our balance sheet and the principal portion of similar active brokered loans outstanding from unaffiliated lenders, the balance of which is not included on our balance sheet.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Principal defaults net of collections, as a percentage of signature loans made and renewed.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Overview</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a leading provider of specialty consumer financial services. We provide collateralized, non-recourse loans, commonly known as pawn loans, and a variety of short-term consumer loans including payday loans, installment loans and auto title loans, or fee-based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2010, we operated a total of 1,006 locations, consisting of 390 U.S. pawn stores (operating as EZPAWN or Value Pawn), 115 pawn stores in Mexico (operating as Empeño Fácil or Empeñe su Oro), 450 U.S. short-term consumer loan stores (operating primarily as EZMONEY) and 51 short-term consumer loan stores in Canada (operating as CASHMAX). We also own almost 30% of Albemarle &amp; Bond Holdings PLC, one of the U.K.s largest pawnbroking businesses with over 130 stores, and almost 33% of Cash Converters International Limited, which franchises and operates a worldwide network of over 500 locations that provide financial services and buy and sell pre-owned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as three segments. The U.S. Pawn Operations segment operates only in the United States. The Empeño Fácil segment operates only in Mexico. The EZMONEY Operations segment operates 444 stores in the United States and 51 stores in Canada. The following tables present store data and products offered in each segment: </w:t>
      </w:r>
    </w:p>
    <w:tbl>
      <w:tblPr>
        <w:tblW w:w="5000" w:type="pct"/>
        <w:jc w:val="center"/>
        <w:tblInd w:w="0" w:type="dxa"/>
        <w:tblCellMar>
          <w:top w:w="0" w:type="dxa"/>
          <w:left w:w="0" w:type="dxa"/>
          <w:bottom w:w="0" w:type="dxa"/>
          <w:right w:w="0" w:type="dxa"/>
        </w:tblCellMar>
      </w:tblPr>
      <w:tblGrid>
        <w:gridCol w:w="3663"/>
        <w:gridCol w:w="324"/>
        <w:gridCol w:w="164"/>
        <w:gridCol w:w="973"/>
        <w:gridCol w:w="150"/>
        <w:gridCol w:w="338"/>
        <w:gridCol w:w="140"/>
        <w:gridCol w:w="814"/>
        <w:gridCol w:w="115"/>
        <w:gridCol w:w="338"/>
        <w:gridCol w:w="182"/>
        <w:gridCol w:w="1081"/>
        <w:gridCol w:w="150"/>
        <w:gridCol w:w="338"/>
        <w:gridCol w:w="147"/>
        <w:gridCol w:w="1149"/>
        <w:gridCol w:w="139"/>
      </w:tblGrid>
      <w:tr>
        <w:trPr/>
        <w:tc>
          <w:tcPr>
            <w:tcW w:w="366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6079" w:type="dxa"/>
            <w:gridSpan w:val="14"/>
            <w:tcBorders>
              <w:bottom w:val="single" w:sz="2" w:space="0" w:color="000000"/>
            </w:tcBorders>
            <w:shd w:fill="auto" w:val="clear"/>
            <w:tcMar>
              <w:bottom w:w="28" w:type="dxa"/>
            </w:tcMar>
            <w:vAlign w:val="bottom"/>
          </w:tcPr>
          <w:p>
            <w:pPr>
              <w:pStyle w:val="TableContents"/>
              <w:spacing w:before="0" w:after="283"/>
              <w:jc w:val="center"/>
              <w:rPr/>
            </w:pPr>
            <w:r>
              <w:rPr/>
              <w:t>Year Ended September 30, 2010</w:t>
            </w:r>
          </w:p>
        </w:tc>
        <w:tc>
          <w:tcPr>
            <w:tcW w:w="139" w:type="dxa"/>
            <w:tcBorders/>
            <w:shd w:fill="auto" w:val="clear"/>
            <w:vAlign w:val="bottom"/>
          </w:tcPr>
          <w:p>
            <w:pPr>
              <w:pStyle w:val="TableContents"/>
              <w:spacing w:before="0" w:after="283"/>
              <w:rPr/>
            </w:pPr>
            <w:r>
              <w:rPr/>
              <w:t> </w:t>
            </w:r>
          </w:p>
        </w:tc>
      </w:tr>
      <w:tr>
        <w:trPr/>
        <w:tc>
          <w:tcPr>
            <w:tcW w:w="366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jc w:val="center"/>
              <w:rPr/>
            </w:pPr>
            <w:r>
              <w:rPr/>
              <w:t>U.S. Pawn</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954" w:type="dxa"/>
            <w:gridSpan w:val="2"/>
            <w:tcBorders/>
            <w:shd w:fill="auto" w:val="clear"/>
            <w:vAlign w:val="bottom"/>
          </w:tcPr>
          <w:p>
            <w:pPr>
              <w:pStyle w:val="TableContents"/>
              <w:spacing w:before="0" w:after="283"/>
              <w:jc w:val="center"/>
              <w:rPr/>
            </w:pPr>
            <w:r>
              <w:rPr/>
              <w:t>Empeño</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263" w:type="dxa"/>
            <w:gridSpan w:val="2"/>
            <w:tcBorders/>
            <w:shd w:fill="auto" w:val="clear"/>
            <w:vAlign w:val="bottom"/>
          </w:tcPr>
          <w:p>
            <w:pPr>
              <w:pStyle w:val="TableContents"/>
              <w:spacing w:before="0" w:after="283"/>
              <w:jc w:val="center"/>
              <w:rPr/>
            </w:pPr>
            <w:r>
              <w:rPr/>
              <w:t>EZMONEY</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296" w:type="dxa"/>
            <w:gridSpan w:val="2"/>
            <w:tcBorders/>
            <w:shd w:fill="auto" w:val="clear"/>
            <w:vAlign w:val="bottom"/>
          </w:tcPr>
          <w:p>
            <w:pPr>
              <w:pStyle w:val="TableContents"/>
              <w:spacing w:before="0" w:after="283"/>
              <w:jc w:val="center"/>
              <w:rPr/>
            </w:pPr>
            <w:r>
              <w:rPr/>
              <w:t> </w:t>
            </w:r>
          </w:p>
        </w:tc>
        <w:tc>
          <w:tcPr>
            <w:tcW w:w="139" w:type="dxa"/>
            <w:tcBorders/>
            <w:shd w:fill="auto" w:val="clear"/>
            <w:vAlign w:val="bottom"/>
          </w:tcPr>
          <w:p>
            <w:pPr>
              <w:pStyle w:val="TableContents"/>
              <w:spacing w:before="0" w:after="283"/>
              <w:rPr/>
            </w:pPr>
            <w:r>
              <w:rPr/>
              <w:t> </w:t>
            </w:r>
          </w:p>
        </w:tc>
      </w:tr>
      <w:tr>
        <w:trPr/>
        <w:tc>
          <w:tcPr>
            <w:tcW w:w="366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954"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263"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296"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9" w:type="dxa"/>
            <w:tcBorders/>
            <w:shd w:fill="auto" w:val="clear"/>
            <w:vAlign w:val="bottom"/>
          </w:tcPr>
          <w:p>
            <w:pPr>
              <w:pStyle w:val="TableContents"/>
              <w:spacing w:before="0" w:after="283"/>
              <w:rPr/>
            </w:pPr>
            <w:r>
              <w:rPr/>
              <w:t> </w:t>
            </w:r>
          </w:p>
        </w:tc>
      </w:tr>
      <w:tr>
        <w:trPr/>
        <w:tc>
          <w:tcPr>
            <w:tcW w:w="3663" w:type="dxa"/>
            <w:tcBorders/>
            <w:shd w:fill="CCEEFF" w:val="clear"/>
            <w:vAlign w:val="bottom"/>
          </w:tcPr>
          <w:p>
            <w:pPr>
              <w:pStyle w:val="TableContents"/>
              <w:spacing w:before="0" w:after="0"/>
              <w:ind w:left="225" w:right="0" w:hanging="225"/>
              <w:rPr/>
            </w:pPr>
            <w:r>
              <w:rPr/>
              <w:t>Stores in operation:</w:t>
            </w:r>
          </w:p>
        </w:tc>
        <w:tc>
          <w:tcPr>
            <w:tcW w:w="32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3663" w:type="dxa"/>
            <w:tcBorders/>
            <w:shd w:fill="auto" w:val="clear"/>
            <w:vAlign w:val="bottom"/>
          </w:tcPr>
          <w:p>
            <w:pPr>
              <w:pStyle w:val="TableContents"/>
              <w:spacing w:before="0" w:after="0"/>
              <w:ind w:left="450" w:right="0" w:hanging="225"/>
              <w:rPr/>
            </w:pPr>
            <w:r>
              <w:rPr/>
              <w:t>Beginning of period</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jc w:val="right"/>
              <w:rPr/>
            </w:pPr>
            <w:r>
              <w:rPr/>
              <w:t>375</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62</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473</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910</w:t>
            </w:r>
          </w:p>
        </w:tc>
        <w:tc>
          <w:tcPr>
            <w:tcW w:w="139" w:type="dxa"/>
            <w:tcBorders/>
            <w:shd w:fill="auto" w:val="clear"/>
            <w:vAlign w:val="bottom"/>
          </w:tcPr>
          <w:p>
            <w:pPr>
              <w:pStyle w:val="TableContents"/>
              <w:spacing w:before="0" w:after="283"/>
              <w:rPr/>
            </w:pPr>
            <w:r>
              <w:rPr/>
              <w:t> </w:t>
            </w:r>
          </w:p>
        </w:tc>
      </w:tr>
      <w:tr>
        <w:trPr/>
        <w:tc>
          <w:tcPr>
            <w:tcW w:w="3663" w:type="dxa"/>
            <w:tcBorders/>
            <w:shd w:fill="CCEEFF" w:val="clear"/>
            <w:vAlign w:val="bottom"/>
          </w:tcPr>
          <w:p>
            <w:pPr>
              <w:pStyle w:val="TableContents"/>
              <w:spacing w:before="0" w:after="0"/>
              <w:ind w:left="450" w:right="0" w:hanging="225"/>
              <w:rPr/>
            </w:pPr>
            <w:r>
              <w:rPr/>
              <w:t>New openings</w:t>
            </w:r>
          </w:p>
        </w:tc>
        <w:tc>
          <w:tcPr>
            <w:tcW w:w="32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jc w:val="right"/>
              <w:rPr/>
            </w:pPr>
            <w:r>
              <w:rPr/>
              <w:t>7</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53</w:t>
            </w:r>
          </w:p>
        </w:tc>
        <w:tc>
          <w:tcPr>
            <w:tcW w:w="11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51</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111</w:t>
            </w:r>
          </w:p>
        </w:tc>
        <w:tc>
          <w:tcPr>
            <w:tcW w:w="139" w:type="dxa"/>
            <w:tcBorders/>
            <w:shd w:fill="CCEEFF" w:val="clear"/>
            <w:vAlign w:val="bottom"/>
          </w:tcPr>
          <w:p>
            <w:pPr>
              <w:pStyle w:val="TableContents"/>
              <w:spacing w:before="0" w:after="283"/>
              <w:rPr/>
            </w:pPr>
            <w:r>
              <w:rPr/>
              <w:t> </w:t>
            </w:r>
          </w:p>
        </w:tc>
      </w:tr>
      <w:tr>
        <w:trPr/>
        <w:tc>
          <w:tcPr>
            <w:tcW w:w="3663" w:type="dxa"/>
            <w:tcBorders/>
            <w:shd w:fill="auto" w:val="clear"/>
            <w:vAlign w:val="bottom"/>
          </w:tcPr>
          <w:p>
            <w:pPr>
              <w:pStyle w:val="TableContents"/>
              <w:spacing w:before="0" w:after="0"/>
              <w:ind w:left="450" w:right="0" w:hanging="225"/>
              <w:rPr/>
            </w:pPr>
            <w:r>
              <w:rPr/>
              <w:t>Acquired</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jc w:val="right"/>
              <w:rPr/>
            </w:pPr>
            <w:r>
              <w:rPr/>
              <w:t>16</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16</w:t>
            </w:r>
          </w:p>
        </w:tc>
        <w:tc>
          <w:tcPr>
            <w:tcW w:w="139" w:type="dxa"/>
            <w:tcBorders/>
            <w:shd w:fill="auto" w:val="clear"/>
            <w:vAlign w:val="bottom"/>
          </w:tcPr>
          <w:p>
            <w:pPr>
              <w:pStyle w:val="TableContents"/>
              <w:spacing w:before="0" w:after="283"/>
              <w:rPr/>
            </w:pPr>
            <w:r>
              <w:rPr/>
              <w:t> </w:t>
            </w:r>
          </w:p>
        </w:tc>
      </w:tr>
      <w:tr>
        <w:trPr/>
        <w:tc>
          <w:tcPr>
            <w:tcW w:w="3663" w:type="dxa"/>
            <w:tcBorders/>
            <w:shd w:fill="CCEEFF" w:val="clear"/>
            <w:vAlign w:val="bottom"/>
          </w:tcPr>
          <w:p>
            <w:pPr>
              <w:pStyle w:val="TableContents"/>
              <w:spacing w:before="0" w:after="0"/>
              <w:ind w:left="450" w:right="0" w:hanging="225"/>
              <w:rPr/>
            </w:pPr>
            <w:r>
              <w:rPr/>
              <w:t>Sold, combined, or closed</w:t>
            </w:r>
          </w:p>
        </w:tc>
        <w:tc>
          <w:tcPr>
            <w:tcW w:w="32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973" w:type="dxa"/>
            <w:tcBorders/>
            <w:shd w:fill="CCEEFF" w:val="clear"/>
            <w:vAlign w:val="bottom"/>
          </w:tcPr>
          <w:p>
            <w:pPr>
              <w:pStyle w:val="TableContents"/>
              <w:spacing w:before="0" w:after="283"/>
              <w:jc w:val="right"/>
              <w:rPr/>
            </w:pPr>
            <w:r>
              <w:rPr/>
              <w:t>(2</w:t>
            </w:r>
          </w:p>
        </w:tc>
        <w:tc>
          <w:tcPr>
            <w:tcW w:w="150" w:type="dxa"/>
            <w:tcBorders/>
            <w:shd w:fill="CCEEFF" w:val="clear"/>
            <w:vAlign w:val="bottom"/>
          </w:tcPr>
          <w:p>
            <w:pPr>
              <w:pStyle w:val="TableContents"/>
              <w:spacing w:before="0" w:after="283"/>
              <w:rPr/>
            </w:pPr>
            <w:r>
              <w:rPr/>
              <w:t>)</w:t>
            </w:r>
          </w:p>
        </w:tc>
        <w:tc>
          <w:tcPr>
            <w:tcW w:w="3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(29</w:t>
            </w:r>
          </w:p>
        </w:tc>
        <w:tc>
          <w:tcPr>
            <w:tcW w:w="150" w:type="dxa"/>
            <w:tcBorders/>
            <w:shd w:fill="CCEEFF" w:val="clear"/>
            <w:vAlign w:val="bottom"/>
          </w:tcPr>
          <w:p>
            <w:pPr>
              <w:pStyle w:val="TableContents"/>
              <w:spacing w:before="0" w:after="283"/>
              <w:rPr/>
            </w:pPr>
            <w:r>
              <w:rPr/>
              <w:t>)</w:t>
            </w:r>
          </w:p>
        </w:tc>
        <w:tc>
          <w:tcPr>
            <w:tcW w:w="33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pPr>
            <w:r>
              <w:rPr/>
              <w:t>(31</w:t>
            </w:r>
          </w:p>
        </w:tc>
        <w:tc>
          <w:tcPr>
            <w:tcW w:w="139" w:type="dxa"/>
            <w:tcBorders/>
            <w:shd w:fill="CCEEFF" w:val="clear"/>
            <w:vAlign w:val="bottom"/>
          </w:tcPr>
          <w:p>
            <w:pPr>
              <w:pStyle w:val="TableContents"/>
              <w:spacing w:before="0" w:after="283"/>
              <w:rPr/>
            </w:pPr>
            <w:r>
              <w:rPr/>
              <w:t>)</w:t>
            </w:r>
          </w:p>
        </w:tc>
      </w:tr>
      <w:tr>
        <w:trPr/>
        <w:tc>
          <w:tcPr>
            <w:tcW w:w="3663"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9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2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663" w:type="dxa"/>
            <w:tcBorders/>
            <w:shd w:fill="auto" w:val="clear"/>
            <w:vAlign w:val="bottom"/>
          </w:tcPr>
          <w:p>
            <w:pPr>
              <w:pStyle w:val="TableContents"/>
              <w:spacing w:before="0" w:after="0"/>
              <w:ind w:left="450" w:right="0" w:hanging="225"/>
              <w:rPr/>
            </w:pPr>
            <w:r>
              <w:rPr/>
              <w:t>End of period</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jc w:val="right"/>
              <w:rPr/>
            </w:pPr>
            <w:r>
              <w:rPr/>
              <w:t>396</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115</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495</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1,006</w:t>
            </w:r>
          </w:p>
        </w:tc>
        <w:tc>
          <w:tcPr>
            <w:tcW w:w="139" w:type="dxa"/>
            <w:tcBorders/>
            <w:shd w:fill="auto" w:val="clear"/>
            <w:vAlign w:val="bottom"/>
          </w:tcPr>
          <w:p>
            <w:pPr>
              <w:pStyle w:val="TableContents"/>
              <w:spacing w:before="0" w:after="283"/>
              <w:rPr/>
            </w:pPr>
            <w:r>
              <w:rPr/>
              <w:t> </w:t>
            </w:r>
          </w:p>
        </w:tc>
      </w:tr>
      <w:tr>
        <w:trPr/>
        <w:tc>
          <w:tcPr>
            <w:tcW w:w="3663"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9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2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663" w:type="dxa"/>
            <w:tcBorders/>
            <w:shd w:fill="auto" w:val="clear"/>
            <w:vAlign w:val="bottom"/>
          </w:tcPr>
          <w:p>
            <w:pPr>
              <w:pStyle w:val="TableContents"/>
              <w:spacing w:before="0" w:after="0"/>
              <w:ind w:left="225" w:right="0" w:hanging="225"/>
              <w:rPr/>
            </w:pPr>
            <w:r>
              <w:rPr/>
              <w:t> </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3" w:type="dxa"/>
            <w:tcBorders/>
            <w:shd w:fill="CCEEFF" w:val="clear"/>
            <w:vAlign w:val="bottom"/>
          </w:tcPr>
          <w:p>
            <w:pPr>
              <w:pStyle w:val="TableContents"/>
              <w:spacing w:before="0" w:after="0"/>
              <w:ind w:left="225" w:right="0" w:hanging="225"/>
              <w:rPr/>
            </w:pPr>
            <w:r>
              <w:rPr/>
              <w:t>Average number of stores during the period</w:t>
            </w:r>
          </w:p>
        </w:tc>
        <w:tc>
          <w:tcPr>
            <w:tcW w:w="32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jc w:val="right"/>
              <w:rPr/>
            </w:pPr>
            <w:r>
              <w:rPr/>
              <w:t>381</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84</w:t>
            </w:r>
          </w:p>
        </w:tc>
        <w:tc>
          <w:tcPr>
            <w:tcW w:w="11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481</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946</w:t>
            </w:r>
          </w:p>
        </w:tc>
        <w:tc>
          <w:tcPr>
            <w:tcW w:w="139" w:type="dxa"/>
            <w:tcBorders/>
            <w:shd w:fill="CCEEFF" w:val="clear"/>
            <w:vAlign w:val="bottom"/>
          </w:tcPr>
          <w:p>
            <w:pPr>
              <w:pStyle w:val="TableContents"/>
              <w:spacing w:before="0" w:after="283"/>
              <w:rPr/>
            </w:pPr>
            <w:r>
              <w:rPr/>
              <w:t> </w:t>
            </w:r>
          </w:p>
        </w:tc>
      </w:tr>
      <w:tr>
        <w:trPr/>
        <w:tc>
          <w:tcPr>
            <w:tcW w:w="3663" w:type="dxa"/>
            <w:tcBorders/>
            <w:shd w:fill="auto" w:val="clear"/>
            <w:vAlign w:val="bottom"/>
          </w:tcPr>
          <w:p>
            <w:pPr>
              <w:pStyle w:val="TableContents"/>
              <w:spacing w:before="0" w:after="0"/>
              <w:ind w:left="225" w:right="0" w:hanging="225"/>
              <w:rPr/>
            </w:pPr>
            <w:r>
              <w:rPr/>
              <w:t> </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3" w:type="dxa"/>
            <w:tcBorders/>
            <w:shd w:fill="auto" w:val="clear"/>
            <w:vAlign w:val="bottom"/>
          </w:tcPr>
          <w:p>
            <w:pPr>
              <w:pStyle w:val="TableContents"/>
              <w:spacing w:before="0" w:after="0"/>
              <w:ind w:left="225" w:right="0" w:hanging="225"/>
              <w:rPr/>
            </w:pPr>
            <w:r>
              <w:rPr/>
              <w:t>Composition of ending stores:</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3" w:type="dxa"/>
            <w:tcBorders/>
            <w:shd w:fill="CCEEFF" w:val="clear"/>
            <w:vAlign w:val="bottom"/>
          </w:tcPr>
          <w:p>
            <w:pPr>
              <w:pStyle w:val="TableContents"/>
              <w:spacing w:before="0" w:after="0"/>
              <w:ind w:left="450" w:right="0" w:hanging="225"/>
              <w:rPr/>
            </w:pPr>
            <w:r>
              <w:rPr/>
              <w:t>Pawn</w:t>
            </w:r>
          </w:p>
        </w:tc>
        <w:tc>
          <w:tcPr>
            <w:tcW w:w="32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jc w:val="right"/>
              <w:rPr/>
            </w:pPr>
            <w:r>
              <w:rPr/>
              <w:t>390</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115</w:t>
            </w:r>
          </w:p>
        </w:tc>
        <w:tc>
          <w:tcPr>
            <w:tcW w:w="11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505</w:t>
            </w:r>
          </w:p>
        </w:tc>
        <w:tc>
          <w:tcPr>
            <w:tcW w:w="139" w:type="dxa"/>
            <w:tcBorders/>
            <w:shd w:fill="CCEEFF" w:val="clear"/>
            <w:vAlign w:val="bottom"/>
          </w:tcPr>
          <w:p>
            <w:pPr>
              <w:pStyle w:val="TableContents"/>
              <w:spacing w:before="0" w:after="283"/>
              <w:rPr/>
            </w:pPr>
            <w:r>
              <w:rPr/>
              <w:t> </w:t>
            </w:r>
          </w:p>
        </w:tc>
      </w:tr>
      <w:tr>
        <w:trPr/>
        <w:tc>
          <w:tcPr>
            <w:tcW w:w="3663" w:type="dxa"/>
            <w:tcBorders/>
            <w:shd w:fill="auto" w:val="clear"/>
            <w:vAlign w:val="bottom"/>
          </w:tcPr>
          <w:p>
            <w:pPr>
              <w:pStyle w:val="TableContents"/>
              <w:spacing w:before="0" w:after="0"/>
              <w:ind w:left="450" w:right="0" w:hanging="225"/>
              <w:rPr/>
            </w:pPr>
            <w:r>
              <w:rPr/>
              <w:t>Short-term consumer loan stores adjoining U.S. pawn stores</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jc w:val="right"/>
              <w:rPr/>
            </w:pPr>
            <w:r>
              <w:rPr/>
              <w:t>6</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152</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158</w:t>
            </w:r>
          </w:p>
        </w:tc>
        <w:tc>
          <w:tcPr>
            <w:tcW w:w="139" w:type="dxa"/>
            <w:tcBorders/>
            <w:shd w:fill="auto" w:val="clear"/>
            <w:vAlign w:val="bottom"/>
          </w:tcPr>
          <w:p>
            <w:pPr>
              <w:pStyle w:val="TableContents"/>
              <w:spacing w:before="0" w:after="283"/>
              <w:rPr/>
            </w:pPr>
            <w:r>
              <w:rPr/>
              <w:t> </w:t>
            </w:r>
          </w:p>
        </w:tc>
      </w:tr>
      <w:tr>
        <w:trPr/>
        <w:tc>
          <w:tcPr>
            <w:tcW w:w="3663" w:type="dxa"/>
            <w:tcBorders/>
            <w:shd w:fill="CCEEFF" w:val="clear"/>
            <w:vAlign w:val="bottom"/>
          </w:tcPr>
          <w:p>
            <w:pPr>
              <w:pStyle w:val="TableContents"/>
              <w:spacing w:before="0" w:after="0"/>
              <w:ind w:left="450" w:right="0" w:hanging="225"/>
              <w:rPr/>
            </w:pPr>
            <w:r>
              <w:rPr/>
              <w:t>Short-term consumer loan stores  free standing</w:t>
            </w:r>
          </w:p>
        </w:tc>
        <w:tc>
          <w:tcPr>
            <w:tcW w:w="32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jc w:val="right"/>
              <w:rPr/>
            </w:pPr>
            <w:r>
              <w:rPr/>
              <w:t></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343</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343</w:t>
            </w:r>
          </w:p>
        </w:tc>
        <w:tc>
          <w:tcPr>
            <w:tcW w:w="139" w:type="dxa"/>
            <w:tcBorders/>
            <w:shd w:fill="CCEEFF" w:val="clear"/>
            <w:vAlign w:val="bottom"/>
          </w:tcPr>
          <w:p>
            <w:pPr>
              <w:pStyle w:val="TableContents"/>
              <w:spacing w:before="0" w:after="283"/>
              <w:rPr/>
            </w:pPr>
            <w:r>
              <w:rPr/>
              <w:t> </w:t>
            </w:r>
          </w:p>
        </w:tc>
      </w:tr>
      <w:tr>
        <w:trPr/>
        <w:tc>
          <w:tcPr>
            <w:tcW w:w="3663"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9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2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663" w:type="dxa"/>
            <w:tcBorders/>
            <w:shd w:fill="auto" w:val="clear"/>
            <w:vAlign w:val="bottom"/>
          </w:tcPr>
          <w:p>
            <w:pPr>
              <w:pStyle w:val="TableContents"/>
              <w:spacing w:before="0" w:after="0"/>
              <w:ind w:left="450" w:right="0" w:hanging="225"/>
              <w:rPr/>
            </w:pPr>
            <w:r>
              <w:rPr/>
              <w:t>Total stores in operation</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jc w:val="right"/>
              <w:rPr/>
            </w:pPr>
            <w:r>
              <w:rPr/>
              <w:t>396</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115</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495</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1,006</w:t>
            </w:r>
          </w:p>
        </w:tc>
        <w:tc>
          <w:tcPr>
            <w:tcW w:w="139" w:type="dxa"/>
            <w:tcBorders/>
            <w:shd w:fill="auto" w:val="clear"/>
            <w:vAlign w:val="bottom"/>
          </w:tcPr>
          <w:p>
            <w:pPr>
              <w:pStyle w:val="TableContents"/>
              <w:spacing w:before="0" w:after="283"/>
              <w:rPr/>
            </w:pPr>
            <w:r>
              <w:rPr/>
              <w:t> </w:t>
            </w:r>
          </w:p>
        </w:tc>
      </w:tr>
      <w:tr>
        <w:trPr/>
        <w:tc>
          <w:tcPr>
            <w:tcW w:w="3663"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9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2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663" w:type="dxa"/>
            <w:tcBorders/>
            <w:shd w:fill="auto" w:val="clear"/>
            <w:vAlign w:val="bottom"/>
          </w:tcPr>
          <w:p>
            <w:pPr>
              <w:pStyle w:val="TableContents"/>
              <w:spacing w:before="0" w:after="0"/>
              <w:ind w:left="225" w:right="0" w:hanging="225"/>
              <w:rPr/>
            </w:pPr>
            <w:r>
              <w:rPr/>
              <w:t> </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3" w:type="dxa"/>
            <w:tcBorders/>
            <w:shd w:fill="CCEEFF" w:val="clear"/>
            <w:vAlign w:val="bottom"/>
          </w:tcPr>
          <w:p>
            <w:pPr>
              <w:pStyle w:val="TableContents"/>
              <w:spacing w:before="0" w:after="0"/>
              <w:ind w:left="450" w:right="0" w:hanging="225"/>
              <w:rPr/>
            </w:pPr>
            <w:r>
              <w:rPr/>
              <w:t>Stores offering payday loans (including credit services)</w:t>
            </w:r>
          </w:p>
        </w:tc>
        <w:tc>
          <w:tcPr>
            <w:tcW w:w="32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jc w:val="right"/>
              <w:rPr/>
            </w:pPr>
            <w:r>
              <w:rPr/>
              <w:t>59</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461</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520</w:t>
            </w:r>
          </w:p>
        </w:tc>
        <w:tc>
          <w:tcPr>
            <w:tcW w:w="139" w:type="dxa"/>
            <w:tcBorders/>
            <w:shd w:fill="CCEEFF" w:val="clear"/>
            <w:vAlign w:val="bottom"/>
          </w:tcPr>
          <w:p>
            <w:pPr>
              <w:pStyle w:val="TableContents"/>
              <w:spacing w:before="0" w:after="283"/>
              <w:rPr/>
            </w:pPr>
            <w:r>
              <w:rPr/>
              <w:t> </w:t>
            </w:r>
          </w:p>
        </w:tc>
      </w:tr>
      <w:tr>
        <w:trPr/>
        <w:tc>
          <w:tcPr>
            <w:tcW w:w="3663" w:type="dxa"/>
            <w:tcBorders/>
            <w:shd w:fill="auto" w:val="clear"/>
            <w:vAlign w:val="bottom"/>
          </w:tcPr>
          <w:p>
            <w:pPr>
              <w:pStyle w:val="TableContents"/>
              <w:spacing w:before="0" w:after="0"/>
              <w:ind w:left="450" w:right="0" w:hanging="225"/>
              <w:rPr/>
            </w:pPr>
            <w:r>
              <w:rPr/>
              <w:t>Stores offering installment loans (including credit services)</w:t>
            </w:r>
          </w:p>
        </w:tc>
        <w:tc>
          <w:tcPr>
            <w:tcW w:w="32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pPr>
            <w:r>
              <w:rPr/>
              <w:t>415</w:t>
            </w:r>
          </w:p>
        </w:tc>
        <w:tc>
          <w:tcPr>
            <w:tcW w:w="150"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149" w:type="dxa"/>
            <w:tcBorders/>
            <w:shd w:fill="auto" w:val="clear"/>
            <w:vAlign w:val="bottom"/>
          </w:tcPr>
          <w:p>
            <w:pPr>
              <w:pStyle w:val="TableContents"/>
              <w:spacing w:before="0" w:after="283"/>
              <w:jc w:val="right"/>
              <w:rPr/>
            </w:pPr>
            <w:r>
              <w:rPr/>
              <w:t>415</w:t>
            </w:r>
          </w:p>
        </w:tc>
        <w:tc>
          <w:tcPr>
            <w:tcW w:w="139" w:type="dxa"/>
            <w:tcBorders/>
            <w:shd w:fill="auto" w:val="clear"/>
            <w:vAlign w:val="bottom"/>
          </w:tcPr>
          <w:p>
            <w:pPr>
              <w:pStyle w:val="TableContents"/>
              <w:spacing w:before="0" w:after="283"/>
              <w:rPr/>
            </w:pPr>
            <w:r>
              <w:rPr/>
              <w:t> </w:t>
            </w:r>
          </w:p>
        </w:tc>
      </w:tr>
      <w:tr>
        <w:trPr/>
        <w:tc>
          <w:tcPr>
            <w:tcW w:w="3663" w:type="dxa"/>
            <w:tcBorders/>
            <w:shd w:fill="CCEEFF" w:val="clear"/>
            <w:vAlign w:val="bottom"/>
          </w:tcPr>
          <w:p>
            <w:pPr>
              <w:pStyle w:val="TableContents"/>
              <w:spacing w:before="0" w:after="0"/>
              <w:ind w:left="450" w:right="0" w:hanging="225"/>
              <w:rPr/>
            </w:pPr>
            <w:r>
              <w:rPr/>
              <w:t>Stores offering auto title loans (including credit services)</w:t>
            </w:r>
          </w:p>
        </w:tc>
        <w:tc>
          <w:tcPr>
            <w:tcW w:w="32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jc w:val="right"/>
              <w:rPr/>
            </w:pPr>
            <w:r>
              <w:rPr/>
              <w:t>58</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390</w:t>
            </w:r>
          </w:p>
        </w:tc>
        <w:tc>
          <w:tcPr>
            <w:tcW w:w="150"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448</w:t>
            </w:r>
          </w:p>
        </w:tc>
        <w:tc>
          <w:tcPr>
            <w:tcW w:w="139"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669"/>
        <w:gridCol w:w="325"/>
        <w:gridCol w:w="162"/>
        <w:gridCol w:w="960"/>
        <w:gridCol w:w="162"/>
        <w:gridCol w:w="347"/>
        <w:gridCol w:w="169"/>
        <w:gridCol w:w="774"/>
        <w:gridCol w:w="123"/>
        <w:gridCol w:w="347"/>
        <w:gridCol w:w="179"/>
        <w:gridCol w:w="1066"/>
        <w:gridCol w:w="162"/>
        <w:gridCol w:w="347"/>
        <w:gridCol w:w="180"/>
        <w:gridCol w:w="1097"/>
        <w:gridCol w:w="136"/>
      </w:tblGrid>
      <w:tr>
        <w:trPr/>
        <w:tc>
          <w:tcPr>
            <w:tcW w:w="366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366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6075" w:type="dxa"/>
            <w:gridSpan w:val="14"/>
            <w:tcBorders>
              <w:bottom w:val="single" w:sz="2" w:space="0" w:color="000000"/>
            </w:tcBorders>
            <w:shd w:fill="auto" w:val="clear"/>
            <w:tcMar>
              <w:bottom w:w="28" w:type="dxa"/>
            </w:tcMar>
            <w:vAlign w:val="bottom"/>
          </w:tcPr>
          <w:p>
            <w:pPr>
              <w:pStyle w:val="TableContents"/>
              <w:spacing w:before="0" w:after="283"/>
              <w:jc w:val="center"/>
              <w:rPr/>
            </w:pPr>
            <w:r>
              <w:rPr/>
              <w:t>Year Ended September 30, 2009</w:t>
            </w:r>
          </w:p>
        </w:tc>
        <w:tc>
          <w:tcPr>
            <w:tcW w:w="136" w:type="dxa"/>
            <w:tcBorders/>
            <w:shd w:fill="auto" w:val="clear"/>
            <w:vAlign w:val="bottom"/>
          </w:tcPr>
          <w:p>
            <w:pPr>
              <w:pStyle w:val="TableContents"/>
              <w:spacing w:before="0" w:after="283"/>
              <w:rPr/>
            </w:pPr>
            <w:r>
              <w:rPr/>
              <w:t> </w:t>
            </w:r>
          </w:p>
        </w:tc>
      </w:tr>
      <w:tr>
        <w:trPr/>
        <w:tc>
          <w:tcPr>
            <w:tcW w:w="366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jc w:val="center"/>
              <w:rPr/>
            </w:pPr>
            <w:r>
              <w:rPr/>
              <w:t>U.S. Pawn</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943" w:type="dxa"/>
            <w:gridSpan w:val="2"/>
            <w:tcBorders/>
            <w:shd w:fill="auto" w:val="clear"/>
            <w:vAlign w:val="bottom"/>
          </w:tcPr>
          <w:p>
            <w:pPr>
              <w:pStyle w:val="TableContents"/>
              <w:spacing w:before="0" w:after="283"/>
              <w:jc w:val="center"/>
              <w:rPr/>
            </w:pPr>
            <w:r>
              <w:rPr/>
              <w:t>Empeño</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45" w:type="dxa"/>
            <w:gridSpan w:val="2"/>
            <w:tcBorders/>
            <w:shd w:fill="auto" w:val="clear"/>
            <w:vAlign w:val="bottom"/>
          </w:tcPr>
          <w:p>
            <w:pPr>
              <w:pStyle w:val="TableContents"/>
              <w:spacing w:before="0" w:after="283"/>
              <w:jc w:val="center"/>
              <w:rPr/>
            </w:pPr>
            <w:r>
              <w:rPr/>
              <w:t>EZMONEY</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jc w:val="center"/>
              <w:rPr/>
            </w:pPr>
            <w:r>
              <w:rPr/>
              <w:t> </w:t>
            </w:r>
          </w:p>
        </w:tc>
        <w:tc>
          <w:tcPr>
            <w:tcW w:w="136" w:type="dxa"/>
            <w:tcBorders/>
            <w:shd w:fill="auto" w:val="clear"/>
            <w:vAlign w:val="bottom"/>
          </w:tcPr>
          <w:p>
            <w:pPr>
              <w:pStyle w:val="TableContents"/>
              <w:spacing w:before="0" w:after="283"/>
              <w:rPr/>
            </w:pPr>
            <w:r>
              <w:rPr/>
              <w:t> </w:t>
            </w:r>
          </w:p>
        </w:tc>
      </w:tr>
      <w:tr>
        <w:trPr/>
        <w:tc>
          <w:tcPr>
            <w:tcW w:w="366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122"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943"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45"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77"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6" w:type="dxa"/>
            <w:tcBorders/>
            <w:shd w:fill="auto" w:val="clear"/>
            <w:vAlign w:val="bottom"/>
          </w:tcPr>
          <w:p>
            <w:pPr>
              <w:pStyle w:val="TableContents"/>
              <w:spacing w:before="0" w:after="283"/>
              <w:rPr/>
            </w:pPr>
            <w:r>
              <w:rPr/>
              <w:t> </w:t>
            </w:r>
          </w:p>
        </w:tc>
      </w:tr>
      <w:tr>
        <w:trPr/>
        <w:tc>
          <w:tcPr>
            <w:tcW w:w="3669" w:type="dxa"/>
            <w:tcBorders/>
            <w:shd w:fill="CCEEFF" w:val="clear"/>
            <w:vAlign w:val="bottom"/>
          </w:tcPr>
          <w:p>
            <w:pPr>
              <w:pStyle w:val="TableContents"/>
              <w:spacing w:before="0" w:after="0"/>
              <w:ind w:left="450" w:right="0" w:hanging="225"/>
              <w:rPr/>
            </w:pPr>
            <w:r>
              <w:rPr/>
              <w:t>Stores in operation:</w:t>
            </w:r>
          </w:p>
        </w:tc>
        <w:tc>
          <w:tcPr>
            <w:tcW w:w="32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3669" w:type="dxa"/>
            <w:tcBorders/>
            <w:shd w:fill="auto" w:val="clear"/>
            <w:vAlign w:val="bottom"/>
          </w:tcPr>
          <w:p>
            <w:pPr>
              <w:pStyle w:val="TableContents"/>
              <w:spacing w:before="0" w:after="0"/>
              <w:ind w:left="450" w:right="0" w:hanging="225"/>
              <w:rPr/>
            </w:pPr>
            <w:r>
              <w:rPr/>
              <w:t>Beginning of period</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300</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38</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471</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809</w:t>
            </w:r>
          </w:p>
        </w:tc>
        <w:tc>
          <w:tcPr>
            <w:tcW w:w="136" w:type="dxa"/>
            <w:tcBorders/>
            <w:shd w:fill="auto" w:val="clear"/>
            <w:vAlign w:val="bottom"/>
          </w:tcPr>
          <w:p>
            <w:pPr>
              <w:pStyle w:val="TableContents"/>
              <w:spacing w:before="0" w:after="283"/>
              <w:rPr/>
            </w:pPr>
            <w:r>
              <w:rPr/>
              <w:t> </w:t>
            </w:r>
          </w:p>
        </w:tc>
      </w:tr>
      <w:tr>
        <w:trPr/>
        <w:tc>
          <w:tcPr>
            <w:tcW w:w="3669" w:type="dxa"/>
            <w:tcBorders/>
            <w:shd w:fill="CCEEFF" w:val="clear"/>
            <w:vAlign w:val="bottom"/>
          </w:tcPr>
          <w:p>
            <w:pPr>
              <w:pStyle w:val="TableContents"/>
              <w:spacing w:before="0" w:after="0"/>
              <w:ind w:left="450" w:right="0" w:hanging="225"/>
              <w:rPr/>
            </w:pPr>
            <w:r>
              <w:rPr/>
              <w:t>New openings</w:t>
            </w:r>
          </w:p>
        </w:tc>
        <w:tc>
          <w:tcPr>
            <w:tcW w:w="32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23</w:t>
            </w:r>
          </w:p>
        </w:tc>
        <w:tc>
          <w:tcPr>
            <w:tcW w:w="12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19</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42</w:t>
            </w:r>
          </w:p>
        </w:tc>
        <w:tc>
          <w:tcPr>
            <w:tcW w:w="136" w:type="dxa"/>
            <w:tcBorders/>
            <w:shd w:fill="CCEEFF" w:val="clear"/>
            <w:vAlign w:val="bottom"/>
          </w:tcPr>
          <w:p>
            <w:pPr>
              <w:pStyle w:val="TableContents"/>
              <w:spacing w:before="0" w:after="283"/>
              <w:rPr/>
            </w:pPr>
            <w:r>
              <w:rPr/>
              <w:t> </w:t>
            </w:r>
          </w:p>
        </w:tc>
      </w:tr>
      <w:tr>
        <w:trPr/>
        <w:tc>
          <w:tcPr>
            <w:tcW w:w="3669" w:type="dxa"/>
            <w:tcBorders/>
            <w:shd w:fill="auto" w:val="clear"/>
            <w:vAlign w:val="bottom"/>
          </w:tcPr>
          <w:p>
            <w:pPr>
              <w:pStyle w:val="TableContents"/>
              <w:spacing w:before="0" w:after="0"/>
              <w:ind w:left="450" w:right="0" w:hanging="225"/>
              <w:rPr/>
            </w:pPr>
            <w:r>
              <w:rPr/>
              <w:t>Acquired</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77</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1</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78</w:t>
            </w:r>
          </w:p>
        </w:tc>
        <w:tc>
          <w:tcPr>
            <w:tcW w:w="136" w:type="dxa"/>
            <w:tcBorders/>
            <w:shd w:fill="auto" w:val="clear"/>
            <w:vAlign w:val="bottom"/>
          </w:tcPr>
          <w:p>
            <w:pPr>
              <w:pStyle w:val="TableContents"/>
              <w:spacing w:before="0" w:after="283"/>
              <w:rPr/>
            </w:pPr>
            <w:r>
              <w:rPr/>
              <w:t> </w:t>
            </w:r>
          </w:p>
        </w:tc>
      </w:tr>
      <w:tr>
        <w:trPr/>
        <w:tc>
          <w:tcPr>
            <w:tcW w:w="3669" w:type="dxa"/>
            <w:tcBorders/>
            <w:shd w:fill="CCEEFF" w:val="clear"/>
            <w:vAlign w:val="bottom"/>
          </w:tcPr>
          <w:p>
            <w:pPr>
              <w:pStyle w:val="TableContents"/>
              <w:spacing w:before="0" w:after="0"/>
              <w:ind w:left="450" w:right="0" w:hanging="225"/>
              <w:rPr/>
            </w:pPr>
            <w:r>
              <w:rPr/>
              <w:t>Sold, combined, or closed</w:t>
            </w:r>
          </w:p>
        </w:tc>
        <w:tc>
          <w:tcPr>
            <w:tcW w:w="32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960" w:type="dxa"/>
            <w:tcBorders/>
            <w:shd w:fill="CCEEFF" w:val="clear"/>
            <w:vAlign w:val="bottom"/>
          </w:tcPr>
          <w:p>
            <w:pPr>
              <w:pStyle w:val="TableContents"/>
              <w:spacing w:before="0" w:after="283"/>
              <w:jc w:val="right"/>
              <w:rPr/>
            </w:pPr>
            <w:r>
              <w:rPr/>
              <w:t>(2</w:t>
            </w:r>
          </w:p>
        </w:tc>
        <w:tc>
          <w:tcPr>
            <w:tcW w:w="162" w:type="dxa"/>
            <w:tcBorders/>
            <w:shd w:fill="CCEEFF" w:val="clear"/>
            <w:vAlign w:val="bottom"/>
          </w:tcPr>
          <w:p>
            <w:pPr>
              <w:pStyle w:val="TableContents"/>
              <w:spacing w:before="0" w:after="283"/>
              <w:rPr/>
            </w:pPr>
            <w:r>
              <w:rPr/>
              <w:t>)</w:t>
            </w:r>
          </w:p>
        </w:tc>
        <w:tc>
          <w:tcPr>
            <w:tcW w:w="34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pPr>
            <w:r>
              <w:rPr/>
              <w:t>(17</w:t>
            </w:r>
          </w:p>
        </w:tc>
        <w:tc>
          <w:tcPr>
            <w:tcW w:w="162" w:type="dxa"/>
            <w:tcBorders/>
            <w:shd w:fill="CCEEFF" w:val="clear"/>
            <w:vAlign w:val="bottom"/>
          </w:tcPr>
          <w:p>
            <w:pPr>
              <w:pStyle w:val="TableContents"/>
              <w:spacing w:before="0" w:after="283"/>
              <w:rPr/>
            </w:pPr>
            <w:r>
              <w:rPr/>
              <w:t>)</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(19</w:t>
            </w:r>
          </w:p>
        </w:tc>
        <w:tc>
          <w:tcPr>
            <w:tcW w:w="136" w:type="dxa"/>
            <w:tcBorders/>
            <w:shd w:fill="CCEEFF" w:val="clear"/>
            <w:vAlign w:val="bottom"/>
          </w:tcPr>
          <w:p>
            <w:pPr>
              <w:pStyle w:val="TableContents"/>
              <w:spacing w:before="0" w:after="283"/>
              <w:rPr/>
            </w:pPr>
            <w:r>
              <w:rPr/>
              <w:t>)</w:t>
            </w:r>
          </w:p>
        </w:tc>
      </w:tr>
      <w:tr>
        <w:trPr/>
        <w:tc>
          <w:tcPr>
            <w:tcW w:w="3669" w:type="dxa"/>
            <w:tcBorders/>
            <w:shd w:fill="auto" w:val="clear"/>
            <w:vAlign w:val="center"/>
          </w:tcPr>
          <w:p>
            <w:pPr>
              <w:pStyle w:val="TableContents"/>
              <w:spacing w:before="0" w:after="0"/>
              <w:ind w:left="225" w:right="0" w:hanging="225"/>
              <w:rPr/>
            </w:pPr>
            <w:r>
              <w:rPr/>
              <w:t> </w:t>
            </w:r>
          </w:p>
        </w:tc>
        <w:tc>
          <w:tcPr>
            <w:tcW w:w="32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3669" w:type="dxa"/>
            <w:tcBorders/>
            <w:shd w:fill="auto" w:val="clear"/>
            <w:vAlign w:val="bottom"/>
          </w:tcPr>
          <w:p>
            <w:pPr>
              <w:pStyle w:val="TableContents"/>
              <w:spacing w:before="0" w:after="0"/>
              <w:ind w:left="450" w:right="0" w:hanging="225"/>
              <w:rPr/>
            </w:pPr>
            <w:r>
              <w:rPr/>
              <w:t>End of period</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375</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62</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473</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910</w:t>
            </w:r>
          </w:p>
        </w:tc>
        <w:tc>
          <w:tcPr>
            <w:tcW w:w="136" w:type="dxa"/>
            <w:tcBorders/>
            <w:shd w:fill="auto" w:val="clear"/>
            <w:vAlign w:val="bottom"/>
          </w:tcPr>
          <w:p>
            <w:pPr>
              <w:pStyle w:val="TableContents"/>
              <w:spacing w:before="0" w:after="283"/>
              <w:rPr/>
            </w:pPr>
            <w:r>
              <w:rPr/>
              <w:t> </w:t>
            </w:r>
          </w:p>
        </w:tc>
      </w:tr>
      <w:tr>
        <w:trPr/>
        <w:tc>
          <w:tcPr>
            <w:tcW w:w="3669" w:type="dxa"/>
            <w:tcBorders/>
            <w:shd w:fill="auto" w:val="clear"/>
            <w:vAlign w:val="center"/>
          </w:tcPr>
          <w:p>
            <w:pPr>
              <w:pStyle w:val="TableContents"/>
              <w:spacing w:before="0" w:after="0"/>
              <w:ind w:left="225" w:right="0" w:hanging="225"/>
              <w:rPr/>
            </w:pPr>
            <w:r>
              <w:rPr/>
              <w:t> </w:t>
            </w:r>
          </w:p>
        </w:tc>
        <w:tc>
          <w:tcPr>
            <w:tcW w:w="325"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3669" w:type="dxa"/>
            <w:tcBorders/>
            <w:shd w:fill="auto" w:val="clear"/>
            <w:vAlign w:val="bottom"/>
          </w:tcPr>
          <w:p>
            <w:pPr>
              <w:pStyle w:val="TableContents"/>
              <w:spacing w:before="0" w:after="0"/>
              <w:ind w:left="225" w:right="0" w:hanging="225"/>
              <w:rPr/>
            </w:pPr>
            <w:r>
              <w:rPr/>
              <w:t> </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3669" w:type="dxa"/>
            <w:tcBorders/>
            <w:shd w:fill="CCEEFF" w:val="clear"/>
            <w:vAlign w:val="bottom"/>
          </w:tcPr>
          <w:p>
            <w:pPr>
              <w:pStyle w:val="TableContents"/>
              <w:spacing w:before="0" w:after="0"/>
              <w:ind w:left="450" w:right="0" w:hanging="225"/>
              <w:rPr/>
            </w:pPr>
            <w:r>
              <w:rPr/>
              <w:t>Average number of stores during the period</w:t>
            </w:r>
          </w:p>
        </w:tc>
        <w:tc>
          <w:tcPr>
            <w:tcW w:w="32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360</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45</w:t>
            </w:r>
          </w:p>
        </w:tc>
        <w:tc>
          <w:tcPr>
            <w:tcW w:w="12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473</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878</w:t>
            </w:r>
          </w:p>
        </w:tc>
        <w:tc>
          <w:tcPr>
            <w:tcW w:w="136" w:type="dxa"/>
            <w:tcBorders/>
            <w:shd w:fill="CCEEFF" w:val="clear"/>
            <w:vAlign w:val="bottom"/>
          </w:tcPr>
          <w:p>
            <w:pPr>
              <w:pStyle w:val="TableContents"/>
              <w:spacing w:before="0" w:after="283"/>
              <w:rPr/>
            </w:pPr>
            <w:r>
              <w:rPr/>
              <w:t> </w:t>
            </w:r>
          </w:p>
        </w:tc>
      </w:tr>
      <w:tr>
        <w:trPr/>
        <w:tc>
          <w:tcPr>
            <w:tcW w:w="3669" w:type="dxa"/>
            <w:tcBorders/>
            <w:shd w:fill="auto" w:val="clear"/>
            <w:vAlign w:val="bottom"/>
          </w:tcPr>
          <w:p>
            <w:pPr>
              <w:pStyle w:val="TableContents"/>
              <w:spacing w:before="0" w:after="0"/>
              <w:ind w:left="225" w:right="0" w:hanging="225"/>
              <w:rPr/>
            </w:pPr>
            <w:r>
              <w:rPr/>
              <w:t> </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3669" w:type="dxa"/>
            <w:tcBorders/>
            <w:shd w:fill="auto" w:val="clear"/>
            <w:vAlign w:val="bottom"/>
          </w:tcPr>
          <w:p>
            <w:pPr>
              <w:pStyle w:val="TableContents"/>
              <w:spacing w:before="0" w:after="0"/>
              <w:ind w:left="225" w:right="0" w:hanging="225"/>
              <w:rPr/>
            </w:pPr>
            <w:r>
              <w:rPr/>
              <w:t>Composition of ending stores:</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3669" w:type="dxa"/>
            <w:tcBorders/>
            <w:shd w:fill="CCEEFF" w:val="clear"/>
            <w:vAlign w:val="bottom"/>
          </w:tcPr>
          <w:p>
            <w:pPr>
              <w:pStyle w:val="TableContents"/>
              <w:spacing w:before="0" w:after="0"/>
              <w:ind w:left="450" w:right="0" w:hanging="225"/>
              <w:rPr/>
            </w:pPr>
            <w:r>
              <w:rPr/>
              <w:t>Pawn</w:t>
            </w:r>
          </w:p>
        </w:tc>
        <w:tc>
          <w:tcPr>
            <w:tcW w:w="32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369</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62</w:t>
            </w:r>
          </w:p>
        </w:tc>
        <w:tc>
          <w:tcPr>
            <w:tcW w:w="12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431</w:t>
            </w:r>
          </w:p>
        </w:tc>
        <w:tc>
          <w:tcPr>
            <w:tcW w:w="136" w:type="dxa"/>
            <w:tcBorders/>
            <w:shd w:fill="CCEEFF" w:val="clear"/>
            <w:vAlign w:val="bottom"/>
          </w:tcPr>
          <w:p>
            <w:pPr>
              <w:pStyle w:val="TableContents"/>
              <w:spacing w:before="0" w:after="283"/>
              <w:rPr/>
            </w:pPr>
            <w:r>
              <w:rPr/>
              <w:t> </w:t>
            </w:r>
          </w:p>
        </w:tc>
      </w:tr>
      <w:tr>
        <w:trPr/>
        <w:tc>
          <w:tcPr>
            <w:tcW w:w="3669" w:type="dxa"/>
            <w:tcBorders/>
            <w:shd w:fill="auto" w:val="clear"/>
            <w:vAlign w:val="bottom"/>
          </w:tcPr>
          <w:p>
            <w:pPr>
              <w:pStyle w:val="TableContents"/>
              <w:spacing w:before="0" w:after="0"/>
              <w:ind w:left="450" w:right="0" w:hanging="225"/>
              <w:rPr/>
            </w:pPr>
            <w:r>
              <w:rPr/>
              <w:t>Short-term consumer loan stores adjoining U.S. pawn stores</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6</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151</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157</w:t>
            </w:r>
          </w:p>
        </w:tc>
        <w:tc>
          <w:tcPr>
            <w:tcW w:w="136" w:type="dxa"/>
            <w:tcBorders/>
            <w:shd w:fill="auto" w:val="clear"/>
            <w:vAlign w:val="bottom"/>
          </w:tcPr>
          <w:p>
            <w:pPr>
              <w:pStyle w:val="TableContents"/>
              <w:spacing w:before="0" w:after="283"/>
              <w:rPr/>
            </w:pPr>
            <w:r>
              <w:rPr/>
              <w:t> </w:t>
            </w:r>
          </w:p>
        </w:tc>
      </w:tr>
      <w:tr>
        <w:trPr/>
        <w:tc>
          <w:tcPr>
            <w:tcW w:w="3669" w:type="dxa"/>
            <w:tcBorders/>
            <w:shd w:fill="CCEEFF" w:val="clear"/>
            <w:vAlign w:val="bottom"/>
          </w:tcPr>
          <w:p>
            <w:pPr>
              <w:pStyle w:val="TableContents"/>
              <w:spacing w:before="0" w:after="0"/>
              <w:ind w:left="450" w:right="0" w:hanging="225"/>
              <w:rPr/>
            </w:pPr>
            <w:r>
              <w:rPr/>
              <w:t>Short-term consumer loan stores  free standing</w:t>
            </w:r>
          </w:p>
        </w:tc>
        <w:tc>
          <w:tcPr>
            <w:tcW w:w="32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322</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322</w:t>
            </w:r>
          </w:p>
        </w:tc>
        <w:tc>
          <w:tcPr>
            <w:tcW w:w="136" w:type="dxa"/>
            <w:tcBorders/>
            <w:shd w:fill="CCEEFF" w:val="clear"/>
            <w:vAlign w:val="bottom"/>
          </w:tcPr>
          <w:p>
            <w:pPr>
              <w:pStyle w:val="TableContents"/>
              <w:spacing w:before="0" w:after="283"/>
              <w:rPr/>
            </w:pPr>
            <w:r>
              <w:rPr/>
              <w:t> </w:t>
            </w:r>
          </w:p>
        </w:tc>
      </w:tr>
      <w:tr>
        <w:trPr/>
        <w:tc>
          <w:tcPr>
            <w:tcW w:w="3669" w:type="dxa"/>
            <w:tcBorders/>
            <w:shd w:fill="auto" w:val="clear"/>
            <w:vAlign w:val="center"/>
          </w:tcPr>
          <w:p>
            <w:pPr>
              <w:pStyle w:val="TableContents"/>
              <w:spacing w:before="0" w:after="0"/>
              <w:ind w:left="225" w:right="0" w:hanging="225"/>
              <w:rPr/>
            </w:pPr>
            <w:r>
              <w:rPr/>
              <w:t> </w:t>
            </w:r>
          </w:p>
        </w:tc>
        <w:tc>
          <w:tcPr>
            <w:tcW w:w="32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3669" w:type="dxa"/>
            <w:tcBorders/>
            <w:shd w:fill="auto" w:val="clear"/>
            <w:vAlign w:val="bottom"/>
          </w:tcPr>
          <w:p>
            <w:pPr>
              <w:pStyle w:val="TableContents"/>
              <w:spacing w:before="0" w:after="0"/>
              <w:ind w:left="450" w:right="0" w:hanging="225"/>
              <w:rPr/>
            </w:pPr>
            <w:r>
              <w:rPr/>
              <w:t>Total stores in operation</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375</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62</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473</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910</w:t>
            </w:r>
          </w:p>
        </w:tc>
        <w:tc>
          <w:tcPr>
            <w:tcW w:w="136" w:type="dxa"/>
            <w:tcBorders/>
            <w:shd w:fill="auto" w:val="clear"/>
            <w:vAlign w:val="bottom"/>
          </w:tcPr>
          <w:p>
            <w:pPr>
              <w:pStyle w:val="TableContents"/>
              <w:spacing w:before="0" w:after="283"/>
              <w:rPr/>
            </w:pPr>
            <w:r>
              <w:rPr/>
              <w:t> </w:t>
            </w:r>
          </w:p>
        </w:tc>
      </w:tr>
      <w:tr>
        <w:trPr/>
        <w:tc>
          <w:tcPr>
            <w:tcW w:w="3669" w:type="dxa"/>
            <w:tcBorders/>
            <w:shd w:fill="auto" w:val="clear"/>
            <w:vAlign w:val="center"/>
          </w:tcPr>
          <w:p>
            <w:pPr>
              <w:pStyle w:val="TableContents"/>
              <w:spacing w:before="0" w:after="0"/>
              <w:ind w:left="225" w:right="0" w:hanging="225"/>
              <w:rPr/>
            </w:pPr>
            <w:r>
              <w:rPr/>
              <w:t> </w:t>
            </w:r>
          </w:p>
        </w:tc>
        <w:tc>
          <w:tcPr>
            <w:tcW w:w="325"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3669" w:type="dxa"/>
            <w:tcBorders/>
            <w:shd w:fill="auto" w:val="clear"/>
            <w:vAlign w:val="bottom"/>
          </w:tcPr>
          <w:p>
            <w:pPr>
              <w:pStyle w:val="TableContents"/>
              <w:spacing w:before="0" w:after="0"/>
              <w:ind w:left="225" w:right="0" w:hanging="225"/>
              <w:rPr/>
            </w:pPr>
            <w:r>
              <w:rPr/>
              <w:t> </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3669" w:type="dxa"/>
            <w:tcBorders/>
            <w:shd w:fill="CCEEFF" w:val="clear"/>
            <w:vAlign w:val="bottom"/>
          </w:tcPr>
          <w:p>
            <w:pPr>
              <w:pStyle w:val="TableContents"/>
              <w:spacing w:before="0" w:after="0"/>
              <w:ind w:left="450" w:right="0" w:hanging="225"/>
              <w:rPr/>
            </w:pPr>
            <w:r>
              <w:rPr/>
              <w:t>Stores offering payday loans (including credit services)</w:t>
            </w:r>
          </w:p>
        </w:tc>
        <w:tc>
          <w:tcPr>
            <w:tcW w:w="32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82</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473</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555</w:t>
            </w:r>
          </w:p>
        </w:tc>
        <w:tc>
          <w:tcPr>
            <w:tcW w:w="136" w:type="dxa"/>
            <w:tcBorders/>
            <w:shd w:fill="CCEEFF" w:val="clear"/>
            <w:vAlign w:val="bottom"/>
          </w:tcPr>
          <w:p>
            <w:pPr>
              <w:pStyle w:val="TableContents"/>
              <w:spacing w:before="0" w:after="283"/>
              <w:rPr/>
            </w:pPr>
            <w:r>
              <w:rPr/>
              <w:t> </w:t>
            </w:r>
          </w:p>
        </w:tc>
      </w:tr>
      <w:tr>
        <w:trPr/>
        <w:tc>
          <w:tcPr>
            <w:tcW w:w="3669" w:type="dxa"/>
            <w:tcBorders/>
            <w:shd w:fill="auto" w:val="clear"/>
            <w:vAlign w:val="bottom"/>
          </w:tcPr>
          <w:p>
            <w:pPr>
              <w:pStyle w:val="TableContents"/>
              <w:spacing w:before="0" w:after="0"/>
              <w:ind w:left="450" w:right="0" w:hanging="225"/>
              <w:rPr/>
            </w:pPr>
            <w:r>
              <w:rPr/>
              <w:t>Stores offering installment loans (including credit services)</w:t>
            </w:r>
          </w:p>
        </w:tc>
        <w:tc>
          <w:tcPr>
            <w:tcW w:w="3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194</w:t>
            </w:r>
          </w:p>
        </w:tc>
        <w:tc>
          <w:tcPr>
            <w:tcW w:w="16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194</w:t>
            </w:r>
          </w:p>
        </w:tc>
        <w:tc>
          <w:tcPr>
            <w:tcW w:w="136" w:type="dxa"/>
            <w:tcBorders/>
            <w:shd w:fill="auto" w:val="clear"/>
            <w:vAlign w:val="bottom"/>
          </w:tcPr>
          <w:p>
            <w:pPr>
              <w:pStyle w:val="TableContents"/>
              <w:spacing w:before="0" w:after="283"/>
              <w:rPr/>
            </w:pPr>
            <w:r>
              <w:rPr/>
              <w:t> </w:t>
            </w:r>
          </w:p>
        </w:tc>
      </w:tr>
      <w:tr>
        <w:trPr/>
        <w:tc>
          <w:tcPr>
            <w:tcW w:w="3669" w:type="dxa"/>
            <w:tcBorders/>
            <w:shd w:fill="CCEEFF" w:val="clear"/>
            <w:vAlign w:val="bottom"/>
          </w:tcPr>
          <w:p>
            <w:pPr>
              <w:pStyle w:val="TableContents"/>
              <w:spacing w:before="0" w:after="0"/>
              <w:ind w:left="450" w:right="0" w:hanging="225"/>
              <w:rPr/>
            </w:pPr>
            <w:r>
              <w:rPr/>
              <w:t>Stores offering auto title loans (including credit services)</w:t>
            </w:r>
          </w:p>
        </w:tc>
        <w:tc>
          <w:tcPr>
            <w:tcW w:w="32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68</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263</w:t>
            </w:r>
          </w:p>
        </w:tc>
        <w:tc>
          <w:tcPr>
            <w:tcW w:w="16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331</w:t>
            </w:r>
          </w:p>
        </w:tc>
        <w:tc>
          <w:tcPr>
            <w:tcW w:w="136"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67"/>
        <w:gridCol w:w="324"/>
        <w:gridCol w:w="163"/>
        <w:gridCol w:w="966"/>
        <w:gridCol w:w="125"/>
        <w:gridCol w:w="348"/>
        <w:gridCol w:w="170"/>
        <w:gridCol w:w="779"/>
        <w:gridCol w:w="125"/>
        <w:gridCol w:w="347"/>
        <w:gridCol w:w="180"/>
        <w:gridCol w:w="1073"/>
        <w:gridCol w:w="164"/>
        <w:gridCol w:w="348"/>
        <w:gridCol w:w="184"/>
        <w:gridCol w:w="1103"/>
        <w:gridCol w:w="139"/>
      </w:tblGrid>
      <w:tr>
        <w:trPr/>
        <w:tc>
          <w:tcPr>
            <w:tcW w:w="3667"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7"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6075" w:type="dxa"/>
            <w:gridSpan w:val="14"/>
            <w:tcBorders>
              <w:bottom w:val="single" w:sz="2" w:space="0" w:color="000000"/>
            </w:tcBorders>
            <w:shd w:fill="auto" w:val="clear"/>
            <w:tcMar>
              <w:bottom w:w="28" w:type="dxa"/>
            </w:tcMar>
            <w:vAlign w:val="bottom"/>
          </w:tcPr>
          <w:p>
            <w:pPr>
              <w:pStyle w:val="TableContents"/>
              <w:spacing w:before="0" w:after="283"/>
              <w:jc w:val="center"/>
              <w:rPr/>
            </w:pPr>
            <w:r>
              <w:rPr/>
              <w:t>Year Ended September 30, 2008</w:t>
            </w:r>
          </w:p>
        </w:tc>
        <w:tc>
          <w:tcPr>
            <w:tcW w:w="139" w:type="dxa"/>
            <w:tcBorders/>
            <w:shd w:fill="auto" w:val="clear"/>
            <w:vAlign w:val="bottom"/>
          </w:tcPr>
          <w:p>
            <w:pPr>
              <w:pStyle w:val="TableContents"/>
              <w:spacing w:before="0" w:after="283"/>
              <w:rPr/>
            </w:pPr>
            <w:r>
              <w:rPr/>
              <w:t> </w:t>
            </w:r>
          </w:p>
        </w:tc>
      </w:tr>
      <w:tr>
        <w:trPr/>
        <w:tc>
          <w:tcPr>
            <w:tcW w:w="3667"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jc w:val="center"/>
              <w:rPr/>
            </w:pPr>
            <w:r>
              <w:rPr/>
              <w:t>U.S. Pawn</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49" w:type="dxa"/>
            <w:gridSpan w:val="2"/>
            <w:tcBorders/>
            <w:shd w:fill="auto" w:val="clear"/>
            <w:vAlign w:val="bottom"/>
          </w:tcPr>
          <w:p>
            <w:pPr>
              <w:pStyle w:val="TableContents"/>
              <w:spacing w:before="0" w:after="283"/>
              <w:jc w:val="center"/>
              <w:rPr/>
            </w:pPr>
            <w:r>
              <w:rPr/>
              <w:t>Empeño</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3" w:type="dxa"/>
            <w:gridSpan w:val="2"/>
            <w:tcBorders/>
            <w:shd w:fill="auto" w:val="clear"/>
            <w:vAlign w:val="bottom"/>
          </w:tcPr>
          <w:p>
            <w:pPr>
              <w:pStyle w:val="TableContents"/>
              <w:spacing w:before="0" w:after="283"/>
              <w:jc w:val="center"/>
              <w:rPr/>
            </w:pPr>
            <w:r>
              <w:rPr/>
              <w:t>EZMONEY</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center"/>
              <w:rPr/>
            </w:pPr>
            <w:r>
              <w:rPr/>
              <w:t> </w:t>
            </w:r>
          </w:p>
        </w:tc>
        <w:tc>
          <w:tcPr>
            <w:tcW w:w="139" w:type="dxa"/>
            <w:tcBorders/>
            <w:shd w:fill="auto" w:val="clear"/>
            <w:vAlign w:val="bottom"/>
          </w:tcPr>
          <w:p>
            <w:pPr>
              <w:pStyle w:val="TableContents"/>
              <w:spacing w:before="0" w:after="283"/>
              <w:rPr/>
            </w:pPr>
            <w:r>
              <w:rPr/>
              <w:t> </w:t>
            </w:r>
          </w:p>
        </w:tc>
      </w:tr>
      <w:tr>
        <w:trPr/>
        <w:tc>
          <w:tcPr>
            <w:tcW w:w="3667"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2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49"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3"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39" w:type="dxa"/>
            <w:tcBorders/>
            <w:shd w:fill="auto" w:val="clear"/>
            <w:vAlign w:val="bottom"/>
          </w:tcPr>
          <w:p>
            <w:pPr>
              <w:pStyle w:val="TableContents"/>
              <w:spacing w:before="0" w:after="283"/>
              <w:rPr/>
            </w:pPr>
            <w:r>
              <w:rPr/>
              <w:t> </w:t>
            </w:r>
          </w:p>
        </w:tc>
      </w:tr>
      <w:tr>
        <w:trPr/>
        <w:tc>
          <w:tcPr>
            <w:tcW w:w="3667" w:type="dxa"/>
            <w:tcBorders/>
            <w:shd w:fill="CCEEFF" w:val="clear"/>
            <w:vAlign w:val="bottom"/>
          </w:tcPr>
          <w:p>
            <w:pPr>
              <w:pStyle w:val="TableContents"/>
              <w:spacing w:before="0" w:after="0"/>
              <w:ind w:left="225" w:right="0" w:hanging="225"/>
              <w:rPr/>
            </w:pPr>
            <w:r>
              <w:rPr/>
              <w:t>Stores in operation:</w:t>
            </w:r>
          </w:p>
        </w:tc>
        <w:tc>
          <w:tcPr>
            <w:tcW w:w="32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3667" w:type="dxa"/>
            <w:tcBorders/>
            <w:shd w:fill="auto" w:val="clear"/>
            <w:vAlign w:val="bottom"/>
          </w:tcPr>
          <w:p>
            <w:pPr>
              <w:pStyle w:val="TableContents"/>
              <w:spacing w:before="0" w:after="0"/>
              <w:ind w:left="450" w:right="0" w:hanging="225"/>
              <w:rPr/>
            </w:pPr>
            <w:r>
              <w:rPr/>
              <w:t>Beginning of period</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300</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4</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427</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731</w:t>
            </w:r>
          </w:p>
        </w:tc>
        <w:tc>
          <w:tcPr>
            <w:tcW w:w="139" w:type="dxa"/>
            <w:tcBorders/>
            <w:shd w:fill="auto" w:val="clear"/>
            <w:vAlign w:val="bottom"/>
          </w:tcPr>
          <w:p>
            <w:pPr>
              <w:pStyle w:val="TableContents"/>
              <w:spacing w:before="0" w:after="283"/>
              <w:rPr/>
            </w:pPr>
            <w:r>
              <w:rPr/>
              <w:t> </w:t>
            </w:r>
          </w:p>
        </w:tc>
      </w:tr>
      <w:tr>
        <w:trPr/>
        <w:tc>
          <w:tcPr>
            <w:tcW w:w="3667" w:type="dxa"/>
            <w:tcBorders/>
            <w:shd w:fill="CCEEFF" w:val="clear"/>
            <w:vAlign w:val="bottom"/>
          </w:tcPr>
          <w:p>
            <w:pPr>
              <w:pStyle w:val="TableContents"/>
              <w:spacing w:before="0" w:after="0"/>
              <w:ind w:left="450" w:right="0" w:hanging="225"/>
              <w:rPr/>
            </w:pPr>
            <w:r>
              <w:rPr/>
              <w:t>New openings</w:t>
            </w:r>
          </w:p>
        </w:tc>
        <w:tc>
          <w:tcPr>
            <w:tcW w:w="32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14</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66</w:t>
            </w:r>
          </w:p>
        </w:tc>
        <w:tc>
          <w:tcPr>
            <w:tcW w:w="16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80</w:t>
            </w:r>
          </w:p>
        </w:tc>
        <w:tc>
          <w:tcPr>
            <w:tcW w:w="139" w:type="dxa"/>
            <w:tcBorders/>
            <w:shd w:fill="CCEEFF" w:val="clear"/>
            <w:vAlign w:val="bottom"/>
          </w:tcPr>
          <w:p>
            <w:pPr>
              <w:pStyle w:val="TableContents"/>
              <w:spacing w:before="0" w:after="283"/>
              <w:rPr/>
            </w:pPr>
            <w:r>
              <w:rPr/>
              <w:t> </w:t>
            </w:r>
          </w:p>
        </w:tc>
      </w:tr>
      <w:tr>
        <w:trPr/>
        <w:tc>
          <w:tcPr>
            <w:tcW w:w="3667" w:type="dxa"/>
            <w:tcBorders/>
            <w:shd w:fill="auto" w:val="clear"/>
            <w:vAlign w:val="bottom"/>
          </w:tcPr>
          <w:p>
            <w:pPr>
              <w:pStyle w:val="TableContents"/>
              <w:spacing w:before="0" w:after="0"/>
              <w:ind w:left="450" w:right="0" w:hanging="225"/>
              <w:rPr/>
            </w:pPr>
            <w:r>
              <w:rPr/>
              <w:t>Acquired</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20</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20</w:t>
            </w:r>
          </w:p>
        </w:tc>
        <w:tc>
          <w:tcPr>
            <w:tcW w:w="139" w:type="dxa"/>
            <w:tcBorders/>
            <w:shd w:fill="auto" w:val="clear"/>
            <w:vAlign w:val="bottom"/>
          </w:tcPr>
          <w:p>
            <w:pPr>
              <w:pStyle w:val="TableContents"/>
              <w:spacing w:before="0" w:after="283"/>
              <w:rPr/>
            </w:pPr>
            <w:r>
              <w:rPr/>
              <w:t> </w:t>
            </w:r>
          </w:p>
        </w:tc>
      </w:tr>
      <w:tr>
        <w:trPr/>
        <w:tc>
          <w:tcPr>
            <w:tcW w:w="3667" w:type="dxa"/>
            <w:tcBorders/>
            <w:shd w:fill="CCEEFF" w:val="clear"/>
            <w:vAlign w:val="bottom"/>
          </w:tcPr>
          <w:p>
            <w:pPr>
              <w:pStyle w:val="TableContents"/>
              <w:spacing w:before="0" w:after="0"/>
              <w:ind w:left="450" w:right="0" w:hanging="225"/>
              <w:rPr/>
            </w:pPr>
            <w:r>
              <w:rPr/>
              <w:t>Sold, combined, or closed</w:t>
            </w:r>
          </w:p>
        </w:tc>
        <w:tc>
          <w:tcPr>
            <w:tcW w:w="32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pPr>
            <w:r>
              <w:rPr/>
              <w:t>(22</w:t>
            </w:r>
          </w:p>
        </w:tc>
        <w:tc>
          <w:tcPr>
            <w:tcW w:w="164"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(22</w:t>
            </w:r>
          </w:p>
        </w:tc>
        <w:tc>
          <w:tcPr>
            <w:tcW w:w="139" w:type="dxa"/>
            <w:tcBorders/>
            <w:shd w:fill="CCEEFF" w:val="clear"/>
            <w:vAlign w:val="bottom"/>
          </w:tcPr>
          <w:p>
            <w:pPr>
              <w:pStyle w:val="TableContents"/>
              <w:spacing w:before="0" w:after="283"/>
              <w:rPr/>
            </w:pPr>
            <w:r>
              <w:rPr/>
              <w:t>)</w:t>
            </w:r>
          </w:p>
        </w:tc>
      </w:tr>
      <w:tr>
        <w:trPr/>
        <w:tc>
          <w:tcPr>
            <w:tcW w:w="3667"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4"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667" w:type="dxa"/>
            <w:tcBorders/>
            <w:shd w:fill="auto" w:val="clear"/>
            <w:vAlign w:val="bottom"/>
          </w:tcPr>
          <w:p>
            <w:pPr>
              <w:pStyle w:val="TableContents"/>
              <w:spacing w:before="0" w:after="0"/>
              <w:ind w:left="450" w:right="0" w:hanging="225"/>
              <w:rPr/>
            </w:pPr>
            <w:r>
              <w:rPr/>
              <w:t>End of period</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300</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38</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471</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809</w:t>
            </w:r>
          </w:p>
        </w:tc>
        <w:tc>
          <w:tcPr>
            <w:tcW w:w="139" w:type="dxa"/>
            <w:tcBorders/>
            <w:shd w:fill="auto" w:val="clear"/>
            <w:vAlign w:val="bottom"/>
          </w:tcPr>
          <w:p>
            <w:pPr>
              <w:pStyle w:val="TableContents"/>
              <w:spacing w:before="0" w:after="283"/>
              <w:rPr/>
            </w:pPr>
            <w:r>
              <w:rPr/>
              <w:t> </w:t>
            </w:r>
          </w:p>
        </w:tc>
      </w:tr>
      <w:tr>
        <w:trPr/>
        <w:tc>
          <w:tcPr>
            <w:tcW w:w="3667"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4"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667" w:type="dxa"/>
            <w:tcBorders/>
            <w:shd w:fill="auto" w:val="clear"/>
            <w:vAlign w:val="bottom"/>
          </w:tcPr>
          <w:p>
            <w:pPr>
              <w:pStyle w:val="TableContents"/>
              <w:spacing w:before="0" w:after="0"/>
              <w:ind w:left="225" w:right="0" w:hanging="225"/>
              <w:rPr/>
            </w:pPr>
            <w:r>
              <w:rPr/>
              <w:t> </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7" w:type="dxa"/>
            <w:tcBorders/>
            <w:shd w:fill="CCEEFF" w:val="clear"/>
            <w:vAlign w:val="bottom"/>
          </w:tcPr>
          <w:p>
            <w:pPr>
              <w:pStyle w:val="TableContents"/>
              <w:spacing w:before="0" w:after="0"/>
              <w:ind w:left="225" w:right="0" w:hanging="225"/>
              <w:rPr/>
            </w:pPr>
            <w:r>
              <w:rPr/>
              <w:t>Average number of stores during the period</w:t>
            </w:r>
          </w:p>
        </w:tc>
        <w:tc>
          <w:tcPr>
            <w:tcW w:w="32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300</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26</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449</w:t>
            </w:r>
          </w:p>
        </w:tc>
        <w:tc>
          <w:tcPr>
            <w:tcW w:w="16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775</w:t>
            </w:r>
          </w:p>
        </w:tc>
        <w:tc>
          <w:tcPr>
            <w:tcW w:w="139" w:type="dxa"/>
            <w:tcBorders/>
            <w:shd w:fill="CCEEFF" w:val="clear"/>
            <w:vAlign w:val="bottom"/>
          </w:tcPr>
          <w:p>
            <w:pPr>
              <w:pStyle w:val="TableContents"/>
              <w:spacing w:before="0" w:after="283"/>
              <w:rPr/>
            </w:pPr>
            <w:r>
              <w:rPr/>
              <w:t> </w:t>
            </w:r>
          </w:p>
        </w:tc>
      </w:tr>
      <w:tr>
        <w:trPr/>
        <w:tc>
          <w:tcPr>
            <w:tcW w:w="3667" w:type="dxa"/>
            <w:tcBorders/>
            <w:shd w:fill="auto" w:val="clear"/>
            <w:vAlign w:val="bottom"/>
          </w:tcPr>
          <w:p>
            <w:pPr>
              <w:pStyle w:val="TableContents"/>
              <w:spacing w:before="0" w:after="0"/>
              <w:ind w:left="225" w:right="0" w:hanging="225"/>
              <w:rPr/>
            </w:pPr>
            <w:r>
              <w:rPr/>
              <w:t> </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7" w:type="dxa"/>
            <w:tcBorders/>
            <w:shd w:fill="auto" w:val="clear"/>
            <w:vAlign w:val="bottom"/>
          </w:tcPr>
          <w:p>
            <w:pPr>
              <w:pStyle w:val="TableContents"/>
              <w:spacing w:before="0" w:after="0"/>
              <w:ind w:left="225" w:right="0" w:hanging="225"/>
              <w:rPr/>
            </w:pPr>
            <w:r>
              <w:rPr/>
              <w:t>Composition of ending stores:</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7" w:type="dxa"/>
            <w:tcBorders/>
            <w:shd w:fill="CCEEFF" w:val="clear"/>
            <w:vAlign w:val="bottom"/>
          </w:tcPr>
          <w:p>
            <w:pPr>
              <w:pStyle w:val="TableContents"/>
              <w:spacing w:before="0" w:after="0"/>
              <w:ind w:left="450" w:right="0" w:hanging="225"/>
              <w:rPr/>
            </w:pPr>
            <w:r>
              <w:rPr/>
              <w:t>Pawn</w:t>
            </w:r>
          </w:p>
        </w:tc>
        <w:tc>
          <w:tcPr>
            <w:tcW w:w="32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294</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38</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w:t>
            </w:r>
          </w:p>
        </w:tc>
        <w:tc>
          <w:tcPr>
            <w:tcW w:w="16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332</w:t>
            </w:r>
          </w:p>
        </w:tc>
        <w:tc>
          <w:tcPr>
            <w:tcW w:w="139" w:type="dxa"/>
            <w:tcBorders/>
            <w:shd w:fill="CCEEFF" w:val="clear"/>
            <w:vAlign w:val="bottom"/>
          </w:tcPr>
          <w:p>
            <w:pPr>
              <w:pStyle w:val="TableContents"/>
              <w:spacing w:before="0" w:after="283"/>
              <w:rPr/>
            </w:pPr>
            <w:r>
              <w:rPr/>
              <w:t> </w:t>
            </w:r>
          </w:p>
        </w:tc>
      </w:tr>
      <w:tr>
        <w:trPr/>
        <w:tc>
          <w:tcPr>
            <w:tcW w:w="3667" w:type="dxa"/>
            <w:tcBorders/>
            <w:shd w:fill="auto" w:val="clear"/>
            <w:vAlign w:val="bottom"/>
          </w:tcPr>
          <w:p>
            <w:pPr>
              <w:pStyle w:val="TableContents"/>
              <w:spacing w:before="0" w:after="0"/>
              <w:ind w:left="450" w:right="0" w:hanging="225"/>
              <w:rPr/>
            </w:pPr>
            <w:r>
              <w:rPr/>
              <w:t>Short-term consumer loan stores adjoining U.S. pawn stores</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6</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152</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158</w:t>
            </w:r>
          </w:p>
        </w:tc>
        <w:tc>
          <w:tcPr>
            <w:tcW w:w="139" w:type="dxa"/>
            <w:tcBorders/>
            <w:shd w:fill="auto" w:val="clear"/>
            <w:vAlign w:val="bottom"/>
          </w:tcPr>
          <w:p>
            <w:pPr>
              <w:pStyle w:val="TableContents"/>
              <w:spacing w:before="0" w:after="283"/>
              <w:rPr/>
            </w:pPr>
            <w:r>
              <w:rPr/>
              <w:t> </w:t>
            </w:r>
          </w:p>
        </w:tc>
      </w:tr>
      <w:tr>
        <w:trPr/>
        <w:tc>
          <w:tcPr>
            <w:tcW w:w="3667" w:type="dxa"/>
            <w:tcBorders/>
            <w:shd w:fill="CCEEFF" w:val="clear"/>
            <w:vAlign w:val="bottom"/>
          </w:tcPr>
          <w:p>
            <w:pPr>
              <w:pStyle w:val="TableContents"/>
              <w:spacing w:before="0" w:after="0"/>
              <w:ind w:left="450" w:right="0" w:hanging="225"/>
              <w:rPr/>
            </w:pPr>
            <w:r>
              <w:rPr/>
              <w:t>Short-term consumer loan stores  free standing</w:t>
            </w:r>
          </w:p>
        </w:tc>
        <w:tc>
          <w:tcPr>
            <w:tcW w:w="32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319</w:t>
            </w:r>
          </w:p>
        </w:tc>
        <w:tc>
          <w:tcPr>
            <w:tcW w:w="16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319</w:t>
            </w:r>
          </w:p>
        </w:tc>
        <w:tc>
          <w:tcPr>
            <w:tcW w:w="139" w:type="dxa"/>
            <w:tcBorders/>
            <w:shd w:fill="CCEEFF" w:val="clear"/>
            <w:vAlign w:val="bottom"/>
          </w:tcPr>
          <w:p>
            <w:pPr>
              <w:pStyle w:val="TableContents"/>
              <w:spacing w:before="0" w:after="283"/>
              <w:rPr/>
            </w:pPr>
            <w:r>
              <w:rPr/>
              <w:t> </w:t>
            </w:r>
          </w:p>
        </w:tc>
      </w:tr>
      <w:tr>
        <w:trPr/>
        <w:tc>
          <w:tcPr>
            <w:tcW w:w="3667"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4"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667" w:type="dxa"/>
            <w:tcBorders/>
            <w:shd w:fill="auto" w:val="clear"/>
            <w:vAlign w:val="bottom"/>
          </w:tcPr>
          <w:p>
            <w:pPr>
              <w:pStyle w:val="TableContents"/>
              <w:spacing w:before="0" w:after="0"/>
              <w:ind w:left="450" w:right="0" w:hanging="225"/>
              <w:rPr/>
            </w:pPr>
            <w:r>
              <w:rPr/>
              <w:t>Total stores in operation</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300</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38</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471</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809</w:t>
            </w:r>
          </w:p>
        </w:tc>
        <w:tc>
          <w:tcPr>
            <w:tcW w:w="139" w:type="dxa"/>
            <w:tcBorders/>
            <w:shd w:fill="auto" w:val="clear"/>
            <w:vAlign w:val="bottom"/>
          </w:tcPr>
          <w:p>
            <w:pPr>
              <w:pStyle w:val="TableContents"/>
              <w:spacing w:before="0" w:after="283"/>
              <w:rPr/>
            </w:pPr>
            <w:r>
              <w:rPr/>
              <w:t> </w:t>
            </w:r>
          </w:p>
        </w:tc>
      </w:tr>
      <w:tr>
        <w:trPr/>
        <w:tc>
          <w:tcPr>
            <w:tcW w:w="3667" w:type="dxa"/>
            <w:tcBorders/>
            <w:shd w:fill="auto" w:val="clear"/>
            <w:vAlign w:val="center"/>
          </w:tcPr>
          <w:p>
            <w:pPr>
              <w:pStyle w:val="TableContents"/>
              <w:spacing w:before="0" w:after="0"/>
              <w:ind w:left="225" w:right="0" w:hanging="225"/>
              <w:rPr/>
            </w:pPr>
            <w:r>
              <w:rPr/>
              <w:t> </w:t>
            </w:r>
          </w:p>
        </w:tc>
        <w:tc>
          <w:tcPr>
            <w:tcW w:w="324" w:type="dxa"/>
            <w:tcBorders/>
            <w:shd w:fill="auto" w:val="clear"/>
            <w:vAlign w:val="center"/>
          </w:tcPr>
          <w:p>
            <w:pPr>
              <w:pStyle w:val="TableContents"/>
              <w:spacing w:before="0" w:after="283"/>
              <w:rPr/>
            </w:pPr>
            <w:r>
              <w:rPr/>
              <w:t> </w:t>
            </w:r>
          </w:p>
        </w:tc>
        <w:tc>
          <w:tcPr>
            <w:tcW w:w="11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2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4"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667" w:type="dxa"/>
            <w:tcBorders/>
            <w:shd w:fill="auto" w:val="clear"/>
            <w:vAlign w:val="bottom"/>
          </w:tcPr>
          <w:p>
            <w:pPr>
              <w:pStyle w:val="TableContents"/>
              <w:spacing w:before="0" w:after="0"/>
              <w:ind w:left="225" w:right="0" w:hanging="225"/>
              <w:rPr/>
            </w:pPr>
            <w:r>
              <w:rPr/>
              <w:t> </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667" w:type="dxa"/>
            <w:tcBorders/>
            <w:shd w:fill="CCEEFF" w:val="clear"/>
            <w:vAlign w:val="bottom"/>
          </w:tcPr>
          <w:p>
            <w:pPr>
              <w:pStyle w:val="TableContents"/>
              <w:spacing w:before="0" w:after="0"/>
              <w:ind w:left="450" w:right="0" w:hanging="225"/>
              <w:rPr/>
            </w:pPr>
            <w:r>
              <w:rPr/>
              <w:t>Stores offering payday loans (including credit services)</w:t>
            </w:r>
          </w:p>
        </w:tc>
        <w:tc>
          <w:tcPr>
            <w:tcW w:w="32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77</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471</w:t>
            </w:r>
          </w:p>
        </w:tc>
        <w:tc>
          <w:tcPr>
            <w:tcW w:w="16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548</w:t>
            </w:r>
          </w:p>
        </w:tc>
        <w:tc>
          <w:tcPr>
            <w:tcW w:w="139" w:type="dxa"/>
            <w:tcBorders/>
            <w:shd w:fill="CCEEFF" w:val="clear"/>
            <w:vAlign w:val="bottom"/>
          </w:tcPr>
          <w:p>
            <w:pPr>
              <w:pStyle w:val="TableContents"/>
              <w:spacing w:before="0" w:after="283"/>
              <w:rPr/>
            </w:pPr>
            <w:r>
              <w:rPr/>
              <w:t> </w:t>
            </w:r>
          </w:p>
        </w:tc>
      </w:tr>
      <w:tr>
        <w:trPr/>
        <w:tc>
          <w:tcPr>
            <w:tcW w:w="3667" w:type="dxa"/>
            <w:tcBorders/>
            <w:shd w:fill="auto" w:val="clear"/>
            <w:vAlign w:val="bottom"/>
          </w:tcPr>
          <w:p>
            <w:pPr>
              <w:pStyle w:val="TableContents"/>
              <w:spacing w:before="0" w:after="0"/>
              <w:ind w:left="450" w:right="0" w:hanging="225"/>
              <w:rPr/>
            </w:pPr>
            <w:r>
              <w:rPr/>
              <w:t>Stores offering installment loans (including credit services)</w:t>
            </w:r>
          </w:p>
        </w:tc>
        <w:tc>
          <w:tcPr>
            <w:tcW w:w="32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90</w:t>
            </w:r>
          </w:p>
        </w:tc>
        <w:tc>
          <w:tcPr>
            <w:tcW w:w="16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90</w:t>
            </w:r>
          </w:p>
        </w:tc>
        <w:tc>
          <w:tcPr>
            <w:tcW w:w="139" w:type="dxa"/>
            <w:tcBorders/>
            <w:shd w:fill="auto" w:val="clear"/>
            <w:vAlign w:val="bottom"/>
          </w:tcPr>
          <w:p>
            <w:pPr>
              <w:pStyle w:val="TableContents"/>
              <w:spacing w:before="0" w:after="283"/>
              <w:rPr/>
            </w:pPr>
            <w:r>
              <w:rPr/>
              <w:t> </w:t>
            </w:r>
          </w:p>
        </w:tc>
      </w:tr>
      <w:tr>
        <w:trPr/>
        <w:tc>
          <w:tcPr>
            <w:tcW w:w="3667" w:type="dxa"/>
            <w:tcBorders/>
            <w:shd w:fill="CCEEFF" w:val="clear"/>
            <w:vAlign w:val="bottom"/>
          </w:tcPr>
          <w:p>
            <w:pPr>
              <w:pStyle w:val="TableContents"/>
              <w:spacing w:before="0" w:after="0"/>
              <w:ind w:left="450" w:right="0" w:hanging="225"/>
              <w:rPr/>
            </w:pPr>
            <w:r>
              <w:rPr/>
              <w:t>Stores offering auto title loans (including credit services)</w:t>
            </w:r>
          </w:p>
        </w:tc>
        <w:tc>
          <w:tcPr>
            <w:tcW w:w="32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w:t>
            </w:r>
          </w:p>
        </w:tc>
        <w:tc>
          <w:tcPr>
            <w:tcW w:w="16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pawn service charge revenues on our pawn lending. While allowable service charges vary by state and loan size, a majority of our U.S. pawn loans earn 20% per month. Our average U.S. pawn loan amount typically ranges between $80 and $120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pawn stores, we acquire inventory for retail sales through pawn loan forfeitures and, to a lesser extent, through purchases of customers merchandise and purchases of new or refurbished merchandise from third party vendors. The gross profit on sales of inventory depends primarily on our assessment of the loan or purchase value at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time the property is either accepted as loan collateral or purchased. Improper value assessment in the lending or purchasing process can result in lower margins or reduced marketability of the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One indicator of lower marketability is how long we have held the inventory. The table below summarizes the age of our inventory and the related valuation allowance on a consolidated basis: </w:t>
      </w:r>
    </w:p>
    <w:tbl>
      <w:tblPr>
        <w:tblW w:w="10761" w:type="dxa"/>
        <w:jc w:val="center"/>
        <w:tblInd w:w="0" w:type="dxa"/>
        <w:tblCellMar>
          <w:top w:w="0" w:type="dxa"/>
          <w:left w:w="0" w:type="dxa"/>
          <w:bottom w:w="0" w:type="dxa"/>
          <w:right w:w="0" w:type="dxa"/>
        </w:tblCellMar>
      </w:tblPr>
      <w:tblGrid>
        <w:gridCol w:w="3875"/>
        <w:gridCol w:w="60"/>
        <w:gridCol w:w="168"/>
        <w:gridCol w:w="820"/>
        <w:gridCol w:w="114"/>
        <w:gridCol w:w="72"/>
        <w:gridCol w:w="74"/>
        <w:gridCol w:w="698"/>
        <w:gridCol w:w="298"/>
        <w:gridCol w:w="61"/>
        <w:gridCol w:w="172"/>
        <w:gridCol w:w="847"/>
        <w:gridCol w:w="114"/>
        <w:gridCol w:w="72"/>
        <w:gridCol w:w="72"/>
        <w:gridCol w:w="679"/>
        <w:gridCol w:w="290"/>
        <w:gridCol w:w="60"/>
        <w:gridCol w:w="168"/>
        <w:gridCol w:w="820"/>
        <w:gridCol w:w="114"/>
        <w:gridCol w:w="72"/>
        <w:gridCol w:w="72"/>
        <w:gridCol w:w="679"/>
        <w:gridCol w:w="290"/>
      </w:tblGrid>
      <w:tr>
        <w:trPr/>
        <w:tc>
          <w:tcPr>
            <w:tcW w:w="38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38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46"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29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956"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2009</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25"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2008</w:t>
            </w:r>
          </w:p>
        </w:tc>
        <w:tc>
          <w:tcPr>
            <w:tcW w:w="290" w:type="dxa"/>
            <w:tcBorders/>
            <w:shd w:fill="auto" w:val="clear"/>
            <w:vAlign w:val="bottom"/>
          </w:tcPr>
          <w:p>
            <w:pPr>
              <w:pStyle w:val="TableContents"/>
              <w:spacing w:before="0" w:after="283"/>
              <w:rPr/>
            </w:pPr>
            <w:r>
              <w:rPr/>
              <w:t> </w:t>
            </w:r>
          </w:p>
        </w:tc>
      </w:tr>
      <w:tr>
        <w:trPr/>
        <w:tc>
          <w:tcPr>
            <w:tcW w:w="38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72" w:type="dxa"/>
            <w:gridSpan w:val="2"/>
            <w:tcBorders>
              <w:bottom w:val="single" w:sz="2" w:space="0" w:color="000000"/>
            </w:tcBorders>
            <w:shd w:fill="auto" w:val="clear"/>
            <w:tcMar>
              <w:bottom w:w="28" w:type="dxa"/>
            </w:tcMar>
            <w:vAlign w:val="bottom"/>
          </w:tcPr>
          <w:p>
            <w:pPr>
              <w:pStyle w:val="TableContents"/>
              <w:spacing w:before="0" w:after="283"/>
              <w:jc w:val="center"/>
              <w:rPr/>
            </w:pPr>
            <w:r>
              <w:rPr/>
              <w:t>Percent</w:t>
            </w:r>
          </w:p>
        </w:tc>
        <w:tc>
          <w:tcPr>
            <w:tcW w:w="29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9"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51" w:type="dxa"/>
            <w:gridSpan w:val="2"/>
            <w:tcBorders>
              <w:bottom w:val="single" w:sz="2" w:space="0" w:color="000000"/>
            </w:tcBorders>
            <w:shd w:fill="auto" w:val="clear"/>
            <w:tcMar>
              <w:bottom w:w="28" w:type="dxa"/>
            </w:tcMar>
            <w:vAlign w:val="bottom"/>
          </w:tcPr>
          <w:p>
            <w:pPr>
              <w:pStyle w:val="TableContents"/>
              <w:spacing w:before="0" w:after="283"/>
              <w:jc w:val="center"/>
              <w:rPr/>
            </w:pPr>
            <w:r>
              <w:rPr/>
              <w:t>Percent</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51" w:type="dxa"/>
            <w:gridSpan w:val="2"/>
            <w:tcBorders>
              <w:bottom w:val="single" w:sz="2" w:space="0" w:color="000000"/>
            </w:tcBorders>
            <w:shd w:fill="auto" w:val="clear"/>
            <w:tcMar>
              <w:bottom w:w="28" w:type="dxa"/>
            </w:tcMar>
            <w:vAlign w:val="bottom"/>
          </w:tcPr>
          <w:p>
            <w:pPr>
              <w:pStyle w:val="TableContents"/>
              <w:spacing w:before="0" w:after="283"/>
              <w:jc w:val="center"/>
              <w:rPr/>
            </w:pPr>
            <w:r>
              <w:rPr/>
              <w:t>Percent</w:t>
            </w:r>
          </w:p>
        </w:tc>
        <w:tc>
          <w:tcPr>
            <w:tcW w:w="290" w:type="dxa"/>
            <w:tcBorders/>
            <w:shd w:fill="auto" w:val="clear"/>
            <w:vAlign w:val="bottom"/>
          </w:tcPr>
          <w:p>
            <w:pPr>
              <w:pStyle w:val="TableContents"/>
              <w:spacing w:before="0" w:after="283"/>
              <w:rPr/>
            </w:pPr>
            <w:r>
              <w:rPr/>
              <w:t> </w:t>
            </w:r>
          </w:p>
        </w:tc>
      </w:tr>
      <w:tr>
        <w:trPr/>
        <w:tc>
          <w:tcPr>
            <w:tcW w:w="38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150" w:type="dxa"/>
            <w:gridSpan w:val="6"/>
            <w:tcBorders/>
            <w:shd w:fill="auto" w:val="clear"/>
            <w:vAlign w:val="bottom"/>
          </w:tcPr>
          <w:p>
            <w:pPr>
              <w:pStyle w:val="TableContents"/>
              <w:spacing w:before="0" w:after="283"/>
              <w:jc w:val="center"/>
              <w:rPr>
                <w:i/>
              </w:rPr>
            </w:pPr>
            <w:r>
              <w:rPr>
                <w:i/>
              </w:rPr>
              <w:t>(Dollars in thousands)</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3875" w:type="dxa"/>
            <w:tcBorders/>
            <w:shd w:fill="CCEEFF" w:val="clear"/>
            <w:vAlign w:val="bottom"/>
          </w:tcPr>
          <w:p>
            <w:pPr>
              <w:pStyle w:val="TableContents"/>
              <w:spacing w:before="0" w:after="0"/>
              <w:ind w:left="225" w:right="0" w:hanging="225"/>
              <w:rPr/>
            </w:pPr>
            <w:r>
              <w:rPr/>
              <w:t>Jewelry:</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r>
      <w:tr>
        <w:trPr/>
        <w:tc>
          <w:tcPr>
            <w:tcW w:w="3875" w:type="dxa"/>
            <w:tcBorders/>
            <w:shd w:fill="auto" w:val="clear"/>
            <w:vAlign w:val="bottom"/>
          </w:tcPr>
          <w:p>
            <w:pPr>
              <w:pStyle w:val="TableContents"/>
              <w:spacing w:before="0" w:after="0"/>
              <w:ind w:left="450" w:right="0" w:hanging="225"/>
              <w:rPr/>
            </w:pPr>
            <w:r>
              <w:rPr/>
              <w:t>Gross inventory held one year or less</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33,649</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81.4</w:t>
            </w:r>
          </w:p>
        </w:tc>
        <w:tc>
          <w:tcPr>
            <w:tcW w:w="298"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847" w:type="dxa"/>
            <w:tcBorders/>
            <w:shd w:fill="auto" w:val="clear"/>
            <w:vAlign w:val="bottom"/>
          </w:tcPr>
          <w:p>
            <w:pPr>
              <w:pStyle w:val="TableContents"/>
              <w:spacing w:before="0" w:after="283"/>
              <w:jc w:val="right"/>
              <w:rPr/>
            </w:pPr>
            <w:r>
              <w:rPr/>
              <w:t>28,338</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78.1</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20,381</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80.3</w:t>
            </w:r>
          </w:p>
        </w:tc>
        <w:tc>
          <w:tcPr>
            <w:tcW w:w="290" w:type="dxa"/>
            <w:tcBorders/>
            <w:shd w:fill="auto" w:val="clear"/>
            <w:vAlign w:val="bottom"/>
          </w:tcPr>
          <w:p>
            <w:pPr>
              <w:pStyle w:val="TableContents"/>
              <w:spacing w:before="0" w:after="283"/>
              <w:rPr/>
            </w:pPr>
            <w:r>
              <w:rPr/>
              <w:t>%</w:t>
            </w:r>
          </w:p>
        </w:tc>
      </w:tr>
      <w:tr>
        <w:trPr/>
        <w:tc>
          <w:tcPr>
            <w:tcW w:w="3875" w:type="dxa"/>
            <w:tcBorders/>
            <w:shd w:fill="CCEEFF" w:val="clear"/>
            <w:vAlign w:val="bottom"/>
          </w:tcPr>
          <w:p>
            <w:pPr>
              <w:pStyle w:val="TableContents"/>
              <w:spacing w:before="0" w:after="0"/>
              <w:ind w:left="450" w:right="0" w:hanging="225"/>
              <w:rPr/>
            </w:pPr>
            <w:r>
              <w:rPr/>
              <w:t>Gross inventory held more than one year</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7,705</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18.6</w:t>
            </w:r>
          </w:p>
        </w:tc>
        <w:tc>
          <w:tcPr>
            <w:tcW w:w="298"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7,953</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jc w:val="left"/>
              <w:rPr/>
            </w:pPr>
            <w:r>
              <w:rPr/>
              <w:t> </w:t>
            </w:r>
          </w:p>
        </w:tc>
        <w:tc>
          <w:tcPr>
            <w:tcW w:w="679" w:type="dxa"/>
            <w:tcBorders/>
            <w:shd w:fill="CCEEFF" w:val="clear"/>
            <w:vAlign w:val="bottom"/>
          </w:tcPr>
          <w:p>
            <w:pPr>
              <w:pStyle w:val="TableContents"/>
              <w:spacing w:before="0" w:after="283"/>
              <w:jc w:val="right"/>
              <w:rPr/>
            </w:pPr>
            <w:r>
              <w:rPr/>
              <w:t>21.9</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5,001</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jc w:val="left"/>
              <w:rPr/>
            </w:pPr>
            <w:r>
              <w:rPr/>
              <w:t> </w:t>
            </w:r>
          </w:p>
        </w:tc>
        <w:tc>
          <w:tcPr>
            <w:tcW w:w="679" w:type="dxa"/>
            <w:tcBorders/>
            <w:shd w:fill="CCEEFF" w:val="clear"/>
            <w:vAlign w:val="bottom"/>
          </w:tcPr>
          <w:p>
            <w:pPr>
              <w:pStyle w:val="TableContents"/>
              <w:spacing w:before="0" w:after="283"/>
              <w:jc w:val="right"/>
              <w:rPr/>
            </w:pPr>
            <w:r>
              <w:rPr/>
              <w:t>19.7</w:t>
            </w:r>
          </w:p>
        </w:tc>
        <w:tc>
          <w:tcPr>
            <w:tcW w:w="290" w:type="dxa"/>
            <w:tcBorders/>
            <w:shd w:fill="CCEEFF" w:val="clear"/>
            <w:vAlign w:val="bottom"/>
          </w:tcPr>
          <w:p>
            <w:pPr>
              <w:pStyle w:val="TableContents"/>
              <w:spacing w:before="0" w:after="283"/>
              <w:rPr/>
            </w:pPr>
            <w:r>
              <w:rPr/>
              <w:t>%</w:t>
            </w:r>
          </w:p>
        </w:tc>
      </w:tr>
      <w:tr>
        <w:trPr/>
        <w:tc>
          <w:tcPr>
            <w:tcW w:w="3875" w:type="dxa"/>
            <w:tcBorders/>
            <w:shd w:fill="auto" w:val="clear"/>
            <w:vAlign w:val="center"/>
          </w:tcPr>
          <w:p>
            <w:pPr>
              <w:pStyle w:val="TableContents"/>
              <w:spacing w:before="0" w:after="0"/>
              <w:ind w:left="450" w:right="0" w:hanging="225"/>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3875" w:type="dxa"/>
            <w:tcBorders/>
            <w:shd w:fill="auto" w:val="clear"/>
            <w:vAlign w:val="bottom"/>
          </w:tcPr>
          <w:p>
            <w:pPr>
              <w:pStyle w:val="TableContents"/>
              <w:spacing w:before="0" w:after="0"/>
              <w:ind w:left="675" w:right="0" w:hanging="225"/>
              <w:rPr/>
            </w:pPr>
            <w:r>
              <w:rPr/>
              <w:t>Total jewelry inventory, gross</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41,354</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100.0</w:t>
            </w:r>
          </w:p>
        </w:tc>
        <w:tc>
          <w:tcPr>
            <w:tcW w:w="298"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36,291</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100.0</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25,382</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100.0</w:t>
            </w:r>
          </w:p>
        </w:tc>
        <w:tc>
          <w:tcPr>
            <w:tcW w:w="290" w:type="dxa"/>
            <w:tcBorders/>
            <w:shd w:fill="auto" w:val="clear"/>
            <w:vAlign w:val="bottom"/>
          </w:tcPr>
          <w:p>
            <w:pPr>
              <w:pStyle w:val="TableContents"/>
              <w:spacing w:before="0" w:after="283"/>
              <w:rPr/>
            </w:pPr>
            <w:r>
              <w:rPr/>
              <w:t>%</w:t>
            </w:r>
          </w:p>
        </w:tc>
      </w:tr>
      <w:tr>
        <w:trPr/>
        <w:tc>
          <w:tcPr>
            <w:tcW w:w="387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3875" w:type="dxa"/>
            <w:tcBorders/>
            <w:shd w:fill="CCEEFF" w:val="clear"/>
            <w:vAlign w:val="bottom"/>
          </w:tcPr>
          <w:p>
            <w:pPr>
              <w:pStyle w:val="TableContents"/>
              <w:spacing w:before="0" w:after="0"/>
              <w:ind w:left="225" w:right="0" w:hanging="225"/>
              <w:rPr/>
            </w:pPr>
            <w:r>
              <w:rPr/>
              <w:t>General merchandise:</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r>
      <w:tr>
        <w:trPr/>
        <w:tc>
          <w:tcPr>
            <w:tcW w:w="3875" w:type="dxa"/>
            <w:tcBorders/>
            <w:shd w:fill="auto" w:val="clear"/>
            <w:vAlign w:val="bottom"/>
          </w:tcPr>
          <w:p>
            <w:pPr>
              <w:pStyle w:val="TableContents"/>
              <w:spacing w:before="0" w:after="0"/>
              <w:ind w:left="450" w:right="0" w:hanging="225"/>
              <w:rPr/>
            </w:pPr>
            <w:r>
              <w:rPr/>
              <w:t>Gross inventory held one year or less</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34,306</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95.7</w:t>
            </w:r>
          </w:p>
        </w:tc>
        <w:tc>
          <w:tcPr>
            <w:tcW w:w="298"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31,246</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93.5</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20,455</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93.6</w:t>
            </w:r>
          </w:p>
        </w:tc>
        <w:tc>
          <w:tcPr>
            <w:tcW w:w="290" w:type="dxa"/>
            <w:tcBorders/>
            <w:shd w:fill="auto" w:val="clear"/>
            <w:vAlign w:val="bottom"/>
          </w:tcPr>
          <w:p>
            <w:pPr>
              <w:pStyle w:val="TableContents"/>
              <w:spacing w:before="0" w:after="283"/>
              <w:rPr/>
            </w:pPr>
            <w:r>
              <w:rPr/>
              <w:t>%</w:t>
            </w:r>
          </w:p>
        </w:tc>
      </w:tr>
      <w:tr>
        <w:trPr/>
        <w:tc>
          <w:tcPr>
            <w:tcW w:w="3875" w:type="dxa"/>
            <w:tcBorders/>
            <w:shd w:fill="CCEEFF" w:val="clear"/>
            <w:vAlign w:val="bottom"/>
          </w:tcPr>
          <w:p>
            <w:pPr>
              <w:pStyle w:val="TableContents"/>
              <w:spacing w:before="0" w:after="0"/>
              <w:ind w:left="450" w:right="0" w:hanging="225"/>
              <w:rPr/>
            </w:pPr>
            <w:r>
              <w:rPr/>
              <w:t>Gross inventory held more than one year</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1,551</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4.3</w:t>
            </w:r>
          </w:p>
        </w:tc>
        <w:tc>
          <w:tcPr>
            <w:tcW w:w="298"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2,183</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jc w:val="left"/>
              <w:rPr/>
            </w:pPr>
            <w:r>
              <w:rPr/>
              <w:t> </w:t>
            </w:r>
          </w:p>
        </w:tc>
        <w:tc>
          <w:tcPr>
            <w:tcW w:w="679" w:type="dxa"/>
            <w:tcBorders/>
            <w:shd w:fill="CCEEFF" w:val="clear"/>
            <w:vAlign w:val="bottom"/>
          </w:tcPr>
          <w:p>
            <w:pPr>
              <w:pStyle w:val="TableContents"/>
              <w:spacing w:before="0" w:after="283"/>
              <w:jc w:val="right"/>
              <w:rPr/>
            </w:pPr>
            <w:r>
              <w:rPr/>
              <w:t>6.5</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1,400</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jc w:val="left"/>
              <w:rPr/>
            </w:pPr>
            <w:r>
              <w:rPr/>
              <w:t> </w:t>
            </w:r>
          </w:p>
        </w:tc>
        <w:tc>
          <w:tcPr>
            <w:tcW w:w="679" w:type="dxa"/>
            <w:tcBorders/>
            <w:shd w:fill="CCEEFF" w:val="clear"/>
            <w:vAlign w:val="bottom"/>
          </w:tcPr>
          <w:p>
            <w:pPr>
              <w:pStyle w:val="TableContents"/>
              <w:spacing w:before="0" w:after="283"/>
              <w:jc w:val="right"/>
              <w:rPr/>
            </w:pPr>
            <w:r>
              <w:rPr/>
              <w:t>6.4</w:t>
            </w:r>
          </w:p>
        </w:tc>
        <w:tc>
          <w:tcPr>
            <w:tcW w:w="290" w:type="dxa"/>
            <w:tcBorders/>
            <w:shd w:fill="CCEEFF" w:val="clear"/>
            <w:vAlign w:val="bottom"/>
          </w:tcPr>
          <w:p>
            <w:pPr>
              <w:pStyle w:val="TableContents"/>
              <w:spacing w:before="0" w:after="283"/>
              <w:rPr/>
            </w:pPr>
            <w:r>
              <w:rPr/>
              <w:t>%</w:t>
            </w:r>
          </w:p>
        </w:tc>
      </w:tr>
      <w:tr>
        <w:trPr/>
        <w:tc>
          <w:tcPr>
            <w:tcW w:w="3875" w:type="dxa"/>
            <w:tcBorders/>
            <w:shd w:fill="auto" w:val="clear"/>
            <w:vAlign w:val="center"/>
          </w:tcPr>
          <w:p>
            <w:pPr>
              <w:pStyle w:val="TableContents"/>
              <w:spacing w:before="0" w:after="0"/>
              <w:ind w:left="450" w:right="0" w:hanging="225"/>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3875" w:type="dxa"/>
            <w:tcBorders/>
            <w:shd w:fill="auto" w:val="clear"/>
            <w:vAlign w:val="bottom"/>
          </w:tcPr>
          <w:p>
            <w:pPr>
              <w:pStyle w:val="TableContents"/>
              <w:spacing w:before="0" w:after="0"/>
              <w:ind w:left="675" w:right="0" w:hanging="225"/>
              <w:rPr/>
            </w:pPr>
            <w:r>
              <w:rPr/>
              <w:t>Total general merchandise, gross</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35,857</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100.0</w:t>
            </w:r>
          </w:p>
        </w:tc>
        <w:tc>
          <w:tcPr>
            <w:tcW w:w="298"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33,429</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100.0</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21,855</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100.0</w:t>
            </w:r>
          </w:p>
        </w:tc>
        <w:tc>
          <w:tcPr>
            <w:tcW w:w="290" w:type="dxa"/>
            <w:tcBorders/>
            <w:shd w:fill="auto" w:val="clear"/>
            <w:vAlign w:val="bottom"/>
          </w:tcPr>
          <w:p>
            <w:pPr>
              <w:pStyle w:val="TableContents"/>
              <w:spacing w:before="0" w:after="283"/>
              <w:rPr/>
            </w:pPr>
            <w:r>
              <w:rPr/>
              <w:t>%</w:t>
            </w:r>
          </w:p>
        </w:tc>
      </w:tr>
      <w:tr>
        <w:trPr/>
        <w:tc>
          <w:tcPr>
            <w:tcW w:w="3875"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3875" w:type="dxa"/>
            <w:tcBorders/>
            <w:shd w:fill="CCEEFF" w:val="clear"/>
            <w:vAlign w:val="bottom"/>
          </w:tcPr>
          <w:p>
            <w:pPr>
              <w:pStyle w:val="TableContents"/>
              <w:spacing w:before="0" w:after="0"/>
              <w:ind w:left="225" w:right="0" w:hanging="225"/>
              <w:rPr/>
            </w:pPr>
            <w:r>
              <w:rPr/>
              <w:t>Total inventory:</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r>
      <w:tr>
        <w:trPr/>
        <w:tc>
          <w:tcPr>
            <w:tcW w:w="3875" w:type="dxa"/>
            <w:tcBorders/>
            <w:shd w:fill="auto" w:val="clear"/>
            <w:vAlign w:val="bottom"/>
          </w:tcPr>
          <w:p>
            <w:pPr>
              <w:pStyle w:val="TableContents"/>
              <w:spacing w:before="0" w:after="0"/>
              <w:ind w:left="450" w:right="0" w:hanging="225"/>
              <w:rPr/>
            </w:pPr>
            <w:r>
              <w:rPr/>
              <w:t>Gross inventory held one year or less</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67,955</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88.0</w:t>
            </w:r>
          </w:p>
        </w:tc>
        <w:tc>
          <w:tcPr>
            <w:tcW w:w="298"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59,584</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85.5</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40,836</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86.4</w:t>
            </w:r>
          </w:p>
        </w:tc>
        <w:tc>
          <w:tcPr>
            <w:tcW w:w="290" w:type="dxa"/>
            <w:tcBorders/>
            <w:shd w:fill="auto" w:val="clear"/>
            <w:vAlign w:val="bottom"/>
          </w:tcPr>
          <w:p>
            <w:pPr>
              <w:pStyle w:val="TableContents"/>
              <w:spacing w:before="0" w:after="283"/>
              <w:rPr/>
            </w:pPr>
            <w:r>
              <w:rPr/>
              <w:t>%</w:t>
            </w:r>
          </w:p>
        </w:tc>
      </w:tr>
      <w:tr>
        <w:trPr/>
        <w:tc>
          <w:tcPr>
            <w:tcW w:w="3875" w:type="dxa"/>
            <w:tcBorders/>
            <w:shd w:fill="CCEEFF" w:val="clear"/>
            <w:vAlign w:val="bottom"/>
          </w:tcPr>
          <w:p>
            <w:pPr>
              <w:pStyle w:val="TableContents"/>
              <w:spacing w:before="0" w:after="0"/>
              <w:ind w:left="450" w:right="0" w:hanging="225"/>
              <w:rPr/>
            </w:pPr>
            <w:r>
              <w:rPr/>
              <w:t>Gross inventory held more than one year</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9,256</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12.0</w:t>
            </w:r>
          </w:p>
        </w:tc>
        <w:tc>
          <w:tcPr>
            <w:tcW w:w="298"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10,136</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jc w:val="left"/>
              <w:rPr/>
            </w:pPr>
            <w:r>
              <w:rPr/>
              <w:t> </w:t>
            </w:r>
          </w:p>
        </w:tc>
        <w:tc>
          <w:tcPr>
            <w:tcW w:w="679" w:type="dxa"/>
            <w:tcBorders/>
            <w:shd w:fill="CCEEFF" w:val="clear"/>
            <w:vAlign w:val="bottom"/>
          </w:tcPr>
          <w:p>
            <w:pPr>
              <w:pStyle w:val="TableContents"/>
              <w:spacing w:before="0" w:after="283"/>
              <w:jc w:val="right"/>
              <w:rPr/>
            </w:pPr>
            <w:r>
              <w:rPr/>
              <w:t>14.5</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6,401</w:t>
            </w:r>
          </w:p>
        </w:tc>
        <w:tc>
          <w:tcPr>
            <w:tcW w:w="11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jc w:val="left"/>
              <w:rPr/>
            </w:pPr>
            <w:r>
              <w:rPr/>
              <w:t> </w:t>
            </w:r>
          </w:p>
        </w:tc>
        <w:tc>
          <w:tcPr>
            <w:tcW w:w="679" w:type="dxa"/>
            <w:tcBorders/>
            <w:shd w:fill="CCEEFF" w:val="clear"/>
            <w:vAlign w:val="bottom"/>
          </w:tcPr>
          <w:p>
            <w:pPr>
              <w:pStyle w:val="TableContents"/>
              <w:spacing w:before="0" w:after="283"/>
              <w:jc w:val="right"/>
              <w:rPr/>
            </w:pPr>
            <w:r>
              <w:rPr/>
              <w:t>13.6</w:t>
            </w:r>
          </w:p>
        </w:tc>
        <w:tc>
          <w:tcPr>
            <w:tcW w:w="290" w:type="dxa"/>
            <w:tcBorders/>
            <w:shd w:fill="CCEEFF" w:val="clear"/>
            <w:vAlign w:val="bottom"/>
          </w:tcPr>
          <w:p>
            <w:pPr>
              <w:pStyle w:val="TableContents"/>
              <w:spacing w:before="0" w:after="283"/>
              <w:rPr/>
            </w:pPr>
            <w:r>
              <w:rPr/>
              <w:t>%</w:t>
            </w:r>
          </w:p>
        </w:tc>
      </w:tr>
      <w:tr>
        <w:trPr/>
        <w:tc>
          <w:tcPr>
            <w:tcW w:w="3875" w:type="dxa"/>
            <w:tcBorders/>
            <w:shd w:fill="auto" w:val="clear"/>
            <w:vAlign w:val="center"/>
          </w:tcPr>
          <w:p>
            <w:pPr>
              <w:pStyle w:val="TableContents"/>
              <w:spacing w:before="0" w:after="0"/>
              <w:ind w:left="450" w:right="0" w:hanging="225"/>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3875" w:type="dxa"/>
            <w:tcBorders/>
            <w:shd w:fill="auto" w:val="clear"/>
            <w:vAlign w:val="bottom"/>
          </w:tcPr>
          <w:p>
            <w:pPr>
              <w:pStyle w:val="TableContents"/>
              <w:spacing w:before="0" w:after="0"/>
              <w:ind w:left="675" w:right="0" w:hanging="225"/>
              <w:rPr/>
            </w:pPr>
            <w:r>
              <w:rPr/>
              <w:t>Total inventory, gross</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77,211</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100.0</w:t>
            </w:r>
          </w:p>
        </w:tc>
        <w:tc>
          <w:tcPr>
            <w:tcW w:w="298"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69,720</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100.0</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47,237</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jc w:val="left"/>
              <w:rPr/>
            </w:pPr>
            <w:r>
              <w:rPr/>
              <w:t> </w:t>
            </w:r>
          </w:p>
        </w:tc>
        <w:tc>
          <w:tcPr>
            <w:tcW w:w="679" w:type="dxa"/>
            <w:tcBorders/>
            <w:shd w:fill="auto" w:val="clear"/>
            <w:vAlign w:val="bottom"/>
          </w:tcPr>
          <w:p>
            <w:pPr>
              <w:pStyle w:val="TableContents"/>
              <w:spacing w:before="0" w:after="283"/>
              <w:jc w:val="right"/>
              <w:rPr/>
            </w:pPr>
            <w:r>
              <w:rPr/>
              <w:t>100.0</w:t>
            </w:r>
          </w:p>
        </w:tc>
        <w:tc>
          <w:tcPr>
            <w:tcW w:w="290" w:type="dxa"/>
            <w:tcBorders/>
            <w:shd w:fill="auto" w:val="clear"/>
            <w:vAlign w:val="bottom"/>
          </w:tcPr>
          <w:p>
            <w:pPr>
              <w:pStyle w:val="TableContents"/>
              <w:spacing w:before="0" w:after="283"/>
              <w:rPr/>
            </w:pPr>
            <w:r>
              <w:rPr/>
              <w:t>%</w:t>
            </w:r>
          </w:p>
        </w:tc>
      </w:tr>
      <w:tr>
        <w:trPr/>
        <w:tc>
          <w:tcPr>
            <w:tcW w:w="3875" w:type="dxa"/>
            <w:tcBorders/>
            <w:shd w:fill="CCEEFF" w:val="clear"/>
            <w:vAlign w:val="bottom"/>
          </w:tcPr>
          <w:p>
            <w:pPr>
              <w:pStyle w:val="TableContents"/>
              <w:spacing w:before="0" w:after="0"/>
              <w:ind w:left="675" w:right="0" w:hanging="225"/>
              <w:rPr/>
            </w:pPr>
            <w:r>
              <w:rPr/>
              <w:t>Valuation allowance</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(5,709</w:t>
            </w:r>
          </w:p>
        </w:tc>
        <w:tc>
          <w:tcPr>
            <w:tcW w:w="114" w:type="dxa"/>
            <w:tcBorders/>
            <w:shd w:fill="CCEEFF" w:val="clear"/>
            <w:vAlign w:val="bottom"/>
          </w:tcPr>
          <w:p>
            <w:pPr>
              <w:pStyle w:val="TableContents"/>
              <w:spacing w:before="0" w:after="283"/>
              <w:rPr/>
            </w:pPr>
            <w:r>
              <w:rPr/>
              <w:t>)</w:t>
            </w:r>
          </w:p>
        </w:tc>
        <w:tc>
          <w:tcPr>
            <w:tcW w:w="7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(7.4</w:t>
            </w:r>
          </w:p>
        </w:tc>
        <w:tc>
          <w:tcPr>
            <w:tcW w:w="298"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847" w:type="dxa"/>
            <w:tcBorders/>
            <w:shd w:fill="CCEEFF" w:val="clear"/>
            <w:vAlign w:val="bottom"/>
          </w:tcPr>
          <w:p>
            <w:pPr>
              <w:pStyle w:val="TableContents"/>
              <w:spacing w:before="0" w:after="283"/>
              <w:jc w:val="right"/>
              <w:rPr/>
            </w:pPr>
            <w:r>
              <w:rPr/>
              <w:t>(5,719</w:t>
            </w:r>
          </w:p>
        </w:tc>
        <w:tc>
          <w:tcPr>
            <w:tcW w:w="114" w:type="dxa"/>
            <w:tcBorders/>
            <w:shd w:fill="CCEEFF" w:val="clear"/>
            <w:vAlign w:val="bottom"/>
          </w:tcPr>
          <w:p>
            <w:pPr>
              <w:pStyle w:val="TableContents"/>
              <w:spacing w:before="0" w:after="283"/>
              <w:rPr/>
            </w:pPr>
            <w:r>
              <w:rPr/>
              <w:t>)</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jc w:val="left"/>
              <w:rPr/>
            </w:pPr>
            <w:r>
              <w:rPr/>
              <w:t> </w:t>
            </w:r>
          </w:p>
        </w:tc>
        <w:tc>
          <w:tcPr>
            <w:tcW w:w="679" w:type="dxa"/>
            <w:tcBorders/>
            <w:shd w:fill="CCEEFF" w:val="clear"/>
            <w:vAlign w:val="bottom"/>
          </w:tcPr>
          <w:p>
            <w:pPr>
              <w:pStyle w:val="TableContents"/>
              <w:spacing w:before="0" w:after="283"/>
              <w:jc w:val="right"/>
              <w:rPr/>
            </w:pPr>
            <w:r>
              <w:rPr/>
              <w:t>(8.2</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(4,028</w:t>
            </w:r>
          </w:p>
        </w:tc>
        <w:tc>
          <w:tcPr>
            <w:tcW w:w="114" w:type="dxa"/>
            <w:tcBorders/>
            <w:shd w:fill="CCEEFF" w:val="clear"/>
            <w:vAlign w:val="bottom"/>
          </w:tcPr>
          <w:p>
            <w:pPr>
              <w:pStyle w:val="TableContents"/>
              <w:spacing w:before="0" w:after="283"/>
              <w:rPr/>
            </w:pPr>
            <w:r>
              <w:rPr/>
              <w:t>)</w:t>
            </w:r>
          </w:p>
        </w:tc>
        <w:tc>
          <w:tcPr>
            <w:tcW w:w="7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jc w:val="left"/>
              <w:rPr/>
            </w:pPr>
            <w:r>
              <w:rPr/>
              <w:t> </w:t>
            </w:r>
          </w:p>
        </w:tc>
        <w:tc>
          <w:tcPr>
            <w:tcW w:w="679" w:type="dxa"/>
            <w:tcBorders/>
            <w:shd w:fill="CCEEFF" w:val="clear"/>
            <w:vAlign w:val="bottom"/>
          </w:tcPr>
          <w:p>
            <w:pPr>
              <w:pStyle w:val="TableContents"/>
              <w:spacing w:before="0" w:after="283"/>
              <w:jc w:val="right"/>
              <w:rPr/>
            </w:pPr>
            <w:r>
              <w:rPr/>
              <w:t>(8.5</w:t>
            </w:r>
          </w:p>
        </w:tc>
        <w:tc>
          <w:tcPr>
            <w:tcW w:w="290" w:type="dxa"/>
            <w:tcBorders/>
            <w:shd w:fill="CCEEFF" w:val="clear"/>
            <w:vAlign w:val="bottom"/>
          </w:tcPr>
          <w:p>
            <w:pPr>
              <w:pStyle w:val="TableContents"/>
              <w:spacing w:before="0" w:after="283"/>
              <w:rPr/>
            </w:pPr>
            <w:r>
              <w:rPr/>
              <w:t>%)</w:t>
            </w:r>
          </w:p>
        </w:tc>
      </w:tr>
      <w:tr>
        <w:trPr/>
        <w:tc>
          <w:tcPr>
            <w:tcW w:w="387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698"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67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67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3875" w:type="dxa"/>
            <w:tcBorders/>
            <w:shd w:fill="auto" w:val="clear"/>
            <w:vAlign w:val="bottom"/>
          </w:tcPr>
          <w:p>
            <w:pPr>
              <w:pStyle w:val="TableContents"/>
              <w:spacing w:before="0" w:after="0"/>
              <w:ind w:left="675" w:right="0" w:hanging="225"/>
              <w:rPr/>
            </w:pPr>
            <w:r>
              <w:rPr/>
              <w:t>Total inventory, net</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71,502</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847" w:type="dxa"/>
            <w:tcBorders/>
            <w:shd w:fill="auto" w:val="clear"/>
            <w:vAlign w:val="bottom"/>
          </w:tcPr>
          <w:p>
            <w:pPr>
              <w:pStyle w:val="TableContents"/>
              <w:spacing w:before="0" w:after="283"/>
              <w:jc w:val="right"/>
              <w:rPr/>
            </w:pPr>
            <w:r>
              <w:rPr/>
              <w:t>64,001</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43,209</w:t>
            </w:r>
          </w:p>
        </w:tc>
        <w:tc>
          <w:tcPr>
            <w:tcW w:w="11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3875"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698"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67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67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7.4% of gross inventory at September 30, 2010 compared to 8.2% at September 30, 2009. Changes in the valuation allowance are charged to merchandise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2010, 290 of our U.S. short-term consumer loan stores and 34 of our U.S. pawn stores offered credit services to customers seeking short-term consumer loans from unaffiliated lenders. We do not participate in any of the loans made by the lenders, but earn a fee for helping customers obtain credit and for enhancing customers creditworthiness by providing letters of credit.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our credit services, the unaffiliated lenders offer customers two types of signature loans. In all stores offering signature loan credit services, customers can obtain payday loans, with principal amounts up to $1,500 but averaging about $550. Terms of these loans are generally less than 30 days, averaging about 16 days, with due dates corresponding with the customers next payday. We typically earn a fee of 20% of the loan amount for our credit services offered in connection with payday loans. In 289 of the U.S. short-term consumer loan stores offering credit services, customers can obtain longer-term unsecured installment loans from the unaffiliated lenders. The installment loans offered in connection with our credit services typically carry terms of about five months with ten equal installment payments due on customers paydays. Installment loan principal amounts range from $1,525 to $3,000, but average about $2,060. With each semi-monthly or bi-weekly installment payment, we earn a fee of 10% of the initial loan amount. At September 30, 2010, payday loans comprised 96% of the balance of signature loans brokered through our credit services, and installment loans comprised the remaining 4%.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signature loan fee revenue on our payday loans. In 19 U.S. pawn stores, 126 U.S. short-term consumer loan stores and 51 Canadian short-term consumer loan stores we make payday loans subject to state or provincial law. The average payday loan amount is approximately $430 and the term is generally less than 30 days, averaging about 16 days. We typically charge a fee of 15% to 22% of the loan amount for a 7 to 23-day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126 of our U.S. short-term consumer loan stores, we make installment loans subject to state law. Outside Colorado, these installment loans typically carry a term of five months, with ten equal installment payments due on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customers paydays. On those loans, we typically charge a fee of 10% of the initial loan amount with each semi-monthly or bi-weekly installment payment. Outside Colorado, loan principal amounts range from $525 to $3,000 but average approximately $1,300. In August 2010, we stopped offering payday loans in Colorado because of a legislative change and instead began offering six-month installment loans ranging from $100 to $500 in principal, with a 45% annual interest rate plus certain finance charges and maintenance fees. Including loans made in Colorado, the loan principal amount of installment loans made after introducing installment loans in Colorado averaged approximately $500.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2010, 390 of our U.S. short-term consumer loan stores and 58 of our U.S. pawn stores offered auto title loans or credit services to assist customers in obtaining auto title loans from unaffiliated lenders. Auto title loans are 30-day loans secured by the titles to customers automobiles. Loan principal amounts range from $100 to $9,000, but average about $740. We earn a fee of 12.5% to 25% of auto title loan amounts.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November 13, 2008, we acquired 11 pawn stores located in the Las Vegas, Nevada area for total consideration of approximately $34.4 million plus direct transaction costs. Approximately half the purchase consideration was funded with the issuance of EZCORP Class A Non-voting Common Stock and the remaining half was funded in cash. Results of the acquired stores are included in our results from the date of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December 31, 2008, we acquired Value Financial Services, Inc. (VFS). We acquired VFSs 67 pawn stores, mostly in Florida, for a total acquisition price of $77.7 million, plus the assumption of VFSs debt of $30.4 million, for an aggregate cost of approximately $108.1 million. This excludes $10.7 million of contingent payments made since the acquisition. The contingent payments were recorded as a reduction of additional paid-in capital in accordance with accounting rules for contingencies based on our stock price. Results of the acquired stores are included in our results of operations beginning January 1, 2009.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fiscal year ended September 30, 2010 we acquired sixteen pawn stores located in the Chicago metropolitan area, Central and South Florida, Corpus Christi, Texas and Las Vegas, Nevada for approximately $21.8 million in cash. The stores were acquired from five separate sellers. The results of all acquired stores have been consolidated with our results since their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Recently, legislation adversely affecting our business was enacted in Colorado and Wisconsin. The Colorado law, which became effective in August 2010, essentially eliminated the traditional short-term payday loan product by requiring that payday loans have a minimum term of six months and changed the allowed fees. The Wisconsin law, which becomes effective January 1, 2011, limits the availability of payday loans and completely eliminates auto title loans. Although we decided to close or consolidate 11 of our 80 short-term consumer loan stores in those states, we are continuing to operate in the remaining stores with new or modified products that fit within the new regulatory frameworks and are evaluating the feasibility of additional product offerings to enhance our business in those stores. If we are unable to continue to operate profitably under the new laws in either or both of these states, or if adverse legislation is passed in other states, we may decide to close or consolidate additional stores. Included in the current year is a $0.7 million charge related to the closure of the 11 stores in Colorado and Wisconsin. Of the total, $0.5 million is recorded as a loss on disposal of assets and $0.2 million is recorded as operating expense for final rent and severance costs at these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consolidated total revenues increased 23%, or $135.6 million, to $733.0 million, compared to the prior year. Same store total revenues increased 14%. The overall increase in total consolidated revenues was comprised of a $75.9 million increase in merchandise and jewelry scrapping sales, a $33.5 million increase in pawn service charges, a $14.1 million increase in auto title loan fees, a $6.0 million increase in signature loan fees, and a $6.1 million increase in other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the U.S. Pawn Operations segment contributed $40.9 million greater store operating income compared to the prior year, primarily as the result of a $30.1 million increase in pawn service charges, a $25.8 million increase in gross profit on merchandise and jewelry scrapping sales and a $5.6 million increase in other revenues, partially offset by higher operating costs. The Empeño Fácil segment contributed $0.4 million greater store operating income compared to the prior year, with a 64% growth in net revenues mostly offset by higher operating costs at new stores. Our EZMONEY Operations segment contributed $15.7 million greater store operating income, primarily from new products and an improvement in bad debt as a percent of fees. After a $12.2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million increase in administrative expenses, a $1.9 million increase in depreciation and amortization and a $1.5 million loss on the sale/disposal of assets compared to a $1.0 million gain in fiscal 2009, operating income increased $40.4 million to $141.9 million. After a $5.7 million increase in our equity in the income of our unconsolidated affiliates and a $17.4 million increase in income taxes and other smaller items, our consolidated net income improved to $97.3 million in the current year from $68.5 million in the prior year.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Critical Accounting Policies and Estimates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Managements Discussion and Analysis of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believe the following critical accounting policies and estimates could have a significant impact on our results of operations. You should refer to Note A of our consolidated financial statements for a more complete review of other accounting policies and estimates used in the preparation of our consolidated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PAWN LOAN AND SALES REVENUE RECOGNITION: 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CREDIT SERVICE FEE REVENUE RECOGNITION: We earn credit service fees when we assist customers in obtaining signature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Signature loan credit service fee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CREDIT SERVICE BAD DEBT: We issue letters of credit to enhance the creditworthiness of our customers seeking signature 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majority of our credit service customers obtain short-term signature loans with a single maturity date. These short-term loans, with maturity dates averaging about 16 days, are considered defaulted if they have not been repaid or renewed by the maturity date. Other credit service customers obtain installment loans with a series of payments due over as much as a five-month period. If one payment of an installment loan is delinquent, that one payment is considered defaulted. If more than one installment payment is delinquent at any time, the entire loan is considered defaulted.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ALLOWANCE FOR LOSSES ON SIGNATURE LOAN CREDIT SERVICES: We provide an allowance for losses we expect to incur under letters of credit for brokered signature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(collectively, Expected LOC Losses). Changes in the allowance are charged to signature loan bad debt. We include the balance of Expected LOC Losses in Accounts payable and other accrued expenses on our balance sheets. At September 30, 2010, the allowance for Expected LOC Losses on signature loans was $1.3 million and our maximum exposure for losses on letters of credit, if all brokered signature loans defaulted and none was collected, was $24.4 million. This amount includes principal, interest and insufficient funds fees. Based on the expected loss and collection percentages, we also provide an allowance for the signature loan credit service fees we expect not to collect, and charge changes in this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accuracy of our allowance estimates is dependent upon several factors, including our ability to predict future default rates based on historical trends and expected future events. Actual loan losses could vary from those estimated due to variance in any of these factors. Increased defaults and credit losses may occur during a national or regional economic downturn, in response to regulatory changes or for other reasons, resulting in the need to increase the allowance. We believe we effectively manage these risks through our underwriting criteria and by closely monitoring the performance of the portfolio.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REVENUE RECOGNITION: We accrue fees in accordance with state and provincial laws on the percentage of signature loans (payday loans and installment loans) we have made that we believe to be collectible. Accrued fees related to defaulted loans reduce fee revenue upon loan default, and increase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BAD DEBT: We consider a payday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ALLOWANCE FOR LOSSES: We provide an allowance for losses on signature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At September 30, 2010, the combined allowances for uncollectible principal and interest on payday loans were $0.4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 CREDIT SERVICE FEE REVENUE RECOGNITION: We earn auto title loan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Auto title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BAD DEBT AND ALLOWANCE FOR LOSSES ON AUTO TITLE LOAN CREDIT SERVICES: 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 At September 30, 2010, the allowance was $0.4 million and our maximum exposure for losses on letters of credit, if all brokered auto title loans defaulted and none was collected, was $7.2 million.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 REVENUE RECOGNITION: We accrue fees in accordance with state laws on the percentage of auto title loans we have made that we believe to be collectible. We recognize the fee revenue ratably over the life of the loan.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AUTO TITLE LOAN BAD DEBT AND ALLOWANCE FOR LOSSES: 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auto title loan bad debt and charge uncollectable loans against this allowance. We record changes in the fee receivable valuation allowance to auto title loan fee revenue.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INVENTORY: If a pawn loan is not redeemed, we record the forfeited collateral at cost (the principal amount of the pawn loan). We do not record loan loss allowances or charge-offs on the principal portion of pawn loans, as they are fully collateralized. In order to state inventory at the lower of cost (specific identification) or market value, we record an allowance for excess, obsolete or slow moving inventory based on the type and age of merchandise. At September 30, 2010, the inventory valuation allowance was $5.7 million, or 7.4% of gross inventory. We record changes in the inventory valuation allowance as cost of goods sold. The accuracy of our inventory allowance is dependent on our ability to predict future events based on historical trends. Unexpected variations in the amount, age or composition of our inventory could cause us to increase or decrease our inventory allowance.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INCOME TAXES: 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STOCK COMPENSATION: We account for stock compensation in accordance with the fair value recognition provisions of FASB Accounting Standards Codification (ASC) 718-10-25 (Compensation-Stock Compensation). The fair value of restricted stock is measured as the closing market price of our stock on the date of grant, which is amortized over the vesting period for each grant. We have not granted any stock options since fiscal 2007. When granted, our policy is to estimate the grant-date fair value of options using the Black-Scholes-Merton option-pricing model and amortize that fair value to compensation expense on a straight-line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FAIR VALUE: We adopted FASB ASC 820-10 (Fair Value Measurements) and 825-10 (The Fair Value Option for Financial Assets and Liabilities) on October 1, 2008, resulting in no impact on our financial position, results of operations or cash flows. See Note A to our Consolidated Financial Statements for further discussion.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ACQUISITIONS: We adopted FASB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now immediately expense transaction costs that have historically been included in the purchase price allocation under previous accounting standards.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Fiscal 2010 Compared to Fiscal 2009</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current year ended September 30, 2010 to the prior year ended September 30, 2009. It should be read with the accompanying consolidated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U.S. Pawn Operations segment: </w:t>
      </w:r>
    </w:p>
    <w:tbl>
      <w:tblPr>
        <w:tblW w:w="5000" w:type="pct"/>
        <w:jc w:val="center"/>
        <w:tblInd w:w="0" w:type="dxa"/>
        <w:tblCellMar>
          <w:top w:w="0" w:type="dxa"/>
          <w:left w:w="0" w:type="dxa"/>
          <w:bottom w:w="0" w:type="dxa"/>
          <w:right w:w="0" w:type="dxa"/>
        </w:tblCellMar>
      </w:tblPr>
      <w:tblGrid>
        <w:gridCol w:w="6347"/>
        <w:gridCol w:w="419"/>
        <w:gridCol w:w="194"/>
        <w:gridCol w:w="1063"/>
        <w:gridCol w:w="259"/>
        <w:gridCol w:w="427"/>
        <w:gridCol w:w="194"/>
        <w:gridCol w:w="1067"/>
        <w:gridCol w:w="235"/>
      </w:tblGrid>
      <w:tr>
        <w:trPr/>
        <w:tc>
          <w:tcPr>
            <w:tcW w:w="634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3204"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5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59" w:type="dxa"/>
            <w:tcBorders>
              <w:bottom w:val="single" w:sz="2" w:space="0" w:color="000000"/>
            </w:tcBorders>
            <w:shd w:fill="auto" w:val="clear"/>
            <w:tcMar>
              <w:bottom w:w="28" w:type="dxa"/>
            </w:tcMar>
            <w:vAlign w:val="bottom"/>
          </w:tcPr>
          <w:p>
            <w:pPr>
              <w:pStyle w:val="TableContents"/>
              <w:spacing w:before="0" w:after="283"/>
              <w:rPr/>
            </w:pPr>
            <w:r>
              <w:rPr/>
              <w:t> </w:t>
            </w:r>
          </w:p>
        </w:tc>
        <w:tc>
          <w:tcPr>
            <w:tcW w:w="427" w:type="dxa"/>
            <w:tcBorders>
              <w:bottom w:val="single" w:sz="2" w:space="0" w:color="000000"/>
            </w:tcBorders>
            <w:shd w:fill="auto" w:val="clear"/>
            <w:tcMar>
              <w:bottom w:w="28" w:type="dxa"/>
            </w:tcMar>
            <w:vAlign w:val="bottom"/>
          </w:tcPr>
          <w:p>
            <w:pPr>
              <w:pStyle w:val="TableContents"/>
              <w:spacing w:before="0" w:after="283"/>
              <w:rPr/>
            </w:pPr>
            <w:r>
              <w:rPr/>
              <w:t> </w:t>
            </w:r>
          </w:p>
        </w:tc>
        <w:tc>
          <w:tcPr>
            <w:tcW w:w="126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3204" w:type="dxa"/>
            <w:gridSpan w:val="6"/>
            <w:tcBorders/>
            <w:shd w:fill="auto" w:val="clear"/>
            <w:vAlign w:val="bottom"/>
          </w:tcPr>
          <w:p>
            <w:pPr>
              <w:pStyle w:val="TableContents"/>
              <w:spacing w:before="0" w:after="283"/>
              <w:jc w:val="center"/>
              <w:rPr>
                <w:i/>
              </w:rPr>
            </w:pPr>
            <w:r>
              <w:rPr>
                <w:i/>
              </w:rPr>
              <w:t>(Dollars in thousands)</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Sales</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378,265</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313,048</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Pawn service charges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154,505</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124,396</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Signature loan fees</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1,930</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2,293</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Auto title loan fees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1,659</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1,313</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Other</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12,268</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6,646</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6347" w:type="dxa"/>
            <w:tcBorders/>
            <w:shd w:fill="auto" w:val="clear"/>
            <w:vAlign w:val="bottom"/>
          </w:tcPr>
          <w:p>
            <w:pPr>
              <w:pStyle w:val="TableContents"/>
              <w:spacing w:before="0" w:after="0"/>
              <w:ind w:left="675" w:right="0" w:hanging="225"/>
              <w:rPr/>
            </w:pPr>
            <w:r>
              <w:rPr/>
              <w:t>Total revenues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548,627</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447,696</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Cost of goods sold</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236,356</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196,914</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Signature loan bad debt</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641</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828</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Auto title loan bad debt</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236</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124</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6347" w:type="dxa"/>
            <w:tcBorders/>
            <w:shd w:fill="auto" w:val="clear"/>
            <w:vAlign w:val="bottom"/>
          </w:tcPr>
          <w:p>
            <w:pPr>
              <w:pStyle w:val="TableContents"/>
              <w:spacing w:before="0" w:after="0"/>
              <w:ind w:left="675" w:right="0" w:hanging="225"/>
              <w:rPr/>
            </w:pPr>
            <w:r>
              <w:rPr/>
              <w:t>Net revenues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311,394</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249,830</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Operations expense</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161,145</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140,525</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6347" w:type="dxa"/>
            <w:tcBorders/>
            <w:shd w:fill="auto" w:val="clear"/>
            <w:vAlign w:val="bottom"/>
          </w:tcPr>
          <w:p>
            <w:pPr>
              <w:pStyle w:val="TableContents"/>
              <w:spacing w:before="0" w:after="0"/>
              <w:ind w:left="675" w:right="0" w:hanging="225"/>
              <w:rPr/>
            </w:pPr>
            <w:r>
              <w:rPr/>
              <w:t>Store operating income</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3" w:type="dxa"/>
            <w:tcBorders/>
            <w:shd w:fill="auto" w:val="clear"/>
            <w:vAlign w:val="bottom"/>
          </w:tcPr>
          <w:p>
            <w:pPr>
              <w:pStyle w:val="TableContents"/>
              <w:spacing w:before="0" w:after="283"/>
              <w:jc w:val="right"/>
              <w:rPr/>
            </w:pPr>
            <w:r>
              <w:rPr/>
              <w:t>150,249</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7" w:type="dxa"/>
            <w:tcBorders/>
            <w:shd w:fill="auto" w:val="clear"/>
            <w:vAlign w:val="bottom"/>
          </w:tcPr>
          <w:p>
            <w:pPr>
              <w:pStyle w:val="TableContents"/>
              <w:spacing w:before="0" w:after="283"/>
              <w:jc w:val="right"/>
              <w:rPr/>
            </w:pPr>
            <w:r>
              <w:rPr/>
              <w:t>109,305</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6347"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225" w:right="0" w:hanging="225"/>
              <w:rPr/>
            </w:pPr>
            <w:r>
              <w:rPr/>
              <w:t>Other data:</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Gross margin on sales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38</w:t>
            </w:r>
          </w:p>
        </w:tc>
        <w:tc>
          <w:tcPr>
            <w:tcW w:w="259" w:type="dxa"/>
            <w:tcBorders/>
            <w:shd w:fill="auto" w:val="clear"/>
            <w:vAlign w:val="bottom"/>
          </w:tcPr>
          <w:p>
            <w:pPr>
              <w:pStyle w:val="TableContents"/>
              <w:spacing w:before="0" w:after="283"/>
              <w:rPr/>
            </w:pPr>
            <w:r>
              <w:rPr/>
              <w:t>%</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37</w:t>
            </w:r>
          </w:p>
        </w:tc>
        <w:tc>
          <w:tcPr>
            <w:tcW w:w="235" w:type="dxa"/>
            <w:tcBorders/>
            <w:shd w:fill="auto" w:val="clear"/>
            <w:vAlign w:val="bottom"/>
          </w:tcPr>
          <w:p>
            <w:pPr>
              <w:pStyle w:val="TableContents"/>
              <w:spacing w:before="0" w:after="283"/>
              <w:rPr/>
            </w:pPr>
            <w:r>
              <w:rPr/>
              <w:t>%</w:t>
            </w:r>
          </w:p>
        </w:tc>
      </w:tr>
      <w:tr>
        <w:trPr/>
        <w:tc>
          <w:tcPr>
            <w:tcW w:w="6347" w:type="dxa"/>
            <w:tcBorders/>
            <w:shd w:fill="CCEEFF" w:val="clear"/>
            <w:vAlign w:val="bottom"/>
          </w:tcPr>
          <w:p>
            <w:pPr>
              <w:pStyle w:val="TableContents"/>
              <w:spacing w:before="0" w:after="0"/>
              <w:ind w:left="450" w:right="0" w:hanging="225"/>
              <w:rPr/>
            </w:pPr>
            <w:r>
              <w:rPr/>
              <w:t>Annual inventory turnover</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3.9x</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3.7x</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Average pawn loan balance per pawn store at year end</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3" w:type="dxa"/>
            <w:tcBorders/>
            <w:shd w:fill="auto" w:val="clear"/>
            <w:vAlign w:val="bottom"/>
          </w:tcPr>
          <w:p>
            <w:pPr>
              <w:pStyle w:val="TableContents"/>
              <w:spacing w:before="0" w:after="283"/>
              <w:jc w:val="right"/>
              <w:rPr/>
            </w:pPr>
            <w:r>
              <w:rPr/>
              <w:t>292</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7" w:type="dxa"/>
            <w:tcBorders/>
            <w:shd w:fill="auto" w:val="clear"/>
            <w:vAlign w:val="bottom"/>
          </w:tcPr>
          <w:p>
            <w:pPr>
              <w:pStyle w:val="TableContents"/>
              <w:spacing w:before="0" w:after="283"/>
              <w:jc w:val="right"/>
              <w:rPr/>
            </w:pPr>
            <w:r>
              <w:rPr/>
              <w:t>266</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Average inventory per pawn store at year end</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171</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166</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Average yield on pawn loan portfolio (a)</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156</w:t>
            </w:r>
          </w:p>
        </w:tc>
        <w:tc>
          <w:tcPr>
            <w:tcW w:w="259" w:type="dxa"/>
            <w:tcBorders/>
            <w:shd w:fill="auto" w:val="clear"/>
            <w:vAlign w:val="bottom"/>
          </w:tcPr>
          <w:p>
            <w:pPr>
              <w:pStyle w:val="TableContents"/>
              <w:spacing w:before="0" w:after="283"/>
              <w:rPr/>
            </w:pPr>
            <w:r>
              <w:rPr/>
              <w:t>%</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150</w:t>
            </w:r>
          </w:p>
        </w:tc>
        <w:tc>
          <w:tcPr>
            <w:tcW w:w="235" w:type="dxa"/>
            <w:tcBorders/>
            <w:shd w:fill="auto" w:val="clear"/>
            <w:vAlign w:val="bottom"/>
          </w:tcPr>
          <w:p>
            <w:pPr>
              <w:pStyle w:val="TableContents"/>
              <w:spacing w:before="0" w:after="283"/>
              <w:rPr/>
            </w:pPr>
            <w:r>
              <w:rPr/>
              <w:t>%</w:t>
            </w:r>
          </w:p>
        </w:tc>
      </w:tr>
      <w:tr>
        <w:trPr/>
        <w:tc>
          <w:tcPr>
            <w:tcW w:w="6347" w:type="dxa"/>
            <w:tcBorders/>
            <w:shd w:fill="CCEEFF" w:val="clear"/>
            <w:vAlign w:val="bottom"/>
          </w:tcPr>
          <w:p>
            <w:pPr>
              <w:pStyle w:val="TableContents"/>
              <w:spacing w:before="0" w:after="0"/>
              <w:ind w:left="450" w:right="0" w:hanging="225"/>
              <w:rPr/>
            </w:pPr>
            <w:r>
              <w:rPr/>
              <w:t>Pawn loan redemption rate</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81</w:t>
            </w:r>
          </w:p>
        </w:tc>
        <w:tc>
          <w:tcPr>
            <w:tcW w:w="259" w:type="dxa"/>
            <w:tcBorders/>
            <w:shd w:fill="CCEEFF" w:val="clear"/>
            <w:vAlign w:val="bottom"/>
          </w:tcPr>
          <w:p>
            <w:pPr>
              <w:pStyle w:val="TableContents"/>
              <w:spacing w:before="0" w:after="283"/>
              <w:rPr/>
            </w:pPr>
            <w:r>
              <w:rPr/>
              <w:t>%</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79</w:t>
            </w:r>
          </w:p>
        </w:tc>
        <w:tc>
          <w:tcPr>
            <w:tcW w:w="235" w:type="dxa"/>
            <w:tcBorders/>
            <w:shd w:fill="CCEEFF" w:val="clear"/>
            <w:vAlign w:val="bottom"/>
          </w:tcPr>
          <w:p>
            <w:pPr>
              <w:pStyle w:val="TableContents"/>
              <w:spacing w:before="0" w:after="283"/>
              <w:rPr/>
            </w:pPr>
            <w:r>
              <w:rPr/>
              <w:t>%</w:t>
            </w:r>
          </w:p>
        </w:tc>
      </w:tr>
      <w:tr>
        <w:trPr/>
        <w:tc>
          <w:tcPr>
            <w:tcW w:w="6347" w:type="dxa"/>
            <w:tcBorders/>
            <w:shd w:fill="auto" w:val="clear"/>
            <w:vAlign w:val="bottom"/>
          </w:tcPr>
          <w:p>
            <w:pPr>
              <w:pStyle w:val="TableContents"/>
              <w:spacing w:before="0" w:after="0"/>
              <w:ind w:left="450" w:right="0" w:hanging="225"/>
              <w:rPr/>
            </w:pPr>
            <w:r>
              <w:rPr/>
              <w:t>Average signature loan balance per store offering signature loans at year end (b)</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3" w:type="dxa"/>
            <w:tcBorders/>
            <w:shd w:fill="auto" w:val="clear"/>
            <w:vAlign w:val="bottom"/>
          </w:tcPr>
          <w:p>
            <w:pPr>
              <w:pStyle w:val="TableContents"/>
              <w:spacing w:before="0" w:after="283"/>
              <w:jc w:val="right"/>
              <w:rPr/>
            </w:pPr>
            <w:r>
              <w:rPr/>
              <w:t>12</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7" w:type="dxa"/>
            <w:tcBorders/>
            <w:shd w:fill="auto" w:val="clear"/>
            <w:vAlign w:val="bottom"/>
          </w:tcPr>
          <w:p>
            <w:pPr>
              <w:pStyle w:val="TableContents"/>
              <w:spacing w:before="0" w:after="283"/>
              <w:jc w:val="right"/>
              <w:rPr/>
            </w:pPr>
            <w:r>
              <w:rPr/>
              <w:t>9</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Average auto title loan balance per store offering auto title loans at year end (c)</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15</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14</w:t>
            </w:r>
          </w:p>
        </w:tc>
        <w:tc>
          <w:tcPr>
            <w:tcW w:w="235"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pawn service charge revenue for the period divided by the average pawn loan balance during the period.</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loans (net of valuation allowance) recorded on our balance sheets and the principal portion of similar active brokered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Operations segment total revenues increased $100.9 million, or 23% from the prior year to $548.6 million. Same store total revenues increased $57.6 million, or 13%. The overall increase in total revenues was comprised of a $65.2 million increase in merchandise and jewelry scrapping sales, a $30.1 million increase in pawn service charges and a $5.6 million increase in other revenues. In fiscal 2010, we opened seven new U.S. pawn stores and acquired sixteen U.S. pawn stores for $21.8 million.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year U.S. pawn service charge revenue increased 24%, or $30.1 million, from the prior year to $154.5 million. Same store pawn service charges increased $19.4 million, or 16%, and new and acquired stores net of closed stores contributed $10.7 million. The same store improvement was due to a higher average same store pawn loan balance coupled with a six percentage point higher yield. The yield improved primarily due to a higher loan redemption rate as we focused on loan values and better qualifying customers to determine those that prefer to sell their merchandise rather than use it as collateral for a loan. Inventory purchases from customers increased 51% compared to the prior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our sales volume, gross profit and gross margins: </w:t>
      </w:r>
    </w:p>
    <w:tbl>
      <w:tblPr>
        <w:tblW w:w="5000" w:type="pct"/>
        <w:jc w:val="center"/>
        <w:tblInd w:w="0" w:type="dxa"/>
        <w:tblCellMar>
          <w:top w:w="0" w:type="dxa"/>
          <w:left w:w="0" w:type="dxa"/>
          <w:bottom w:w="0" w:type="dxa"/>
          <w:right w:w="0" w:type="dxa"/>
        </w:tblCellMar>
      </w:tblPr>
      <w:tblGrid>
        <w:gridCol w:w="6214"/>
        <w:gridCol w:w="403"/>
        <w:gridCol w:w="243"/>
        <w:gridCol w:w="1045"/>
        <w:gridCol w:w="335"/>
        <w:gridCol w:w="429"/>
        <w:gridCol w:w="243"/>
        <w:gridCol w:w="1046"/>
        <w:gridCol w:w="247"/>
      </w:tblGrid>
      <w:tr>
        <w:trPr/>
        <w:tc>
          <w:tcPr>
            <w:tcW w:w="621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3341"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8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3341" w:type="dxa"/>
            <w:gridSpan w:val="6"/>
            <w:tcBorders/>
            <w:shd w:fill="auto" w:val="clear"/>
            <w:vAlign w:val="bottom"/>
          </w:tcPr>
          <w:p>
            <w:pPr>
              <w:pStyle w:val="TableContents"/>
              <w:spacing w:before="0" w:after="283"/>
              <w:jc w:val="center"/>
              <w:rPr>
                <w:i/>
              </w:rPr>
            </w:pPr>
            <w:r>
              <w:rPr>
                <w:i/>
              </w:rPr>
              <w:t>(Dollars in millions)</w:t>
            </w:r>
          </w:p>
        </w:tc>
        <w:tc>
          <w:tcPr>
            <w:tcW w:w="247" w:type="dxa"/>
            <w:tcBorders/>
            <w:shd w:fill="auto" w:val="clear"/>
            <w:vAlign w:val="bottom"/>
          </w:tcPr>
          <w:p>
            <w:pPr>
              <w:pStyle w:val="TableContents"/>
              <w:spacing w:before="0" w:after="283"/>
              <w:rPr/>
            </w:pPr>
            <w:r>
              <w:rPr/>
              <w:t> </w:t>
            </w:r>
          </w:p>
        </w:tc>
      </w:tr>
      <w:tr>
        <w:trPr/>
        <w:tc>
          <w:tcPr>
            <w:tcW w:w="6214" w:type="dxa"/>
            <w:tcBorders/>
            <w:shd w:fill="CCEEFF" w:val="clear"/>
            <w:vAlign w:val="bottom"/>
          </w:tcPr>
          <w:p>
            <w:pPr>
              <w:pStyle w:val="TableContents"/>
              <w:spacing w:before="0" w:after="0"/>
              <w:ind w:left="225" w:right="0" w:hanging="225"/>
              <w:rPr/>
            </w:pPr>
            <w:r>
              <w:rPr/>
              <w:t>Merchandise sales</w:t>
            </w:r>
          </w:p>
        </w:tc>
        <w:tc>
          <w:tcPr>
            <w:tcW w:w="40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1045" w:type="dxa"/>
            <w:tcBorders/>
            <w:shd w:fill="CCEEFF" w:val="clear"/>
            <w:vAlign w:val="bottom"/>
          </w:tcPr>
          <w:p>
            <w:pPr>
              <w:pStyle w:val="TableContents"/>
              <w:spacing w:before="0" w:after="283"/>
              <w:jc w:val="right"/>
              <w:rPr/>
            </w:pPr>
            <w:r>
              <w:rPr/>
              <w:t>214.6</w:t>
            </w:r>
          </w:p>
        </w:tc>
        <w:tc>
          <w:tcPr>
            <w:tcW w:w="33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1046" w:type="dxa"/>
            <w:tcBorders/>
            <w:shd w:fill="CCEEFF" w:val="clear"/>
            <w:vAlign w:val="bottom"/>
          </w:tcPr>
          <w:p>
            <w:pPr>
              <w:pStyle w:val="TableContents"/>
              <w:spacing w:before="0" w:after="283"/>
              <w:jc w:val="right"/>
              <w:rPr/>
            </w:pPr>
            <w:r>
              <w:rPr/>
              <w:t>196.0</w:t>
            </w:r>
          </w:p>
        </w:tc>
        <w:tc>
          <w:tcPr>
            <w:tcW w:w="247" w:type="dxa"/>
            <w:tcBorders/>
            <w:shd w:fill="CCEEFF"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Jewelry scrapping sales</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jc w:val="right"/>
              <w:rPr/>
            </w:pPr>
            <w:r>
              <w:rPr/>
              <w:t>163.7</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jc w:val="right"/>
              <w:rPr/>
            </w:pPr>
            <w:r>
              <w:rPr/>
              <w:t>117.0</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7" w:type="dxa"/>
            <w:tcBorders/>
            <w:shd w:fill="auto" w:val="clear"/>
            <w:vAlign w:val="center"/>
          </w:tcPr>
          <w:p>
            <w:pPr>
              <w:pStyle w:val="TableContents"/>
              <w:spacing w:before="0" w:after="283"/>
              <w:rPr/>
            </w:pPr>
            <w:r>
              <w:rPr/>
              <w:t> </w:t>
            </w:r>
          </w:p>
        </w:tc>
      </w:tr>
      <w:tr>
        <w:trPr/>
        <w:tc>
          <w:tcPr>
            <w:tcW w:w="6214" w:type="dxa"/>
            <w:tcBorders/>
            <w:shd w:fill="CCEEFF" w:val="clear"/>
            <w:vAlign w:val="bottom"/>
          </w:tcPr>
          <w:p>
            <w:pPr>
              <w:pStyle w:val="TableContents"/>
              <w:spacing w:before="0" w:after="0"/>
              <w:ind w:left="225" w:right="0" w:hanging="225"/>
              <w:rPr/>
            </w:pPr>
            <w:r>
              <w:rPr/>
              <w:t>Total sales</w:t>
            </w:r>
          </w:p>
        </w:tc>
        <w:tc>
          <w:tcPr>
            <w:tcW w:w="40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pPr>
            <w:r>
              <w:rPr/>
              <w:t>378.3</w:t>
            </w:r>
          </w:p>
        </w:tc>
        <w:tc>
          <w:tcPr>
            <w:tcW w:w="33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pPr>
            <w:r>
              <w:rPr/>
              <w:t>313.0</w:t>
            </w:r>
          </w:p>
        </w:tc>
        <w:tc>
          <w:tcPr>
            <w:tcW w:w="247" w:type="dxa"/>
            <w:tcBorders/>
            <w:shd w:fill="CCEEFF"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 </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Gross profit on merchandise sales</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w:t>
            </w:r>
          </w:p>
        </w:tc>
        <w:tc>
          <w:tcPr>
            <w:tcW w:w="1045" w:type="dxa"/>
            <w:tcBorders/>
            <w:shd w:fill="auto" w:val="clear"/>
            <w:vAlign w:val="bottom"/>
          </w:tcPr>
          <w:p>
            <w:pPr>
              <w:pStyle w:val="TableContents"/>
              <w:spacing w:before="0" w:after="283"/>
              <w:jc w:val="right"/>
              <w:rPr/>
            </w:pPr>
            <w:r>
              <w:rPr/>
              <w:t>82.8</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w:t>
            </w:r>
          </w:p>
        </w:tc>
        <w:tc>
          <w:tcPr>
            <w:tcW w:w="1046" w:type="dxa"/>
            <w:tcBorders/>
            <w:shd w:fill="auto" w:val="clear"/>
            <w:vAlign w:val="bottom"/>
          </w:tcPr>
          <w:p>
            <w:pPr>
              <w:pStyle w:val="TableContents"/>
              <w:spacing w:before="0" w:after="283"/>
              <w:jc w:val="right"/>
              <w:rPr/>
            </w:pPr>
            <w:r>
              <w:rPr/>
              <w:t>74.9</w:t>
            </w:r>
          </w:p>
        </w:tc>
        <w:tc>
          <w:tcPr>
            <w:tcW w:w="247" w:type="dxa"/>
            <w:tcBorders/>
            <w:shd w:fill="auto" w:val="clear"/>
            <w:vAlign w:val="bottom"/>
          </w:tcPr>
          <w:p>
            <w:pPr>
              <w:pStyle w:val="TableContents"/>
              <w:spacing w:before="0" w:after="283"/>
              <w:rPr/>
            </w:pPr>
            <w:r>
              <w:rPr/>
              <w:t> </w:t>
            </w:r>
          </w:p>
        </w:tc>
      </w:tr>
      <w:tr>
        <w:trPr/>
        <w:tc>
          <w:tcPr>
            <w:tcW w:w="6214" w:type="dxa"/>
            <w:tcBorders/>
            <w:shd w:fill="CCEEFF" w:val="clear"/>
            <w:vAlign w:val="bottom"/>
          </w:tcPr>
          <w:p>
            <w:pPr>
              <w:pStyle w:val="TableContents"/>
              <w:spacing w:before="0" w:after="0"/>
              <w:ind w:left="225" w:right="0" w:hanging="225"/>
              <w:rPr/>
            </w:pPr>
            <w:r>
              <w:rPr/>
              <w:t>Gross profit on jewelry scrapping sales</w:t>
            </w:r>
          </w:p>
        </w:tc>
        <w:tc>
          <w:tcPr>
            <w:tcW w:w="40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pPr>
            <w:r>
              <w:rPr/>
              <w:t>59.1</w:t>
            </w:r>
          </w:p>
        </w:tc>
        <w:tc>
          <w:tcPr>
            <w:tcW w:w="33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pPr>
            <w:r>
              <w:rPr/>
              <w:t>41.3</w:t>
            </w:r>
          </w:p>
        </w:tc>
        <w:tc>
          <w:tcPr>
            <w:tcW w:w="247" w:type="dxa"/>
            <w:tcBorders/>
            <w:shd w:fill="CCEEFF"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 </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Gross margin on merchandise sales</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38.6</w:t>
            </w:r>
          </w:p>
        </w:tc>
        <w:tc>
          <w:tcPr>
            <w:tcW w:w="335"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 </w:t>
            </w:r>
          </w:p>
        </w:tc>
        <w:tc>
          <w:tcPr>
            <w:tcW w:w="1046" w:type="dxa"/>
            <w:tcBorders/>
            <w:shd w:fill="auto" w:val="clear"/>
            <w:vAlign w:val="bottom"/>
          </w:tcPr>
          <w:p>
            <w:pPr>
              <w:pStyle w:val="TableContents"/>
              <w:spacing w:before="0" w:after="283"/>
              <w:jc w:val="right"/>
              <w:rPr/>
            </w:pPr>
            <w:r>
              <w:rPr/>
              <w:t>38.2</w:t>
            </w:r>
          </w:p>
        </w:tc>
        <w:tc>
          <w:tcPr>
            <w:tcW w:w="247" w:type="dxa"/>
            <w:tcBorders/>
            <w:shd w:fill="auto" w:val="clear"/>
            <w:vAlign w:val="bottom"/>
          </w:tcPr>
          <w:p>
            <w:pPr>
              <w:pStyle w:val="TableContents"/>
              <w:spacing w:before="0" w:after="283"/>
              <w:rPr/>
            </w:pPr>
            <w:r>
              <w:rPr/>
              <w:t>%</w:t>
            </w:r>
          </w:p>
        </w:tc>
      </w:tr>
      <w:tr>
        <w:trPr/>
        <w:tc>
          <w:tcPr>
            <w:tcW w:w="6214" w:type="dxa"/>
            <w:tcBorders/>
            <w:shd w:fill="CCEEFF" w:val="clear"/>
            <w:vAlign w:val="bottom"/>
          </w:tcPr>
          <w:p>
            <w:pPr>
              <w:pStyle w:val="TableContents"/>
              <w:spacing w:before="0" w:after="0"/>
              <w:ind w:left="225" w:right="0" w:hanging="225"/>
              <w:rPr/>
            </w:pPr>
            <w:r>
              <w:rPr/>
              <w:t>Gross margin on jewelry scrapping sales</w:t>
            </w:r>
          </w:p>
        </w:tc>
        <w:tc>
          <w:tcPr>
            <w:tcW w:w="40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36.1</w:t>
            </w:r>
          </w:p>
        </w:tc>
        <w:tc>
          <w:tcPr>
            <w:tcW w:w="335"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35.3</w:t>
            </w:r>
          </w:p>
        </w:tc>
        <w:tc>
          <w:tcPr>
            <w:tcW w:w="247" w:type="dxa"/>
            <w:tcBorders/>
            <w:shd w:fill="CCEEFF" w:val="clear"/>
            <w:vAlign w:val="bottom"/>
          </w:tcPr>
          <w:p>
            <w:pPr>
              <w:pStyle w:val="TableContents"/>
              <w:spacing w:before="0" w:after="283"/>
              <w:rPr/>
            </w:pPr>
            <w:r>
              <w:rPr/>
              <w:t>%</w:t>
            </w:r>
          </w:p>
        </w:tc>
      </w:tr>
      <w:tr>
        <w:trPr/>
        <w:tc>
          <w:tcPr>
            <w:tcW w:w="6214" w:type="dxa"/>
            <w:tcBorders/>
            <w:shd w:fill="auto" w:val="clear"/>
            <w:vAlign w:val="bottom"/>
          </w:tcPr>
          <w:p>
            <w:pPr>
              <w:pStyle w:val="TableContents"/>
              <w:spacing w:before="0" w:after="0"/>
              <w:ind w:left="225" w:right="0" w:hanging="225"/>
              <w:rPr/>
            </w:pPr>
            <w:r>
              <w:rPr/>
              <w:t>Overall gross margin</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37.5</w:t>
            </w:r>
          </w:p>
        </w:tc>
        <w:tc>
          <w:tcPr>
            <w:tcW w:w="335"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 </w:t>
            </w:r>
          </w:p>
        </w:tc>
        <w:tc>
          <w:tcPr>
            <w:tcW w:w="1046" w:type="dxa"/>
            <w:tcBorders/>
            <w:shd w:fill="auto" w:val="clear"/>
            <w:vAlign w:val="bottom"/>
          </w:tcPr>
          <w:p>
            <w:pPr>
              <w:pStyle w:val="TableContents"/>
              <w:spacing w:before="0" w:after="283"/>
              <w:jc w:val="right"/>
              <w:rPr/>
            </w:pPr>
            <w:r>
              <w:rPr/>
              <w:t>37.1</w:t>
            </w:r>
          </w:p>
        </w:tc>
        <w:tc>
          <w:tcPr>
            <w:tcW w:w="247"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 merchandise sales gross profit increased $7.9 million, or 11%, from the prior year to $82.8 million. This was due to a $17.4 million increase in sales from new and acquired stores net of closed stores, a 0.4 percentage point improvement in gross margin to 38.6%, and a $1.2 million or 1% increase in same store sales.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Gross profit on jewelry scrapping sales increased $17.8 million, or 43%, from the prior year to $59.1 million on greater volume and a 0.8 percentage point improvement in gross margins to 36.1%. Including a $14.1 million increase from stores acquired late in the first fiscal quarter of 2009, scrapping revenues increased $46.7 million, or 40%, on 9% more volume, while proceeds realized per gram of jewelry scrapped increased 28%. Jewelry scrapping sales include the sale of approximately $3.2 million in the current year and $1.2 million in the prior year of loose diamonds removed from scrapped jewelry. As a result of the greater volume and a higher average cost per gram of jewelry scrapped, scrap cost of goods increased $28.8 million, or 38%.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Other revenues include merchandise sale related programs and layaway fees. Other revenues increased to $12.3 million in the current year, from $6.6 million in the prior year, primarily from the introduction and growth of new programs and an increase in layaway transactions, following enhancements to our layaway program to make layaways more affordable to our customers.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$161.1 million (52% of net revenues) in the current year from $140.5 million (56% of net revenues) in the prior year. The dollar increase in expense was primarily due to higher operating costs at new and acquired stores and higher incentive compensation. The improvement as a percent of net revenues is from greater scale at same stores and from expense management improvements made at acquired and existing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 the $61.5 million greater net revenue from U.S. pawn activities, the $20.6 million higher operations expense and offsetting changes in contributions from signature loans and auto title loans resulted in a $40.9 million overall increase in store operating income from the U.S. Pawn Operations segment. For the current and prior year, the segment comprised 71% of consolidated store operating income. </w:t>
      </w:r>
    </w:p>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Empeño Fácil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Empeño Fácil segment after translation to U.S. dollars and in its functional currency of the Mexican peso: </w:t>
      </w:r>
    </w:p>
    <w:tbl>
      <w:tblPr>
        <w:tblW w:w="5000" w:type="pct"/>
        <w:jc w:val="center"/>
        <w:tblInd w:w="0" w:type="dxa"/>
        <w:tblCellMar>
          <w:top w:w="0" w:type="dxa"/>
          <w:left w:w="0" w:type="dxa"/>
          <w:bottom w:w="0" w:type="dxa"/>
          <w:right w:w="0" w:type="dxa"/>
        </w:tblCellMar>
      </w:tblPr>
      <w:tblGrid>
        <w:gridCol w:w="3690"/>
        <w:gridCol w:w="337"/>
        <w:gridCol w:w="178"/>
        <w:gridCol w:w="875"/>
        <w:gridCol w:w="242"/>
        <w:gridCol w:w="342"/>
        <w:gridCol w:w="178"/>
        <w:gridCol w:w="876"/>
        <w:gridCol w:w="222"/>
        <w:gridCol w:w="337"/>
        <w:gridCol w:w="165"/>
        <w:gridCol w:w="903"/>
        <w:gridCol w:w="222"/>
        <w:gridCol w:w="337"/>
        <w:gridCol w:w="165"/>
        <w:gridCol w:w="903"/>
        <w:gridCol w:w="233"/>
      </w:tblGrid>
      <w:tr>
        <w:trPr/>
        <w:tc>
          <w:tcPr>
            <w:tcW w:w="36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5945" w:type="dxa"/>
            <w:gridSpan w:val="14"/>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33" w:type="dxa"/>
            <w:tcBorders/>
            <w:shd w:fill="auto"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05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2" w:type="dxa"/>
            <w:tcBorders>
              <w:bottom w:val="single" w:sz="2" w:space="0" w:color="000000"/>
            </w:tcBorders>
            <w:shd w:fill="auto" w:val="clear"/>
            <w:tcMar>
              <w:bottom w:w="28" w:type="dxa"/>
            </w:tcMar>
            <w:vAlign w:val="bottom"/>
          </w:tcPr>
          <w:p>
            <w:pPr>
              <w:pStyle w:val="TableContents"/>
              <w:spacing w:before="0" w:after="283"/>
              <w:rPr/>
            </w:pPr>
            <w:r>
              <w:rPr/>
              <w:t> </w:t>
            </w:r>
          </w:p>
        </w:tc>
        <w:tc>
          <w:tcPr>
            <w:tcW w:w="342" w:type="dxa"/>
            <w:tcBorders>
              <w:bottom w:val="single" w:sz="2" w:space="0" w:color="000000"/>
            </w:tcBorders>
            <w:shd w:fill="auto" w:val="clear"/>
            <w:tcMar>
              <w:bottom w:w="28" w:type="dxa"/>
            </w:tcMar>
            <w:vAlign w:val="bottom"/>
          </w:tcPr>
          <w:p>
            <w:pPr>
              <w:pStyle w:val="TableContents"/>
              <w:spacing w:before="0" w:after="283"/>
              <w:rPr/>
            </w:pPr>
            <w:r>
              <w:rPr/>
              <w:t> </w:t>
            </w:r>
          </w:p>
        </w:tc>
        <w:tc>
          <w:tcPr>
            <w:tcW w:w="105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22" w:type="dxa"/>
            <w:tcBorders>
              <w:bottom w:val="single" w:sz="2" w:space="0" w:color="000000"/>
            </w:tcBorders>
            <w:shd w:fill="auto" w:val="clear"/>
            <w:tcMar>
              <w:bottom w:w="28" w:type="dxa"/>
            </w:tcMar>
            <w:vAlign w:val="bottom"/>
          </w:tcPr>
          <w:p>
            <w:pPr>
              <w:pStyle w:val="TableContents"/>
              <w:spacing w:before="0" w:after="283"/>
              <w:rPr/>
            </w:pPr>
            <w:r>
              <w:rPr/>
              <w:t> </w:t>
            </w:r>
          </w:p>
        </w:tc>
        <w:tc>
          <w:tcPr>
            <w:tcW w:w="337" w:type="dxa"/>
            <w:tcBorders>
              <w:bottom w:val="single" w:sz="2" w:space="0" w:color="000000"/>
            </w:tcBorders>
            <w:shd w:fill="auto" w:val="clear"/>
            <w:tcMar>
              <w:bottom w:w="28" w:type="dxa"/>
            </w:tcMar>
            <w:vAlign w:val="bottom"/>
          </w:tcPr>
          <w:p>
            <w:pPr>
              <w:pStyle w:val="TableContents"/>
              <w:spacing w:before="0" w:after="283"/>
              <w:rPr/>
            </w:pPr>
            <w:r>
              <w:rPr/>
              <w:t> </w:t>
            </w:r>
          </w:p>
        </w:tc>
        <w:tc>
          <w:tcPr>
            <w:tcW w:w="106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22" w:type="dxa"/>
            <w:tcBorders>
              <w:bottom w:val="single" w:sz="2" w:space="0" w:color="000000"/>
            </w:tcBorders>
            <w:shd w:fill="auto" w:val="clear"/>
            <w:tcMar>
              <w:bottom w:w="28" w:type="dxa"/>
            </w:tcMar>
            <w:vAlign w:val="bottom"/>
          </w:tcPr>
          <w:p>
            <w:pPr>
              <w:pStyle w:val="TableContents"/>
              <w:spacing w:before="0" w:after="283"/>
              <w:rPr/>
            </w:pPr>
            <w:r>
              <w:rPr/>
              <w:t> </w:t>
            </w:r>
          </w:p>
        </w:tc>
        <w:tc>
          <w:tcPr>
            <w:tcW w:w="337" w:type="dxa"/>
            <w:tcBorders>
              <w:bottom w:val="single" w:sz="2" w:space="0" w:color="000000"/>
            </w:tcBorders>
            <w:shd w:fill="auto" w:val="clear"/>
            <w:tcMar>
              <w:bottom w:w="28" w:type="dxa"/>
            </w:tcMar>
            <w:vAlign w:val="bottom"/>
          </w:tcPr>
          <w:p>
            <w:pPr>
              <w:pStyle w:val="TableContents"/>
              <w:spacing w:before="0" w:after="283"/>
              <w:rPr/>
            </w:pPr>
            <w:r>
              <w:rPr/>
              <w:t> </w:t>
            </w:r>
          </w:p>
        </w:tc>
        <w:tc>
          <w:tcPr>
            <w:tcW w:w="106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33" w:type="dxa"/>
            <w:tcBorders/>
            <w:shd w:fill="auto"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691" w:type="dxa"/>
            <w:gridSpan w:val="6"/>
            <w:tcBorders/>
            <w:shd w:fill="auto" w:val="clear"/>
            <w:vAlign w:val="bottom"/>
          </w:tcPr>
          <w:p>
            <w:pPr>
              <w:pStyle w:val="TableContents"/>
              <w:spacing w:before="0" w:after="283"/>
              <w:jc w:val="center"/>
              <w:rPr>
                <w:i/>
              </w:rPr>
            </w:pPr>
            <w:r>
              <w:rPr>
                <w:i/>
              </w:rPr>
              <w:t>(Dollars in thousands)</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695" w:type="dxa"/>
            <w:gridSpan w:val="6"/>
            <w:tcBorders/>
            <w:shd w:fill="auto" w:val="clear"/>
            <w:vAlign w:val="bottom"/>
          </w:tcPr>
          <w:p>
            <w:pPr>
              <w:pStyle w:val="TableContents"/>
              <w:spacing w:before="0" w:after="283"/>
              <w:jc w:val="center"/>
              <w:rPr>
                <w:i/>
              </w:rPr>
            </w:pPr>
            <w:r>
              <w:rPr>
                <w:i/>
              </w:rPr>
              <w:t>(Pesos in thousands)</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Sales</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20,911</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10,539</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267,133</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141,850</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0"/>
              <w:ind w:left="450" w:right="0" w:hanging="225"/>
              <w:rPr/>
            </w:pPr>
            <w:r>
              <w:rPr/>
              <w:t>Pawn service charges</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9,190</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5,773</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117,575</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77,715</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Other</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508</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112</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6,492</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1,493</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0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c>
          <w:tcPr>
            <w:tcW w:w="342"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3690" w:type="dxa"/>
            <w:tcBorders/>
            <w:shd w:fill="auto" w:val="clear"/>
            <w:vAlign w:val="bottom"/>
          </w:tcPr>
          <w:p>
            <w:pPr>
              <w:pStyle w:val="TableContents"/>
              <w:spacing w:before="0" w:after="0"/>
              <w:ind w:left="675" w:right="0" w:hanging="225"/>
              <w:rPr/>
            </w:pPr>
            <w:r>
              <w:rPr/>
              <w:t>Total revenues</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30,609</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16,424</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391,200</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221,058</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Cost of goods sold</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14,596</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6,669</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186,389</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89,733</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0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c>
          <w:tcPr>
            <w:tcW w:w="342"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3690" w:type="dxa"/>
            <w:tcBorders/>
            <w:shd w:fill="auto" w:val="clear"/>
            <w:vAlign w:val="bottom"/>
          </w:tcPr>
          <w:p>
            <w:pPr>
              <w:pStyle w:val="TableContents"/>
              <w:spacing w:before="0" w:after="0"/>
              <w:ind w:left="675" w:right="0" w:hanging="225"/>
              <w:rPr/>
            </w:pPr>
            <w:r>
              <w:rPr/>
              <w:t>Net revenues</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16,013</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9,755</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204,811</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131,325</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Operations expense</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11,658</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5,833</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149,116</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78,493</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0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c>
          <w:tcPr>
            <w:tcW w:w="342"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3690" w:type="dxa"/>
            <w:tcBorders/>
            <w:shd w:fill="auto" w:val="clear"/>
            <w:vAlign w:val="bottom"/>
          </w:tcPr>
          <w:p>
            <w:pPr>
              <w:pStyle w:val="TableContents"/>
              <w:spacing w:before="0" w:after="0"/>
              <w:ind w:left="675" w:right="0" w:hanging="225"/>
              <w:rPr/>
            </w:pPr>
            <w:r>
              <w:rPr/>
              <w:t>Store operating income</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4,355</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3,922</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55,695</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52,832</w:t>
            </w:r>
          </w:p>
        </w:tc>
        <w:tc>
          <w:tcPr>
            <w:tcW w:w="233" w:type="dxa"/>
            <w:tcBorders/>
            <w:shd w:fill="auto" w:val="clear"/>
            <w:vAlign w:val="bottom"/>
          </w:tcPr>
          <w:p>
            <w:pPr>
              <w:pStyle w:val="TableContents"/>
              <w:spacing w:before="0" w:after="283"/>
              <w:rPr/>
            </w:pPr>
            <w:r>
              <w:rPr/>
              <w:t> </w:t>
            </w:r>
          </w:p>
        </w:tc>
      </w:tr>
      <w:tr>
        <w:trPr/>
        <w:tc>
          <w:tcPr>
            <w:tcW w:w="3690"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0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c>
          <w:tcPr>
            <w:tcW w:w="342" w:type="dxa"/>
            <w:tcBorders/>
            <w:shd w:fill="auto" w:val="clear"/>
            <w:vAlign w:val="center"/>
          </w:tcPr>
          <w:p>
            <w:pPr>
              <w:pStyle w:val="TableContents"/>
              <w:spacing w:before="0" w:after="283"/>
              <w:rPr/>
            </w:pPr>
            <w:r>
              <w:rPr/>
              <w:t> </w:t>
            </w:r>
          </w:p>
        </w:tc>
        <w:tc>
          <w:tcPr>
            <w:tcW w:w="10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3690" w:type="dxa"/>
            <w:tcBorders/>
            <w:shd w:fill="auto" w:val="clear"/>
            <w:vAlign w:val="bottom"/>
          </w:tcPr>
          <w:p>
            <w:pPr>
              <w:pStyle w:val="TableContents"/>
              <w:spacing w:before="0" w:after="0"/>
              <w:ind w:left="225" w:right="0" w:hanging="225"/>
              <w:rPr/>
            </w:pPr>
            <w:r>
              <w:rPr/>
              <w:t> </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225" w:right="0" w:hanging="225"/>
              <w:rPr/>
            </w:pPr>
            <w:r>
              <w:rPr/>
              <w:t>Other data:</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0"/>
              <w:ind w:left="450" w:right="0" w:hanging="225"/>
              <w:rPr/>
            </w:pPr>
            <w:r>
              <w:rPr/>
              <w:t>Gross margin on sales</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30</w:t>
            </w:r>
          </w:p>
        </w:tc>
        <w:tc>
          <w:tcPr>
            <w:tcW w:w="242" w:type="dxa"/>
            <w:tcBorders/>
            <w:shd w:fill="auto" w:val="clear"/>
            <w:vAlign w:val="bottom"/>
          </w:tcPr>
          <w:p>
            <w:pPr>
              <w:pStyle w:val="TableContents"/>
              <w:spacing w:before="0" w:after="283"/>
              <w:rPr/>
            </w:pPr>
            <w:r>
              <w:rPr/>
              <w:t>%</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283"/>
              <w:jc w:val="right"/>
              <w:rPr/>
            </w:pPr>
            <w:r>
              <w:rPr/>
              <w:t>37</w:t>
            </w:r>
          </w:p>
        </w:tc>
        <w:tc>
          <w:tcPr>
            <w:tcW w:w="222" w:type="dxa"/>
            <w:tcBorders/>
            <w:shd w:fill="auto" w:val="clear"/>
            <w:vAlign w:val="bottom"/>
          </w:tcPr>
          <w:p>
            <w:pPr>
              <w:pStyle w:val="TableContents"/>
              <w:spacing w:before="0" w:after="283"/>
              <w:rPr/>
            </w:pPr>
            <w:r>
              <w:rPr/>
              <w:t>%</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30</w:t>
            </w:r>
          </w:p>
        </w:tc>
        <w:tc>
          <w:tcPr>
            <w:tcW w:w="222" w:type="dxa"/>
            <w:tcBorders/>
            <w:shd w:fill="auto" w:val="clear"/>
            <w:vAlign w:val="bottom"/>
          </w:tcPr>
          <w:p>
            <w:pPr>
              <w:pStyle w:val="TableContents"/>
              <w:spacing w:before="0" w:after="283"/>
              <w:rPr/>
            </w:pPr>
            <w:r>
              <w:rPr/>
              <w:t>%</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37</w:t>
            </w:r>
          </w:p>
        </w:tc>
        <w:tc>
          <w:tcPr>
            <w:tcW w:w="233" w:type="dxa"/>
            <w:tcBorders/>
            <w:shd w:fill="auto" w:val="clear"/>
            <w:vAlign w:val="bottom"/>
          </w:tcPr>
          <w:p>
            <w:pPr>
              <w:pStyle w:val="TableContents"/>
              <w:spacing w:before="0" w:after="283"/>
              <w:rPr/>
            </w:pPr>
            <w:r>
              <w:rPr/>
              <w:t>%</w:t>
            </w:r>
          </w:p>
        </w:tc>
      </w:tr>
      <w:tr>
        <w:trPr/>
        <w:tc>
          <w:tcPr>
            <w:tcW w:w="3690" w:type="dxa"/>
            <w:tcBorders/>
            <w:shd w:fill="CCEEFF" w:val="clear"/>
            <w:vAlign w:val="bottom"/>
          </w:tcPr>
          <w:p>
            <w:pPr>
              <w:pStyle w:val="TableContents"/>
              <w:spacing w:before="0" w:after="0"/>
              <w:ind w:left="450" w:right="0" w:hanging="225"/>
              <w:rPr/>
            </w:pPr>
            <w:r>
              <w:rPr/>
              <w:t>Annual inventory turnover</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4.3x</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2.4x</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4.3x</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2.4x</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0"/>
              <w:ind w:left="450" w:right="0" w:hanging="225"/>
              <w:rPr/>
            </w:pPr>
            <w:r>
              <w:rPr/>
              <w:t>Average pawn loan balance per pawn store at year end</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63</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58</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789</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781</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Average inventory per pawn store at year end</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43</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45</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536</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611</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0"/>
              <w:ind w:left="450" w:right="0" w:hanging="225"/>
              <w:rPr/>
            </w:pPr>
            <w:r>
              <w:rPr/>
              <w:t>Average yield on pawn loan portfolio (a)</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182</w:t>
            </w:r>
          </w:p>
        </w:tc>
        <w:tc>
          <w:tcPr>
            <w:tcW w:w="242" w:type="dxa"/>
            <w:tcBorders/>
            <w:shd w:fill="auto" w:val="clear"/>
            <w:vAlign w:val="bottom"/>
          </w:tcPr>
          <w:p>
            <w:pPr>
              <w:pStyle w:val="TableContents"/>
              <w:spacing w:before="0" w:after="283"/>
              <w:rPr/>
            </w:pPr>
            <w:r>
              <w:rPr/>
              <w:t>%</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283"/>
              <w:jc w:val="right"/>
              <w:rPr/>
            </w:pPr>
            <w:r>
              <w:rPr/>
              <w:t>168</w:t>
            </w:r>
          </w:p>
        </w:tc>
        <w:tc>
          <w:tcPr>
            <w:tcW w:w="222" w:type="dxa"/>
            <w:tcBorders/>
            <w:shd w:fill="auto" w:val="clear"/>
            <w:vAlign w:val="bottom"/>
          </w:tcPr>
          <w:p>
            <w:pPr>
              <w:pStyle w:val="TableContents"/>
              <w:spacing w:before="0" w:after="283"/>
              <w:rPr/>
            </w:pPr>
            <w:r>
              <w:rPr/>
              <w:t>%</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182</w:t>
            </w:r>
          </w:p>
        </w:tc>
        <w:tc>
          <w:tcPr>
            <w:tcW w:w="222" w:type="dxa"/>
            <w:tcBorders/>
            <w:shd w:fill="auto" w:val="clear"/>
            <w:vAlign w:val="bottom"/>
          </w:tcPr>
          <w:p>
            <w:pPr>
              <w:pStyle w:val="TableContents"/>
              <w:spacing w:before="0" w:after="283"/>
              <w:rPr/>
            </w:pPr>
            <w:r>
              <w:rPr/>
              <w:t>%</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168</w:t>
            </w:r>
          </w:p>
        </w:tc>
        <w:tc>
          <w:tcPr>
            <w:tcW w:w="233" w:type="dxa"/>
            <w:tcBorders/>
            <w:shd w:fill="auto" w:val="clear"/>
            <w:vAlign w:val="bottom"/>
          </w:tcPr>
          <w:p>
            <w:pPr>
              <w:pStyle w:val="TableContents"/>
              <w:spacing w:before="0" w:after="283"/>
              <w:rPr/>
            </w:pPr>
            <w:r>
              <w:rPr/>
              <w:t>%</w:t>
            </w:r>
          </w:p>
        </w:tc>
      </w:tr>
      <w:tr>
        <w:trPr/>
        <w:tc>
          <w:tcPr>
            <w:tcW w:w="3690" w:type="dxa"/>
            <w:tcBorders/>
            <w:shd w:fill="CCEEFF" w:val="clear"/>
            <w:vAlign w:val="bottom"/>
          </w:tcPr>
          <w:p>
            <w:pPr>
              <w:pStyle w:val="TableContents"/>
              <w:spacing w:before="0" w:after="0"/>
              <w:ind w:left="450" w:right="0" w:hanging="225"/>
              <w:rPr/>
            </w:pPr>
            <w:r>
              <w:rPr/>
              <w:t>Pawn loan redemption rate</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75</w:t>
            </w:r>
          </w:p>
        </w:tc>
        <w:tc>
          <w:tcPr>
            <w:tcW w:w="242" w:type="dxa"/>
            <w:tcBorders/>
            <w:shd w:fill="CCEEFF" w:val="clear"/>
            <w:vAlign w:val="bottom"/>
          </w:tcPr>
          <w:p>
            <w:pPr>
              <w:pStyle w:val="TableContents"/>
              <w:spacing w:before="0" w:after="283"/>
              <w:rPr/>
            </w:pPr>
            <w:r>
              <w:rPr/>
              <w:t>%</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82</w:t>
            </w:r>
          </w:p>
        </w:tc>
        <w:tc>
          <w:tcPr>
            <w:tcW w:w="222" w:type="dxa"/>
            <w:tcBorders/>
            <w:shd w:fill="CCEEFF" w:val="clear"/>
            <w:vAlign w:val="bottom"/>
          </w:tcPr>
          <w:p>
            <w:pPr>
              <w:pStyle w:val="TableContents"/>
              <w:spacing w:before="0" w:after="283"/>
              <w:rPr/>
            </w:pPr>
            <w:r>
              <w:rPr/>
              <w:t>%</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75</w:t>
            </w:r>
          </w:p>
        </w:tc>
        <w:tc>
          <w:tcPr>
            <w:tcW w:w="222" w:type="dxa"/>
            <w:tcBorders/>
            <w:shd w:fill="CCEEFF" w:val="clear"/>
            <w:vAlign w:val="bottom"/>
          </w:tcPr>
          <w:p>
            <w:pPr>
              <w:pStyle w:val="TableContents"/>
              <w:spacing w:before="0" w:after="283"/>
              <w:rPr/>
            </w:pPr>
            <w:r>
              <w:rPr/>
              <w:t>%</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82</w:t>
            </w:r>
          </w:p>
        </w:tc>
        <w:tc>
          <w:tcPr>
            <w:tcW w:w="233"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Average yield on pawn loan portfolio is calculated as pawn service charge revenue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average exchange rate used to translate Empeño Fácils current year results from Mexican pesos to U.S. dollars was 5% stronger than in the prior year, affecting all revenue and expense items. Store operating income improved 11% in dollars and 5% in peso terms. The 64% increase in net revenues was mostly offset by higher costs from new stores that we expect will be a drag on earnings until they become profitable in their second year of operation. Approximately 46% of the stores open at September 30, 2010 had been open less than a year. We opened 53 new stores in the current year, 34 of which are Empeñe su Oro jewelry-only pawn stores. These jewelry-only stores are much smaller and require less staff than our typical pawn stores, but also carry smaller average loan balances per store and immediately sell for scrap any forfeited loan collateral.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total revenues increased $14.2 million, or 86%, in the current year to $30.6 million. Same store total revenues increased $6.4 million or 39%, and new stores contributed $7.8 million. The overall increase in total revenues was comprised of a $10.4 million increase in merchandise and jewelry scrapping sales, a $3.4 million increase in pawn service charges and a $0.4 million increase in other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pawn service charge revenues increased $3.4 million, or 59%, in the current year to $9.2 million. Same store pawn service charges increased approximately $1.9 million, or 34%, and new stores contributed $1.5 million. The same store increase was due to an improvement in the average pawn loan yield coupled with an increase in average loan balance during the period. The yield increased primarily due to an increase in pawn service charge rates in certain geographic areas compared to the prior year, partially offset by a lower loan redemption rate.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presents our sales volume, gross profit and gross margins in the Empeño Fácil segment: </w:t>
      </w:r>
    </w:p>
    <w:tbl>
      <w:tblPr>
        <w:tblW w:w="5000" w:type="pct"/>
        <w:jc w:val="center"/>
        <w:tblInd w:w="0" w:type="dxa"/>
        <w:tblCellMar>
          <w:top w:w="0" w:type="dxa"/>
          <w:left w:w="0" w:type="dxa"/>
          <w:bottom w:w="0" w:type="dxa"/>
          <w:right w:w="0" w:type="dxa"/>
        </w:tblCellMar>
      </w:tblPr>
      <w:tblGrid>
        <w:gridCol w:w="3928"/>
        <w:gridCol w:w="348"/>
        <w:gridCol w:w="210"/>
        <w:gridCol w:w="772"/>
        <w:gridCol w:w="290"/>
        <w:gridCol w:w="364"/>
        <w:gridCol w:w="210"/>
        <w:gridCol w:w="775"/>
        <w:gridCol w:w="231"/>
        <w:gridCol w:w="348"/>
        <w:gridCol w:w="176"/>
        <w:gridCol w:w="771"/>
        <w:gridCol w:w="240"/>
        <w:gridCol w:w="350"/>
        <w:gridCol w:w="177"/>
        <w:gridCol w:w="774"/>
        <w:gridCol w:w="241"/>
      </w:tblGrid>
      <w:tr>
        <w:trPr/>
        <w:tc>
          <w:tcPr>
            <w:tcW w:w="39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5688" w:type="dxa"/>
            <w:gridSpan w:val="14"/>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4" w:type="dxa"/>
            <w:tcBorders>
              <w:bottom w:val="single" w:sz="2" w:space="0" w:color="000000"/>
            </w:tcBorders>
            <w:shd w:fill="auto" w:val="clear"/>
            <w:tcMar>
              <w:bottom w:w="28" w:type="dxa"/>
            </w:tcM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31" w:type="dxa"/>
            <w:tcBorders>
              <w:bottom w:val="single" w:sz="2" w:space="0" w:color="000000"/>
            </w:tcBorders>
            <w:shd w:fill="auto" w:val="clear"/>
            <w:tcMar>
              <w:bottom w:w="28" w:type="dxa"/>
            </w:tcMar>
            <w:vAlign w:val="bottom"/>
          </w:tcPr>
          <w:p>
            <w:pPr>
              <w:pStyle w:val="TableContents"/>
              <w:spacing w:before="0" w:after="283"/>
              <w:rPr/>
            </w:pPr>
            <w:r>
              <w:rPr/>
              <w:t> </w:t>
            </w:r>
          </w:p>
        </w:tc>
        <w:tc>
          <w:tcPr>
            <w:tcW w:w="348" w:type="dxa"/>
            <w:tcBorders>
              <w:bottom w:val="single" w:sz="2" w:space="0" w:color="000000"/>
            </w:tcBorders>
            <w:shd w:fill="auto" w:val="clear"/>
            <w:tcMar>
              <w:bottom w:w="28" w:type="dxa"/>
            </w:tcM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40" w:type="dxa"/>
            <w:tcBorders>
              <w:bottom w:val="single" w:sz="2" w:space="0" w:color="000000"/>
            </w:tcBorders>
            <w:shd w:fill="auto" w:val="clear"/>
            <w:tcMar>
              <w:bottom w:w="28" w:type="dxa"/>
            </w:tcMar>
            <w:vAlign w:val="bottom"/>
          </w:tcPr>
          <w:p>
            <w:pPr>
              <w:pStyle w:val="TableContents"/>
              <w:spacing w:before="0" w:after="283"/>
              <w:rPr/>
            </w:pPr>
            <w:r>
              <w:rPr/>
              <w:t> </w:t>
            </w:r>
          </w:p>
        </w:tc>
        <w:tc>
          <w:tcPr>
            <w:tcW w:w="350" w:type="dxa"/>
            <w:tcBorders>
              <w:bottom w:val="single" w:sz="2" w:space="0" w:color="000000"/>
            </w:tcBorders>
            <w:shd w:fill="auto" w:val="clear"/>
            <w:tcMar>
              <w:bottom w:w="28" w:type="dxa"/>
            </w:tcM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621" w:type="dxa"/>
            <w:gridSpan w:val="6"/>
            <w:tcBorders/>
            <w:shd w:fill="auto" w:val="clear"/>
            <w:vAlign w:val="bottom"/>
          </w:tcPr>
          <w:p>
            <w:pPr>
              <w:pStyle w:val="TableContents"/>
              <w:spacing w:before="0" w:after="283"/>
              <w:jc w:val="center"/>
              <w:rPr>
                <w:i/>
              </w:rPr>
            </w:pPr>
            <w:r>
              <w:rPr>
                <w:i/>
              </w:rPr>
              <w:t>(Dollars in millions)</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488" w:type="dxa"/>
            <w:gridSpan w:val="6"/>
            <w:tcBorders/>
            <w:shd w:fill="auto" w:val="clear"/>
            <w:vAlign w:val="bottom"/>
          </w:tcPr>
          <w:p>
            <w:pPr>
              <w:pStyle w:val="TableContents"/>
              <w:spacing w:before="0" w:after="283"/>
              <w:jc w:val="center"/>
              <w:rPr>
                <w:i/>
              </w:rPr>
            </w:pPr>
            <w:r>
              <w:rPr>
                <w:i/>
              </w:rPr>
              <w:t>(Pesos in millions)</w:t>
            </w:r>
          </w:p>
        </w:tc>
        <w:tc>
          <w:tcPr>
            <w:tcW w:w="241"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Merchandise sales</w:t>
            </w:r>
          </w:p>
        </w:tc>
        <w:tc>
          <w:tcPr>
            <w:tcW w:w="34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772" w:type="dxa"/>
            <w:tcBorders/>
            <w:shd w:fill="CCEEFF" w:val="clear"/>
            <w:vAlign w:val="bottom"/>
          </w:tcPr>
          <w:p>
            <w:pPr>
              <w:pStyle w:val="TableContents"/>
              <w:spacing w:before="0" w:after="283"/>
              <w:jc w:val="right"/>
              <w:rPr/>
            </w:pPr>
            <w:r>
              <w:rPr/>
              <w:t>13.5</w:t>
            </w:r>
          </w:p>
        </w:tc>
        <w:tc>
          <w:tcPr>
            <w:tcW w:w="29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775" w:type="dxa"/>
            <w:tcBorders/>
            <w:shd w:fill="CCEEFF" w:val="clear"/>
            <w:vAlign w:val="bottom"/>
          </w:tcPr>
          <w:p>
            <w:pPr>
              <w:pStyle w:val="TableContents"/>
              <w:spacing w:before="0" w:after="283"/>
              <w:jc w:val="right"/>
              <w:rPr/>
            </w:pPr>
            <w:r>
              <w:rPr/>
              <w:t>8.6</w:t>
            </w:r>
          </w:p>
        </w:tc>
        <w:tc>
          <w:tcPr>
            <w:tcW w:w="23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173.0</w:t>
            </w:r>
          </w:p>
        </w:tc>
        <w:tc>
          <w:tcPr>
            <w:tcW w:w="24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116.4</w:t>
            </w:r>
          </w:p>
        </w:tc>
        <w:tc>
          <w:tcPr>
            <w:tcW w:w="241"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Jewelry scrapping sales</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7.4</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1.9</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jc w:val="right"/>
              <w:rPr/>
            </w:pPr>
            <w:r>
              <w:rPr/>
              <w:t>94.1</w:t>
            </w:r>
          </w:p>
        </w:tc>
        <w:tc>
          <w:tcPr>
            <w:tcW w:w="24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25.5</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1"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Total sales</w:t>
            </w:r>
          </w:p>
        </w:tc>
        <w:tc>
          <w:tcPr>
            <w:tcW w:w="34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20.9</w:t>
            </w:r>
          </w:p>
        </w:tc>
        <w:tc>
          <w:tcPr>
            <w:tcW w:w="29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10.5</w:t>
            </w:r>
          </w:p>
        </w:tc>
        <w:tc>
          <w:tcPr>
            <w:tcW w:w="23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pPr>
            <w:r>
              <w:rPr/>
              <w:t>267.1</w:t>
            </w:r>
          </w:p>
        </w:tc>
        <w:tc>
          <w:tcPr>
            <w:tcW w:w="24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141.9</w:t>
            </w:r>
          </w:p>
        </w:tc>
        <w:tc>
          <w:tcPr>
            <w:tcW w:w="241"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Gross profit on merchandise sales</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772" w:type="dxa"/>
            <w:tcBorders/>
            <w:shd w:fill="auto" w:val="clear"/>
            <w:vAlign w:val="bottom"/>
          </w:tcPr>
          <w:p>
            <w:pPr>
              <w:pStyle w:val="TableContents"/>
              <w:spacing w:before="0" w:after="283"/>
              <w:jc w:val="right"/>
              <w:rPr/>
            </w:pPr>
            <w:r>
              <w:rPr/>
              <w:t>5.1</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775" w:type="dxa"/>
            <w:tcBorders/>
            <w:shd w:fill="auto" w:val="clear"/>
            <w:vAlign w:val="bottom"/>
          </w:tcPr>
          <w:p>
            <w:pPr>
              <w:pStyle w:val="TableContents"/>
              <w:spacing w:before="0" w:after="283"/>
              <w:jc w:val="right"/>
              <w:rPr/>
            </w:pPr>
            <w:r>
              <w:rPr/>
              <w:t>3.2</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64.7</w:t>
            </w:r>
          </w:p>
        </w:tc>
        <w:tc>
          <w:tcPr>
            <w:tcW w:w="24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43.7</w:t>
            </w:r>
          </w:p>
        </w:tc>
        <w:tc>
          <w:tcPr>
            <w:tcW w:w="241"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Gross profit on jewelry scrapping sales</w:t>
            </w:r>
          </w:p>
        </w:tc>
        <w:tc>
          <w:tcPr>
            <w:tcW w:w="34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1.2</w:t>
            </w:r>
          </w:p>
        </w:tc>
        <w:tc>
          <w:tcPr>
            <w:tcW w:w="29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0.6</w:t>
            </w:r>
          </w:p>
        </w:tc>
        <w:tc>
          <w:tcPr>
            <w:tcW w:w="23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pPr>
            <w:r>
              <w:rPr/>
              <w:t>16.0</w:t>
            </w:r>
          </w:p>
        </w:tc>
        <w:tc>
          <w:tcPr>
            <w:tcW w:w="24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8.4</w:t>
            </w:r>
          </w:p>
        </w:tc>
        <w:tc>
          <w:tcPr>
            <w:tcW w:w="241"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Gross margin on merchandise sales</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772" w:type="dxa"/>
            <w:tcBorders/>
            <w:shd w:fill="auto" w:val="clear"/>
            <w:vAlign w:val="bottom"/>
          </w:tcPr>
          <w:p>
            <w:pPr>
              <w:pStyle w:val="TableContents"/>
              <w:spacing w:before="0" w:after="283"/>
              <w:jc w:val="right"/>
              <w:rPr/>
            </w:pPr>
            <w:r>
              <w:rPr/>
              <w:t>37.4</w:t>
            </w:r>
          </w:p>
        </w:tc>
        <w:tc>
          <w:tcPr>
            <w:tcW w:w="290" w:type="dxa"/>
            <w:tcBorders/>
            <w:shd w:fill="auto" w:val="clear"/>
            <w:vAlign w:val="bottom"/>
          </w:tcPr>
          <w:p>
            <w:pPr>
              <w:pStyle w:val="TableContents"/>
              <w:spacing w:before="0" w:after="283"/>
              <w:rPr/>
            </w:pPr>
            <w:r>
              <w:rPr/>
              <w:t>%</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775" w:type="dxa"/>
            <w:tcBorders/>
            <w:shd w:fill="auto" w:val="clear"/>
            <w:vAlign w:val="bottom"/>
          </w:tcPr>
          <w:p>
            <w:pPr>
              <w:pStyle w:val="TableContents"/>
              <w:spacing w:before="0" w:after="283"/>
              <w:jc w:val="right"/>
              <w:rPr/>
            </w:pPr>
            <w:r>
              <w:rPr/>
              <w:t>37.6</w:t>
            </w:r>
          </w:p>
        </w:tc>
        <w:tc>
          <w:tcPr>
            <w:tcW w:w="231"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37.4</w:t>
            </w:r>
          </w:p>
        </w:tc>
        <w:tc>
          <w:tcPr>
            <w:tcW w:w="240"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37.6</w:t>
            </w:r>
          </w:p>
        </w:tc>
        <w:tc>
          <w:tcPr>
            <w:tcW w:w="241" w:type="dxa"/>
            <w:tcBorders/>
            <w:shd w:fill="auto" w:val="clear"/>
            <w:vAlign w:val="bottom"/>
          </w:tcPr>
          <w:p>
            <w:pPr>
              <w:pStyle w:val="TableContents"/>
              <w:spacing w:before="0" w:after="283"/>
              <w:rPr/>
            </w:pPr>
            <w:r>
              <w:rPr/>
              <w:t>%</w:t>
            </w:r>
          </w:p>
        </w:tc>
      </w:tr>
      <w:tr>
        <w:trPr/>
        <w:tc>
          <w:tcPr>
            <w:tcW w:w="3928" w:type="dxa"/>
            <w:tcBorders/>
            <w:shd w:fill="CCEEFF" w:val="clear"/>
            <w:vAlign w:val="bottom"/>
          </w:tcPr>
          <w:p>
            <w:pPr>
              <w:pStyle w:val="TableContents"/>
              <w:spacing w:before="0" w:after="0"/>
              <w:ind w:left="225" w:right="0" w:hanging="225"/>
              <w:rPr/>
            </w:pPr>
            <w:r>
              <w:rPr/>
              <w:t>Gross margin on jewelry scrapping sales</w:t>
            </w:r>
          </w:p>
        </w:tc>
        <w:tc>
          <w:tcPr>
            <w:tcW w:w="34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16.9</w:t>
            </w:r>
          </w:p>
        </w:tc>
        <w:tc>
          <w:tcPr>
            <w:tcW w:w="290" w:type="dxa"/>
            <w:tcBorders/>
            <w:shd w:fill="CCEEFF" w:val="clear"/>
            <w:vAlign w:val="bottom"/>
          </w:tcPr>
          <w:p>
            <w:pPr>
              <w:pStyle w:val="TableContents"/>
              <w:spacing w:before="0" w:after="283"/>
              <w:rPr/>
            </w:pPr>
            <w:r>
              <w:rPr/>
              <w:t>%</w:t>
            </w:r>
          </w:p>
        </w:tc>
        <w:tc>
          <w:tcPr>
            <w:tcW w:w="36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 </w:t>
            </w:r>
          </w:p>
        </w:tc>
        <w:tc>
          <w:tcPr>
            <w:tcW w:w="775" w:type="dxa"/>
            <w:tcBorders/>
            <w:shd w:fill="CCEEFF" w:val="clear"/>
            <w:vAlign w:val="bottom"/>
          </w:tcPr>
          <w:p>
            <w:pPr>
              <w:pStyle w:val="TableContents"/>
              <w:spacing w:before="0" w:after="283"/>
              <w:jc w:val="right"/>
              <w:rPr/>
            </w:pPr>
            <w:r>
              <w:rPr/>
              <w:t>32.8</w:t>
            </w:r>
          </w:p>
        </w:tc>
        <w:tc>
          <w:tcPr>
            <w:tcW w:w="231"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771" w:type="dxa"/>
            <w:tcBorders/>
            <w:shd w:fill="CCEEFF" w:val="clear"/>
            <w:vAlign w:val="bottom"/>
          </w:tcPr>
          <w:p>
            <w:pPr>
              <w:pStyle w:val="TableContents"/>
              <w:spacing w:before="0" w:after="283"/>
              <w:jc w:val="right"/>
              <w:rPr/>
            </w:pPr>
            <w:r>
              <w:rPr/>
              <w:t>16.9</w:t>
            </w:r>
          </w:p>
        </w:tc>
        <w:tc>
          <w:tcPr>
            <w:tcW w:w="240"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32.8</w:t>
            </w:r>
          </w:p>
        </w:tc>
        <w:tc>
          <w:tcPr>
            <w:tcW w:w="241" w:type="dxa"/>
            <w:tcBorders/>
            <w:shd w:fill="CCEEFF" w:val="clear"/>
            <w:vAlign w:val="bottom"/>
          </w:tcPr>
          <w:p>
            <w:pPr>
              <w:pStyle w:val="TableContents"/>
              <w:spacing w:before="0" w:after="283"/>
              <w:rPr/>
            </w:pPr>
            <w:r>
              <w:rPr/>
              <w:t>%</w:t>
            </w:r>
          </w:p>
        </w:tc>
      </w:tr>
      <w:tr>
        <w:trPr/>
        <w:tc>
          <w:tcPr>
            <w:tcW w:w="3928" w:type="dxa"/>
            <w:tcBorders/>
            <w:shd w:fill="auto" w:val="clear"/>
            <w:vAlign w:val="bottom"/>
          </w:tcPr>
          <w:p>
            <w:pPr>
              <w:pStyle w:val="TableContents"/>
              <w:spacing w:before="0" w:after="0"/>
              <w:ind w:left="225" w:right="0" w:hanging="225"/>
              <w:rPr/>
            </w:pPr>
            <w:r>
              <w:rPr/>
              <w:t>Overall gross margin</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772" w:type="dxa"/>
            <w:tcBorders/>
            <w:shd w:fill="auto" w:val="clear"/>
            <w:vAlign w:val="bottom"/>
          </w:tcPr>
          <w:p>
            <w:pPr>
              <w:pStyle w:val="TableContents"/>
              <w:spacing w:before="0" w:after="283"/>
              <w:jc w:val="right"/>
              <w:rPr/>
            </w:pPr>
            <w:r>
              <w:rPr/>
              <w:t>30.2</w:t>
            </w:r>
          </w:p>
        </w:tc>
        <w:tc>
          <w:tcPr>
            <w:tcW w:w="290" w:type="dxa"/>
            <w:tcBorders/>
            <w:shd w:fill="auto" w:val="clear"/>
            <w:vAlign w:val="bottom"/>
          </w:tcPr>
          <w:p>
            <w:pPr>
              <w:pStyle w:val="TableContents"/>
              <w:spacing w:before="0" w:after="283"/>
              <w:rPr/>
            </w:pPr>
            <w:r>
              <w:rPr/>
              <w:t>%</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775" w:type="dxa"/>
            <w:tcBorders/>
            <w:shd w:fill="auto" w:val="clear"/>
            <w:vAlign w:val="bottom"/>
          </w:tcPr>
          <w:p>
            <w:pPr>
              <w:pStyle w:val="TableContents"/>
              <w:spacing w:before="0" w:after="283"/>
              <w:jc w:val="right"/>
              <w:rPr/>
            </w:pPr>
            <w:r>
              <w:rPr/>
              <w:t>36.7</w:t>
            </w:r>
          </w:p>
        </w:tc>
        <w:tc>
          <w:tcPr>
            <w:tcW w:w="231"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30.2</w:t>
            </w:r>
          </w:p>
        </w:tc>
        <w:tc>
          <w:tcPr>
            <w:tcW w:w="240"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36.7</w:t>
            </w:r>
          </w:p>
        </w:tc>
        <w:tc>
          <w:tcPr>
            <w:tcW w:w="241"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years merchandise gross profit increased $1.9 million, or 56%, from the prior year to $5.1 million. This was due to a $2.7 million, or 31% same store sales increase and $2.2 million in sales from new stores, partially offset by a 0.2 percentage point decrease in gross margins to 37.4%.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gross profit on jewelry scrapping sales increased $0.6 million to $1.2 million. The $5.5 million increase in proceeds was mostly offset by a decrease in jewelry scrapping margins to 16.9%, compared to 32.8% in the prior year. The significant volume increase and the margin decrease are due primarily to the introduction of our new Empeñe su Oro jewelry-only pawn stores. As these new jewelry-only stores open, the gold values employed are aggressive in the marketplace in order to establish both the new store and the brand. We expect typical jewelry scrapping margins in Mexico to remain between 15% and 20% as these stores mature.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$11.7 million (73% of net revenues) in the current year from $5.8 million (60% of net revenues) in the prior year. The increase was due primarily to new stores which typically produce a loss in their first several quarters of operation.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 the $6.3 million greater net revenues were mostly offset by the $5.9 million higher operations expense, resulting in a $0.4 million increase in store operating income for the segment. Empeño Fácil made up 2% of consolidated store operating income in the current year compared to 3% in the prior year. We expect Empeño Fácils operating income to grow as a percentage of our consolidated income in future periods as recently opened stores begin to mature, and new stores comprise a smaller percentage of the total stores. </w:t>
      </w:r>
    </w:p>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349"/>
        <w:gridCol w:w="421"/>
        <w:gridCol w:w="194"/>
        <w:gridCol w:w="1061"/>
        <w:gridCol w:w="258"/>
        <w:gridCol w:w="429"/>
        <w:gridCol w:w="194"/>
        <w:gridCol w:w="1065"/>
        <w:gridCol w:w="234"/>
      </w:tblGrid>
      <w:tr>
        <w:trPr/>
        <w:tc>
          <w:tcPr>
            <w:tcW w:w="634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3201"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58" w:type="dxa"/>
            <w:tcBorders>
              <w:bottom w:val="single" w:sz="2" w:space="0" w:color="000000"/>
            </w:tcBorders>
            <w:shd w:fill="auto" w:val="clear"/>
            <w:tcMar>
              <w:bottom w:w="28" w:type="dxa"/>
            </w:tcMar>
            <w:vAlign w:val="bottom"/>
          </w:tcPr>
          <w:p>
            <w:pPr>
              <w:pStyle w:val="TableContents"/>
              <w:spacing w:before="0" w:after="283"/>
              <w:rPr/>
            </w:pPr>
            <w:r>
              <w:rPr/>
              <w:t> </w:t>
            </w:r>
          </w:p>
        </w:tc>
        <w:tc>
          <w:tcPr>
            <w:tcW w:w="429" w:type="dxa"/>
            <w:tcBorders>
              <w:bottom w:val="single" w:sz="2" w:space="0" w:color="000000"/>
            </w:tcBorders>
            <w:shd w:fill="auto" w:val="clear"/>
            <w:tcMar>
              <w:bottom w:w="28" w:type="dxa"/>
            </w:tcMar>
            <w:vAlign w:val="bottom"/>
          </w:tcPr>
          <w:p>
            <w:pPr>
              <w:pStyle w:val="TableContents"/>
              <w:spacing w:before="0" w:after="283"/>
              <w:rPr/>
            </w:pPr>
            <w:r>
              <w:rPr/>
              <w:t> </w:t>
            </w:r>
          </w:p>
        </w:tc>
        <w:tc>
          <w:tcPr>
            <w:tcW w:w="12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3201" w:type="dxa"/>
            <w:gridSpan w:val="6"/>
            <w:tcBorders/>
            <w:shd w:fill="auto" w:val="clear"/>
            <w:vAlign w:val="bottom"/>
          </w:tcPr>
          <w:p>
            <w:pPr>
              <w:pStyle w:val="TableContents"/>
              <w:spacing w:before="0" w:after="283"/>
              <w:jc w:val="center"/>
              <w:rPr>
                <w:i/>
              </w:rPr>
            </w:pPr>
            <w:r>
              <w:rPr>
                <w:i/>
              </w:rPr>
              <w:t>(Dollars in thousands)</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Signature loan fees</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1" w:type="dxa"/>
            <w:tcBorders/>
            <w:shd w:fill="CCEEFF" w:val="clear"/>
            <w:vAlign w:val="bottom"/>
          </w:tcPr>
          <w:p>
            <w:pPr>
              <w:pStyle w:val="TableContents"/>
              <w:spacing w:before="0" w:after="283"/>
              <w:jc w:val="right"/>
              <w:rPr/>
            </w:pPr>
            <w:r>
              <w:rPr/>
              <w:t>137,385</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131,051</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Auto title loan fees</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16,048</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2,276</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Jewelry scrapping sales</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355</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9</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Other revenues</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21</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675" w:right="0" w:hanging="225"/>
              <w:rPr/>
            </w:pPr>
            <w:r>
              <w:rPr/>
              <w:t>Total revenues</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153,809</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133,336</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Signature loan bad debt</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31,068</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32,725</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Auto title loan bad debt</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2,499</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256</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Jewelry scrapping cost of goods sold</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170</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6</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675" w:right="0" w:hanging="225"/>
              <w:rPr/>
            </w:pPr>
            <w:r>
              <w:rPr/>
              <w:t>Net revenues</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120,072</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100,349</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Operations expense</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63,861</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59,879</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675" w:right="0" w:hanging="225"/>
              <w:rPr/>
            </w:pPr>
            <w:r>
              <w:rPr/>
              <w:t>Store operating income</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1" w:type="dxa"/>
            <w:tcBorders/>
            <w:shd w:fill="CCEEFF" w:val="clear"/>
            <w:vAlign w:val="bottom"/>
          </w:tcPr>
          <w:p>
            <w:pPr>
              <w:pStyle w:val="TableContents"/>
              <w:spacing w:before="0" w:after="283"/>
              <w:jc w:val="right"/>
              <w:rPr/>
            </w:pPr>
            <w:r>
              <w:rPr/>
              <w:t>56,211</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40,470</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49"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225" w:right="0" w:hanging="225"/>
              <w:rPr/>
            </w:pPr>
            <w:r>
              <w:rPr/>
              <w:t>Other data:</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Signature loan bad debt as a percent of signature loan fees</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61" w:type="dxa"/>
            <w:tcBorders/>
            <w:shd w:fill="CCEEFF" w:val="clear"/>
            <w:vAlign w:val="bottom"/>
          </w:tcPr>
          <w:p>
            <w:pPr>
              <w:pStyle w:val="TableContents"/>
              <w:spacing w:before="0" w:after="283"/>
              <w:jc w:val="right"/>
              <w:rPr/>
            </w:pPr>
            <w:r>
              <w:rPr/>
              <w:t>22.6</w:t>
            </w:r>
          </w:p>
        </w:tc>
        <w:tc>
          <w:tcPr>
            <w:tcW w:w="258"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25.0</w:t>
            </w:r>
          </w:p>
        </w:tc>
        <w:tc>
          <w:tcPr>
            <w:tcW w:w="234" w:type="dxa"/>
            <w:tcBorders/>
            <w:shd w:fill="CCEEFF" w:val="clear"/>
            <w:vAlign w:val="bottom"/>
          </w:tcPr>
          <w:p>
            <w:pPr>
              <w:pStyle w:val="TableContents"/>
              <w:spacing w:before="0" w:after="283"/>
              <w:rPr/>
            </w:pPr>
            <w:r>
              <w:rPr/>
              <w:t>%</w:t>
            </w:r>
          </w:p>
        </w:tc>
      </w:tr>
      <w:tr>
        <w:trPr/>
        <w:tc>
          <w:tcPr>
            <w:tcW w:w="6349" w:type="dxa"/>
            <w:tcBorders/>
            <w:shd w:fill="auto" w:val="clear"/>
            <w:vAlign w:val="bottom"/>
          </w:tcPr>
          <w:p>
            <w:pPr>
              <w:pStyle w:val="TableContents"/>
              <w:spacing w:before="0" w:after="0"/>
              <w:ind w:left="450" w:right="0" w:hanging="225"/>
              <w:rPr/>
            </w:pPr>
            <w:r>
              <w:rPr/>
              <w:t>Auto title loan bad debt as a percent of auto title loan fees</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1" w:type="dxa"/>
            <w:tcBorders/>
            <w:shd w:fill="auto" w:val="clear"/>
            <w:vAlign w:val="bottom"/>
          </w:tcPr>
          <w:p>
            <w:pPr>
              <w:pStyle w:val="TableContents"/>
              <w:spacing w:before="0" w:after="283"/>
              <w:jc w:val="right"/>
              <w:rPr/>
            </w:pPr>
            <w:r>
              <w:rPr/>
              <w:t>15.6</w:t>
            </w:r>
          </w:p>
        </w:tc>
        <w:tc>
          <w:tcPr>
            <w:tcW w:w="258"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11.2</w:t>
            </w:r>
          </w:p>
        </w:tc>
        <w:tc>
          <w:tcPr>
            <w:tcW w:w="234" w:type="dxa"/>
            <w:tcBorders/>
            <w:shd w:fill="auto" w:val="clear"/>
            <w:vAlign w:val="bottom"/>
          </w:tcPr>
          <w:p>
            <w:pPr>
              <w:pStyle w:val="TableContents"/>
              <w:spacing w:before="0" w:after="283"/>
              <w:rPr/>
            </w:pPr>
            <w:r>
              <w:rPr/>
              <w:t>%</w:t>
            </w:r>
          </w:p>
        </w:tc>
      </w:tr>
      <w:tr>
        <w:trPr/>
        <w:tc>
          <w:tcPr>
            <w:tcW w:w="6349" w:type="dxa"/>
            <w:tcBorders/>
            <w:shd w:fill="CCEEFF" w:val="clear"/>
            <w:vAlign w:val="bottom"/>
          </w:tcPr>
          <w:p>
            <w:pPr>
              <w:pStyle w:val="TableContents"/>
              <w:spacing w:before="0" w:after="0"/>
              <w:ind w:left="450" w:right="0" w:hanging="225"/>
              <w:rPr/>
            </w:pPr>
            <w:r>
              <w:rPr/>
              <w:t>Average signature loan balance per store offering signature loans at year end (a)</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1" w:type="dxa"/>
            <w:tcBorders/>
            <w:shd w:fill="CCEEFF" w:val="clear"/>
            <w:vAlign w:val="bottom"/>
          </w:tcPr>
          <w:p>
            <w:pPr>
              <w:pStyle w:val="TableContents"/>
              <w:spacing w:before="0" w:after="283"/>
              <w:jc w:val="right"/>
              <w:rPr/>
            </w:pPr>
            <w:r>
              <w:rPr/>
              <w:t>67</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65</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Average auto title loan balance per store offering auto title loans at year end (b)</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1" w:type="dxa"/>
            <w:tcBorders/>
            <w:shd w:fill="auto" w:val="clear"/>
            <w:vAlign w:val="bottom"/>
          </w:tcPr>
          <w:p>
            <w:pPr>
              <w:pStyle w:val="TableContents"/>
              <w:spacing w:before="0" w:after="283"/>
              <w:jc w:val="right"/>
              <w:rPr/>
            </w:pPr>
            <w:r>
              <w:rPr/>
              <w:t>23</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5" w:type="dxa"/>
            <w:tcBorders/>
            <w:shd w:fill="auto" w:val="clear"/>
            <w:vAlign w:val="bottom"/>
          </w:tcPr>
          <w:p>
            <w:pPr>
              <w:pStyle w:val="TableContents"/>
              <w:spacing w:before="0" w:after="283"/>
              <w:jc w:val="right"/>
              <w:rPr/>
            </w:pPr>
            <w:r>
              <w:rPr/>
              <w:t>11</w:t>
            </w:r>
          </w:p>
        </w:tc>
        <w:tc>
          <w:tcPr>
            <w:tcW w:w="234"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and installment loans (net of valuation allowance) recorded on our balance sheets and the principal portion of active signature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total revenues increased $20.5 million, or 15%, to $153.8 million, compared to the prior year. This was due to a $20.8 million, or 16%, increase in same store total revenues partially offset by a $0.3 million decrease due to closed or consolidated stores net of revenues from new stores. Auto title loans and installment loans represented 95% of the growth in the segments total revenues. In the current year, we opened 50 stores in Canada and closed one, bringing our total there to 51.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August 2010, we stopped offering short-term payday loans in Colorado and instead began offering six-month installment loans ranging from $100 to $500 in principal, with a 45% interest rate plus finance charges and maintenance fees in accordance with a new state statute. This has shifted some of our signature loan balance from payday loans to installment loans, which is a lower yielding product, but gives us the ability to continue to serve that customer base.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net revenue increased $8.0 million, or 8%, compared to fiscal 2009. The increase resulted primarily from the rapid growth in installment loans and a 2.4 percentage point improvement in bad debt to 22.6% of fees, net of the drag from new stores and closed or consolidated stores. The improvement in bad debt was due to continuing improvements in the store level execution of servicing the customer and the loan, as well as enhanced productivity measurement tools and enhanced use of technology in our collections department. </w:t>
      </w:r>
    </w:p>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net revenues from auto title loans increased to $13.5 million in the current year with bad debt at 15.6% of related fees. This loan product is relatively new and had little volume in the prior year. We expect continued growth in the contribution from auto title loans as the product matures in the 390 EZMONEY stores now offering the product. Due to a new Wisconsin law that will take effect January 1, 2011, we will no longer offer auto title loans in Wisconsin.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segment began buying and scrapping gold jewelry in the current year, generating $0.2 million of gross profit, with a 52% gross margin.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$63.9 million (53% of net revenues) from $59.9 million (60% of net revenues) in the prior year. The increase was mostly from additional labor, rent and other costs at new stores net of closed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 the $8.0 million increase in net revenues from signature loans, $11.5 million increase in net revenues from auto title loans and $0.2 million in scrap sales gross profit were partially offset by $4.0 million greater operations expense, resulting in a $15.7 million net increase in store operating income from the EZMONEY Operations segment. For the current year, EZMONEY Operations comprised 27% of consolidated store operating income compared to 26% in fiscal 2009.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items discussed below affect our consolidated financial results, but are not allocated between segments.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the current year were $52.7 million (12% of net revenues) compared to $40.5 million (11% of net revenues) in the prior year. This increase was primarily due to an $8.9 million increase in administrative labor and benefits, a $2.1 million increase in professional fees and a $0.8 million increase in stock compensation. Included in the increased labor and benefits is a higher accrual for incentive compensation reflective of the years strong earnings performance and additional investments made in infrastructure to support our growth. In the first fiscal quarter of the prior year, administrative expense includes a $1.1 million bonus to two executives upon their exercise of employee stock options granted in 1998. Terms of the grants required us to pay a cash bonus to the two executives equal to the related tax savings realized by the company. We do not expect this to recur, as no other outstanding options contain similar terms. We do expect to recognize a one-time $10.8 million pre-tax charge in administrative expense in the quarter ending December 31, 2010 following the October 2010 retirement of our former Chief Executive Officer. The total charge includes $3.4 million attributable to cash payments and $7.4 million attributable to the vesting of restricted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$14.7 million in the current year, compared to $12.7 million in the prior year. Depreciation on assets placed in service, primarily related to acquired pawn stores and new stores, was partially offset by assets that were retired or became fully depreciated during the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 we recognized a $1.5 million loss on the closure or consolidation of several stores, including the 11 EZMONEY stores in the states of Wisconsin and Colorado, compared to a $1.0 million gain on disposal of assets in the prior year. In the prior year, insurance proceeds received for assets destroyed by Hurricane Ike exceeded the net book value of those assets, most of which were replaced.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borrowed $40 million on December 31, 2008 to complete the VFS acquisition, and repaid $15 million by September 30, 2010 through quarterly installments of $2.5 million each. Our $1.2 million net interest expense in the current year and $1.1 million in the prior year represent primarily interest on borrowed funds, the amortization of deferred financing costs and the commitment fee on our unused available credit, partially offset by interest income on our invested cash. Borrowings were outstanding for only three quarters of the prior year but were outstanding for the entire current year. This was mostly offset by the quarterly amortization of loan principal and lower interest rates in the current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equity in the net income of Albemarle &amp; Bond increased $1.8 million, or 36% in the current year to $6.8 million as a result of Albemarle &amp; Bonds higher earnings, partially offset by a weaker British pound in relation to the U.S. dollar. On November 6, 2009, we acquired 108,218,000 newly issued shares, or approximately 30% of the capital stock of Cash Converters International Limited, a publicly traded company headquartered in Perth, Australia for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approximately AUS $54.1 million (approximately U.S. $49.6 million). We acquired 16,200,000 additional shares on May 20, 2010 at a cost of AUS $9.7 million (approximately U.S. $8.2 million), which increased our ownership level to approximately 33%. In the current year our equity in the net income of Cash Converters was $3.9 million, accounted for on a 3-month lag.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years income tax expense was $54.2 million (35.8% of pretax income) compared to $36.8 million (35.0% of pretax income) in the prior year. The increase in the effective tax rate is primarily due to an increase in the valuation allowance established for the operating losses in our Canada operations during their start-up period in the current year. We estimate our effective tax rate in the year ending September 30, 2011 will be approximately 35.5%.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year improved $40.4 million, or 40%, over the prior year to $141.9 million. Contributing to this were the $40.9 million, $15.7 million and $0.4 million increases in store operating income in our U.S. Pawn, EZMONEY and Empeño Fácil segments, respectively, partially offset by the $12.2 million increase in administrative expenses, the $1.9 million increase in depreciation and amortization and the $2.5 million increase in loss on disposal of assets. After a $5.7 million increase in our equity interest in the earnings of unconsolidated affiliates and a $17.4 million increase in income taxes and other smaller items, net income improved $28.8 million, or 42%, to $97.3 million in fiscal 2010. </w:t>
      </w:r>
    </w:p>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Fiscal 2009 Compared to Fiscal 2008</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year ended September 30, 2009 to the year ended September 30, 2008. It should be read with the accompanying consolidated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U.S. Pawn Operations segment: </w:t>
      </w:r>
    </w:p>
    <w:tbl>
      <w:tblPr>
        <w:tblW w:w="5000" w:type="pct"/>
        <w:jc w:val="center"/>
        <w:tblInd w:w="0" w:type="dxa"/>
        <w:tblCellMar>
          <w:top w:w="0" w:type="dxa"/>
          <w:left w:w="0" w:type="dxa"/>
          <w:bottom w:w="0" w:type="dxa"/>
          <w:right w:w="0" w:type="dxa"/>
        </w:tblCellMar>
      </w:tblPr>
      <w:tblGrid>
        <w:gridCol w:w="6347"/>
        <w:gridCol w:w="419"/>
        <w:gridCol w:w="194"/>
        <w:gridCol w:w="1063"/>
        <w:gridCol w:w="259"/>
        <w:gridCol w:w="427"/>
        <w:gridCol w:w="194"/>
        <w:gridCol w:w="1067"/>
        <w:gridCol w:w="235"/>
      </w:tblGrid>
      <w:tr>
        <w:trPr/>
        <w:tc>
          <w:tcPr>
            <w:tcW w:w="634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3204"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5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59" w:type="dxa"/>
            <w:tcBorders>
              <w:bottom w:val="single" w:sz="2" w:space="0" w:color="000000"/>
            </w:tcBorders>
            <w:shd w:fill="auto" w:val="clear"/>
            <w:tcMar>
              <w:bottom w:w="28" w:type="dxa"/>
            </w:tcMar>
            <w:vAlign w:val="bottom"/>
          </w:tcPr>
          <w:p>
            <w:pPr>
              <w:pStyle w:val="TableContents"/>
              <w:spacing w:before="0" w:after="283"/>
              <w:rPr/>
            </w:pPr>
            <w:r>
              <w:rPr/>
              <w:t> </w:t>
            </w:r>
          </w:p>
        </w:tc>
        <w:tc>
          <w:tcPr>
            <w:tcW w:w="427" w:type="dxa"/>
            <w:tcBorders>
              <w:bottom w:val="single" w:sz="2" w:space="0" w:color="000000"/>
            </w:tcBorders>
            <w:shd w:fill="auto" w:val="clear"/>
            <w:tcMar>
              <w:bottom w:w="28" w:type="dxa"/>
            </w:tcMar>
            <w:vAlign w:val="bottom"/>
          </w:tcPr>
          <w:p>
            <w:pPr>
              <w:pStyle w:val="TableContents"/>
              <w:spacing w:before="0" w:after="283"/>
              <w:rPr/>
            </w:pPr>
            <w:r>
              <w:rPr/>
              <w:t> </w:t>
            </w:r>
          </w:p>
        </w:tc>
        <w:tc>
          <w:tcPr>
            <w:tcW w:w="126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3204" w:type="dxa"/>
            <w:gridSpan w:val="6"/>
            <w:tcBorders/>
            <w:shd w:fill="auto" w:val="clear"/>
            <w:vAlign w:val="bottom"/>
          </w:tcPr>
          <w:p>
            <w:pPr>
              <w:pStyle w:val="TableContents"/>
              <w:spacing w:before="0" w:after="283"/>
              <w:jc w:val="center"/>
              <w:rPr>
                <w:i/>
              </w:rPr>
            </w:pPr>
            <w:r>
              <w:rPr>
                <w:i/>
              </w:rPr>
              <w:t>(Dollars in thousands)</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Sales</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313,048</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225,747</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Pawn service charges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124,396</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89,431</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Signature loan fees</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2,293</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2,782</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Auto title loan fees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1,313</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Other</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6,646</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2,116</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6347" w:type="dxa"/>
            <w:tcBorders/>
            <w:shd w:fill="auto" w:val="clear"/>
            <w:vAlign w:val="bottom"/>
          </w:tcPr>
          <w:p>
            <w:pPr>
              <w:pStyle w:val="TableContents"/>
              <w:spacing w:before="0" w:after="0"/>
              <w:ind w:left="675" w:right="0" w:hanging="225"/>
              <w:rPr/>
            </w:pPr>
            <w:r>
              <w:rPr/>
              <w:t>Total revenues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447,696</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320,076</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Cost of goods sold</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196,914</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135,142</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Signature loan bad debt</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828</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1,108</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Auto title loan bad debt</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124</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6347" w:type="dxa"/>
            <w:tcBorders/>
            <w:shd w:fill="auto" w:val="clear"/>
            <w:vAlign w:val="bottom"/>
          </w:tcPr>
          <w:p>
            <w:pPr>
              <w:pStyle w:val="TableContents"/>
              <w:spacing w:before="0" w:after="0"/>
              <w:ind w:left="675" w:right="0" w:hanging="225"/>
              <w:rPr/>
            </w:pPr>
            <w:r>
              <w:rPr/>
              <w:t>Net revenues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249,830</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183,826</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Operations expense</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140,525</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98,581</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6347" w:type="dxa"/>
            <w:tcBorders/>
            <w:shd w:fill="auto" w:val="clear"/>
            <w:vAlign w:val="bottom"/>
          </w:tcPr>
          <w:p>
            <w:pPr>
              <w:pStyle w:val="TableContents"/>
              <w:spacing w:before="0" w:after="0"/>
              <w:ind w:left="675" w:right="0" w:hanging="225"/>
              <w:rPr/>
            </w:pPr>
            <w:r>
              <w:rPr/>
              <w:t>Store operating income</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3" w:type="dxa"/>
            <w:tcBorders/>
            <w:shd w:fill="auto" w:val="clear"/>
            <w:vAlign w:val="bottom"/>
          </w:tcPr>
          <w:p>
            <w:pPr>
              <w:pStyle w:val="TableContents"/>
              <w:spacing w:before="0" w:after="283"/>
              <w:jc w:val="right"/>
              <w:rPr/>
            </w:pPr>
            <w:r>
              <w:rPr/>
              <w:t>109,305</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7" w:type="dxa"/>
            <w:tcBorders/>
            <w:shd w:fill="auto" w:val="clear"/>
            <w:vAlign w:val="bottom"/>
          </w:tcPr>
          <w:p>
            <w:pPr>
              <w:pStyle w:val="TableContents"/>
              <w:spacing w:before="0" w:after="283"/>
              <w:jc w:val="right"/>
              <w:rPr/>
            </w:pPr>
            <w:r>
              <w:rPr/>
              <w:t>85,245</w:t>
            </w:r>
          </w:p>
        </w:tc>
        <w:tc>
          <w:tcPr>
            <w:tcW w:w="235" w:type="dxa"/>
            <w:tcBorders/>
            <w:shd w:fill="auto" w:val="clear"/>
            <w:vAlign w:val="bottom"/>
          </w:tcPr>
          <w:p>
            <w:pPr>
              <w:pStyle w:val="TableContents"/>
              <w:spacing w:before="0" w:after="283"/>
              <w:rPr/>
            </w:pPr>
            <w:r>
              <w:rPr/>
              <w:t> </w:t>
            </w:r>
          </w:p>
        </w:tc>
      </w:tr>
      <w:tr>
        <w:trPr/>
        <w:tc>
          <w:tcPr>
            <w:tcW w:w="6347"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5" w:type="dxa"/>
            <w:tcBorders/>
            <w:shd w:fill="auto" w:val="clear"/>
            <w:vAlign w:val="center"/>
          </w:tcPr>
          <w:p>
            <w:pPr>
              <w:pStyle w:val="TableContents"/>
              <w:spacing w:before="0" w:after="283"/>
              <w:rPr/>
            </w:pPr>
            <w:r>
              <w:rPr/>
              <w:t> </w:t>
            </w:r>
          </w:p>
        </w:tc>
      </w:tr>
      <w:tr>
        <w:trPr/>
        <w:tc>
          <w:tcPr>
            <w:tcW w:w="6347"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225" w:right="0" w:hanging="225"/>
              <w:rPr/>
            </w:pPr>
            <w:r>
              <w:rPr/>
              <w:t>Other data:</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Gross margin on sales</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37</w:t>
            </w:r>
          </w:p>
        </w:tc>
        <w:tc>
          <w:tcPr>
            <w:tcW w:w="259" w:type="dxa"/>
            <w:tcBorders/>
            <w:shd w:fill="auto" w:val="clear"/>
            <w:vAlign w:val="bottom"/>
          </w:tcPr>
          <w:p>
            <w:pPr>
              <w:pStyle w:val="TableContents"/>
              <w:spacing w:before="0" w:after="283"/>
              <w:rPr/>
            </w:pPr>
            <w:r>
              <w:rPr/>
              <w:t>%</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40</w:t>
            </w:r>
          </w:p>
        </w:tc>
        <w:tc>
          <w:tcPr>
            <w:tcW w:w="235" w:type="dxa"/>
            <w:tcBorders/>
            <w:shd w:fill="auto" w:val="clear"/>
            <w:vAlign w:val="bottom"/>
          </w:tcPr>
          <w:p>
            <w:pPr>
              <w:pStyle w:val="TableContents"/>
              <w:spacing w:before="0" w:after="283"/>
              <w:rPr/>
            </w:pPr>
            <w:r>
              <w:rPr/>
              <w:t>%</w:t>
            </w:r>
          </w:p>
        </w:tc>
      </w:tr>
      <w:tr>
        <w:trPr/>
        <w:tc>
          <w:tcPr>
            <w:tcW w:w="6347" w:type="dxa"/>
            <w:tcBorders/>
            <w:shd w:fill="CCEEFF" w:val="clear"/>
            <w:vAlign w:val="bottom"/>
          </w:tcPr>
          <w:p>
            <w:pPr>
              <w:pStyle w:val="TableContents"/>
              <w:spacing w:before="0" w:after="0"/>
              <w:ind w:left="450" w:right="0" w:hanging="225"/>
              <w:rPr/>
            </w:pPr>
            <w:r>
              <w:rPr/>
              <w:t>Annual inventory turnover</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3.7</w:t>
            </w:r>
          </w:p>
        </w:tc>
        <w:tc>
          <w:tcPr>
            <w:tcW w:w="259" w:type="dxa"/>
            <w:tcBorders/>
            <w:shd w:fill="CCEEFF" w:val="clear"/>
            <w:vAlign w:val="bottom"/>
          </w:tcPr>
          <w:p>
            <w:pPr>
              <w:pStyle w:val="TableContents"/>
              <w:spacing w:before="0" w:after="283"/>
              <w:rPr/>
            </w:pPr>
            <w:r>
              <w:rPr/>
              <w:t>x</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right"/>
              <w:rPr/>
            </w:pPr>
            <w:r>
              <w:rPr/>
              <w:t> </w:t>
            </w:r>
          </w:p>
        </w:tc>
        <w:tc>
          <w:tcPr>
            <w:tcW w:w="1067" w:type="dxa"/>
            <w:tcBorders/>
            <w:shd w:fill="CCEEFF" w:val="clear"/>
            <w:vAlign w:val="bottom"/>
          </w:tcPr>
          <w:p>
            <w:pPr>
              <w:pStyle w:val="TableContents"/>
              <w:spacing w:before="0" w:after="283"/>
              <w:jc w:val="right"/>
              <w:rPr/>
            </w:pPr>
            <w:r>
              <w:rPr/>
              <w:t>3.5</w:t>
            </w:r>
          </w:p>
        </w:tc>
        <w:tc>
          <w:tcPr>
            <w:tcW w:w="235" w:type="dxa"/>
            <w:tcBorders/>
            <w:shd w:fill="CCEEFF" w:val="clear"/>
            <w:vAlign w:val="bottom"/>
          </w:tcPr>
          <w:p>
            <w:pPr>
              <w:pStyle w:val="TableContents"/>
              <w:spacing w:before="0" w:after="283"/>
              <w:rPr/>
            </w:pPr>
            <w:r>
              <w:rPr/>
              <w:t>x</w:t>
            </w:r>
          </w:p>
        </w:tc>
      </w:tr>
      <w:tr>
        <w:trPr/>
        <w:tc>
          <w:tcPr>
            <w:tcW w:w="6347" w:type="dxa"/>
            <w:tcBorders/>
            <w:shd w:fill="auto" w:val="clear"/>
            <w:vAlign w:val="bottom"/>
          </w:tcPr>
          <w:p>
            <w:pPr>
              <w:pStyle w:val="TableContents"/>
              <w:spacing w:before="0" w:after="0"/>
              <w:ind w:left="450" w:right="0" w:hanging="225"/>
              <w:rPr/>
            </w:pPr>
            <w:r>
              <w:rPr/>
              <w:t>Average pawn loan balance per pawn store at year end</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3" w:type="dxa"/>
            <w:tcBorders/>
            <w:shd w:fill="auto" w:val="clear"/>
            <w:vAlign w:val="bottom"/>
          </w:tcPr>
          <w:p>
            <w:pPr>
              <w:pStyle w:val="TableContents"/>
              <w:spacing w:before="0" w:after="283"/>
              <w:jc w:val="right"/>
              <w:rPr/>
            </w:pPr>
            <w:r>
              <w:rPr/>
              <w:t>266</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7" w:type="dxa"/>
            <w:tcBorders/>
            <w:shd w:fill="auto" w:val="clear"/>
            <w:vAlign w:val="bottom"/>
          </w:tcPr>
          <w:p>
            <w:pPr>
              <w:pStyle w:val="TableContents"/>
              <w:spacing w:before="0" w:after="283"/>
              <w:jc w:val="right"/>
              <w:rPr/>
            </w:pPr>
            <w:r>
              <w:rPr/>
              <w:t>243</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Average inventory per pawn store at year end</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166</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137</w:t>
            </w:r>
          </w:p>
        </w:tc>
        <w:tc>
          <w:tcPr>
            <w:tcW w:w="235" w:type="dxa"/>
            <w:tcBorders/>
            <w:shd w:fill="CCEEFF" w:val="clear"/>
            <w:vAlign w:val="bottom"/>
          </w:tcPr>
          <w:p>
            <w:pPr>
              <w:pStyle w:val="TableContents"/>
              <w:spacing w:before="0" w:after="283"/>
              <w:rPr/>
            </w:pPr>
            <w:r>
              <w:rPr/>
              <w:t> </w:t>
            </w:r>
          </w:p>
        </w:tc>
      </w:tr>
      <w:tr>
        <w:trPr/>
        <w:tc>
          <w:tcPr>
            <w:tcW w:w="6347" w:type="dxa"/>
            <w:tcBorders/>
            <w:shd w:fill="auto" w:val="clear"/>
            <w:vAlign w:val="bottom"/>
          </w:tcPr>
          <w:p>
            <w:pPr>
              <w:pStyle w:val="TableContents"/>
              <w:spacing w:before="0" w:after="0"/>
              <w:ind w:left="450" w:right="0" w:hanging="225"/>
              <w:rPr/>
            </w:pPr>
            <w:r>
              <w:rPr/>
              <w:t>Average yield on pawn loan portfolio (a)</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150</w:t>
            </w:r>
          </w:p>
        </w:tc>
        <w:tc>
          <w:tcPr>
            <w:tcW w:w="259" w:type="dxa"/>
            <w:tcBorders/>
            <w:shd w:fill="auto" w:val="clear"/>
            <w:vAlign w:val="bottom"/>
          </w:tcPr>
          <w:p>
            <w:pPr>
              <w:pStyle w:val="TableContents"/>
              <w:spacing w:before="0" w:after="283"/>
              <w:rPr/>
            </w:pPr>
            <w:r>
              <w:rPr/>
              <w:t>%</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146</w:t>
            </w:r>
          </w:p>
        </w:tc>
        <w:tc>
          <w:tcPr>
            <w:tcW w:w="235" w:type="dxa"/>
            <w:tcBorders/>
            <w:shd w:fill="auto" w:val="clear"/>
            <w:vAlign w:val="bottom"/>
          </w:tcPr>
          <w:p>
            <w:pPr>
              <w:pStyle w:val="TableContents"/>
              <w:spacing w:before="0" w:after="283"/>
              <w:rPr/>
            </w:pPr>
            <w:r>
              <w:rPr/>
              <w:t>%</w:t>
            </w:r>
          </w:p>
        </w:tc>
      </w:tr>
      <w:tr>
        <w:trPr/>
        <w:tc>
          <w:tcPr>
            <w:tcW w:w="6347" w:type="dxa"/>
            <w:tcBorders/>
            <w:shd w:fill="CCEEFF" w:val="clear"/>
            <w:vAlign w:val="bottom"/>
          </w:tcPr>
          <w:p>
            <w:pPr>
              <w:pStyle w:val="TableContents"/>
              <w:spacing w:before="0" w:after="0"/>
              <w:ind w:left="450" w:right="0" w:hanging="225"/>
              <w:rPr/>
            </w:pPr>
            <w:r>
              <w:rPr/>
              <w:t>Pawn loan redemption rate</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63" w:type="dxa"/>
            <w:tcBorders/>
            <w:shd w:fill="CCEEFF" w:val="clear"/>
            <w:vAlign w:val="bottom"/>
          </w:tcPr>
          <w:p>
            <w:pPr>
              <w:pStyle w:val="TableContents"/>
              <w:spacing w:before="0" w:after="283"/>
              <w:jc w:val="right"/>
              <w:rPr/>
            </w:pPr>
            <w:r>
              <w:rPr/>
              <w:t>79</w:t>
            </w:r>
          </w:p>
        </w:tc>
        <w:tc>
          <w:tcPr>
            <w:tcW w:w="259" w:type="dxa"/>
            <w:tcBorders/>
            <w:shd w:fill="CCEEFF" w:val="clear"/>
            <w:vAlign w:val="bottom"/>
          </w:tcPr>
          <w:p>
            <w:pPr>
              <w:pStyle w:val="TableContents"/>
              <w:spacing w:before="0" w:after="283"/>
              <w:rPr/>
            </w:pPr>
            <w:r>
              <w:rPr/>
              <w:t>%</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79</w:t>
            </w:r>
          </w:p>
        </w:tc>
        <w:tc>
          <w:tcPr>
            <w:tcW w:w="235" w:type="dxa"/>
            <w:tcBorders/>
            <w:shd w:fill="CCEEFF" w:val="clear"/>
            <w:vAlign w:val="bottom"/>
          </w:tcPr>
          <w:p>
            <w:pPr>
              <w:pStyle w:val="TableContents"/>
              <w:spacing w:before="0" w:after="283"/>
              <w:rPr/>
            </w:pPr>
            <w:r>
              <w:rPr/>
              <w:t>%</w:t>
            </w:r>
          </w:p>
        </w:tc>
      </w:tr>
      <w:tr>
        <w:trPr/>
        <w:tc>
          <w:tcPr>
            <w:tcW w:w="6347" w:type="dxa"/>
            <w:tcBorders/>
            <w:shd w:fill="auto" w:val="clear"/>
            <w:vAlign w:val="bottom"/>
          </w:tcPr>
          <w:p>
            <w:pPr>
              <w:pStyle w:val="TableContents"/>
              <w:spacing w:before="0" w:after="0"/>
              <w:ind w:left="450" w:right="0" w:hanging="225"/>
              <w:rPr/>
            </w:pPr>
            <w:r>
              <w:rPr/>
              <w:t>Average signature loan balance per store offering signature loans at year end (b)</w:t>
            </w:r>
          </w:p>
        </w:tc>
        <w:tc>
          <w:tcPr>
            <w:tcW w:w="41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3" w:type="dxa"/>
            <w:tcBorders/>
            <w:shd w:fill="auto" w:val="clear"/>
            <w:vAlign w:val="bottom"/>
          </w:tcPr>
          <w:p>
            <w:pPr>
              <w:pStyle w:val="TableContents"/>
              <w:spacing w:before="0" w:after="283"/>
              <w:jc w:val="right"/>
              <w:rPr/>
            </w:pPr>
            <w:r>
              <w:rPr/>
              <w:t>9</w:t>
            </w:r>
          </w:p>
        </w:tc>
        <w:tc>
          <w:tcPr>
            <w:tcW w:w="25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7" w:type="dxa"/>
            <w:tcBorders/>
            <w:shd w:fill="auto" w:val="clear"/>
            <w:vAlign w:val="bottom"/>
          </w:tcPr>
          <w:p>
            <w:pPr>
              <w:pStyle w:val="TableContents"/>
              <w:spacing w:before="0" w:after="283"/>
              <w:jc w:val="right"/>
              <w:rPr/>
            </w:pPr>
            <w:r>
              <w:rPr/>
              <w:t>11</w:t>
            </w:r>
          </w:p>
        </w:tc>
        <w:tc>
          <w:tcPr>
            <w:tcW w:w="235" w:type="dxa"/>
            <w:tcBorders/>
            <w:shd w:fill="auto" w:val="clear"/>
            <w:vAlign w:val="bottom"/>
          </w:tcPr>
          <w:p>
            <w:pPr>
              <w:pStyle w:val="TableContents"/>
              <w:spacing w:before="0" w:after="283"/>
              <w:rPr/>
            </w:pPr>
            <w:r>
              <w:rPr/>
              <w:t> </w:t>
            </w:r>
          </w:p>
        </w:tc>
      </w:tr>
      <w:tr>
        <w:trPr/>
        <w:tc>
          <w:tcPr>
            <w:tcW w:w="6347" w:type="dxa"/>
            <w:tcBorders/>
            <w:shd w:fill="CCEEFF" w:val="clear"/>
            <w:vAlign w:val="bottom"/>
          </w:tcPr>
          <w:p>
            <w:pPr>
              <w:pStyle w:val="TableContents"/>
              <w:spacing w:before="0" w:after="0"/>
              <w:ind w:left="450" w:right="0" w:hanging="225"/>
              <w:rPr/>
            </w:pPr>
            <w:r>
              <w:rPr/>
              <w:t>Average auto title loan balance per store offering auto title loans at year end (c)</w:t>
            </w:r>
          </w:p>
        </w:tc>
        <w:tc>
          <w:tcPr>
            <w:tcW w:w="41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14</w:t>
            </w:r>
          </w:p>
        </w:tc>
        <w:tc>
          <w:tcPr>
            <w:tcW w:w="259"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7" w:type="dxa"/>
            <w:tcBorders/>
            <w:shd w:fill="CCEEFF" w:val="clear"/>
            <w:vAlign w:val="bottom"/>
          </w:tcPr>
          <w:p>
            <w:pPr>
              <w:pStyle w:val="TableContents"/>
              <w:spacing w:before="0" w:after="283"/>
              <w:jc w:val="right"/>
              <w:rPr/>
            </w:pPr>
            <w:r>
              <w:rPr/>
              <w:t></w:t>
            </w:r>
          </w:p>
        </w:tc>
        <w:tc>
          <w:tcPr>
            <w:tcW w:w="235"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Average yield on pawn loan portfolio is calculated as pawn service charge revenue for the period divided by the average pawn loan balance during the period.</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loans (net of valuation allowance) recorded on our balance sheets and the principal portion of active brokered signature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segment total revenues increased $127.6 million, or 40%, from fiscal 2008 to $447.7 million. Same store total revenues increased $15.6 million, or 5%, and acquired stores contributed $112.0 million. The overall increase in total revenues was comprised of an $87.3 million increase in merchandise and jewelry scrapping sales, a $35.0 million increase in pawn service charges, a $4.5 million increase in other revenues and $1.3 million in auto title loan revenues, offset by a $0.5 million decrease in signature loan revenues. The U.S. Pawn segment accounted for 75% of our consolidated total revenues in fiscal 2009. </w:t>
      </w:r>
    </w:p>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fiscal 2009 U.S. pawn service charge revenue increased 39%, or $35.0 million, from fiscal 2008 to $124.4 million. Same store pawn service charges increased $7.7 million, or 9%, and acquired stores contributed $27.3 million. The same store improvement was due primarily to an 8% higher average pawn loan balance. We estimate fiscal 2008 pawn service charges were reduced $0.6 million by temporary store closures from Hurricane Ike in September 2008.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our sales volume, gross profit and gross margins: </w:t>
      </w:r>
    </w:p>
    <w:tbl>
      <w:tblPr>
        <w:tblW w:w="5000" w:type="pct"/>
        <w:jc w:val="center"/>
        <w:tblInd w:w="0" w:type="dxa"/>
        <w:tblCellMar>
          <w:top w:w="0" w:type="dxa"/>
          <w:left w:w="0" w:type="dxa"/>
          <w:bottom w:w="0" w:type="dxa"/>
          <w:right w:w="0" w:type="dxa"/>
        </w:tblCellMar>
      </w:tblPr>
      <w:tblGrid>
        <w:gridCol w:w="6214"/>
        <w:gridCol w:w="403"/>
        <w:gridCol w:w="243"/>
        <w:gridCol w:w="1045"/>
        <w:gridCol w:w="335"/>
        <w:gridCol w:w="429"/>
        <w:gridCol w:w="243"/>
        <w:gridCol w:w="1046"/>
        <w:gridCol w:w="247"/>
      </w:tblGrid>
      <w:tr>
        <w:trPr/>
        <w:tc>
          <w:tcPr>
            <w:tcW w:w="621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3341"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28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3341" w:type="dxa"/>
            <w:gridSpan w:val="6"/>
            <w:tcBorders/>
            <w:shd w:fill="auto" w:val="clear"/>
            <w:vAlign w:val="bottom"/>
          </w:tcPr>
          <w:p>
            <w:pPr>
              <w:pStyle w:val="TableContents"/>
              <w:spacing w:before="0" w:after="283"/>
              <w:jc w:val="center"/>
              <w:rPr>
                <w:i/>
              </w:rPr>
            </w:pPr>
            <w:r>
              <w:rPr>
                <w:i/>
              </w:rPr>
              <w:t>(Dollars in millions)</w:t>
            </w:r>
          </w:p>
        </w:tc>
        <w:tc>
          <w:tcPr>
            <w:tcW w:w="247" w:type="dxa"/>
            <w:tcBorders/>
            <w:shd w:fill="auto" w:val="clear"/>
            <w:vAlign w:val="bottom"/>
          </w:tcPr>
          <w:p>
            <w:pPr>
              <w:pStyle w:val="TableContents"/>
              <w:spacing w:before="0" w:after="283"/>
              <w:rPr/>
            </w:pPr>
            <w:r>
              <w:rPr/>
              <w:t> </w:t>
            </w:r>
          </w:p>
        </w:tc>
      </w:tr>
      <w:tr>
        <w:trPr/>
        <w:tc>
          <w:tcPr>
            <w:tcW w:w="6214" w:type="dxa"/>
            <w:tcBorders/>
            <w:shd w:fill="CCEEFF" w:val="clear"/>
            <w:vAlign w:val="bottom"/>
          </w:tcPr>
          <w:p>
            <w:pPr>
              <w:pStyle w:val="TableContents"/>
              <w:spacing w:before="0" w:after="0"/>
              <w:ind w:left="225" w:right="0" w:hanging="225"/>
              <w:rPr/>
            </w:pPr>
            <w:r>
              <w:rPr/>
              <w:t>Merchandise sales</w:t>
            </w:r>
          </w:p>
        </w:tc>
        <w:tc>
          <w:tcPr>
            <w:tcW w:w="40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1045" w:type="dxa"/>
            <w:tcBorders/>
            <w:shd w:fill="CCEEFF" w:val="clear"/>
            <w:vAlign w:val="bottom"/>
          </w:tcPr>
          <w:p>
            <w:pPr>
              <w:pStyle w:val="TableContents"/>
              <w:spacing w:before="0" w:after="283"/>
              <w:jc w:val="right"/>
              <w:rPr/>
            </w:pPr>
            <w:r>
              <w:rPr/>
              <w:t>196.0</w:t>
            </w:r>
          </w:p>
        </w:tc>
        <w:tc>
          <w:tcPr>
            <w:tcW w:w="33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1046" w:type="dxa"/>
            <w:tcBorders/>
            <w:shd w:fill="CCEEFF" w:val="clear"/>
            <w:vAlign w:val="bottom"/>
          </w:tcPr>
          <w:p>
            <w:pPr>
              <w:pStyle w:val="TableContents"/>
              <w:spacing w:before="0" w:after="283"/>
              <w:jc w:val="right"/>
              <w:rPr/>
            </w:pPr>
            <w:r>
              <w:rPr/>
              <w:t>149.9</w:t>
            </w:r>
          </w:p>
        </w:tc>
        <w:tc>
          <w:tcPr>
            <w:tcW w:w="247" w:type="dxa"/>
            <w:tcBorders/>
            <w:shd w:fill="CCEEFF"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Jewelry scrapping sales</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jc w:val="right"/>
              <w:rPr/>
            </w:pPr>
            <w:r>
              <w:rPr/>
              <w:t>117.0</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jc w:val="right"/>
              <w:rPr/>
            </w:pPr>
            <w:r>
              <w:rPr/>
              <w:t>75.8</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center"/>
          </w:tcPr>
          <w:p>
            <w:pPr>
              <w:pStyle w:val="TableContents"/>
              <w:spacing w:before="0" w:after="0"/>
              <w:ind w:left="225" w:right="0" w:hanging="225"/>
              <w:rPr/>
            </w:pPr>
            <w:r>
              <w:rPr/>
              <w:t> </w:t>
            </w:r>
          </w:p>
        </w:tc>
        <w:tc>
          <w:tcPr>
            <w:tcW w:w="403"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7" w:type="dxa"/>
            <w:tcBorders/>
            <w:shd w:fill="auto" w:val="clear"/>
            <w:vAlign w:val="center"/>
          </w:tcPr>
          <w:p>
            <w:pPr>
              <w:pStyle w:val="TableContents"/>
              <w:spacing w:before="0" w:after="283"/>
              <w:rPr/>
            </w:pPr>
            <w:r>
              <w:rPr/>
              <w:t> </w:t>
            </w:r>
          </w:p>
        </w:tc>
      </w:tr>
      <w:tr>
        <w:trPr/>
        <w:tc>
          <w:tcPr>
            <w:tcW w:w="6214" w:type="dxa"/>
            <w:tcBorders/>
            <w:shd w:fill="CCEEFF" w:val="clear"/>
            <w:vAlign w:val="bottom"/>
          </w:tcPr>
          <w:p>
            <w:pPr>
              <w:pStyle w:val="TableContents"/>
              <w:spacing w:before="0" w:after="0"/>
              <w:ind w:left="225" w:right="0" w:hanging="225"/>
              <w:rPr/>
            </w:pPr>
            <w:r>
              <w:rPr/>
              <w:t>Total sales</w:t>
            </w:r>
          </w:p>
        </w:tc>
        <w:tc>
          <w:tcPr>
            <w:tcW w:w="40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pPr>
            <w:r>
              <w:rPr/>
              <w:t>313.0</w:t>
            </w:r>
          </w:p>
        </w:tc>
        <w:tc>
          <w:tcPr>
            <w:tcW w:w="33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pPr>
            <w:r>
              <w:rPr/>
              <w:t>225.7</w:t>
            </w:r>
          </w:p>
        </w:tc>
        <w:tc>
          <w:tcPr>
            <w:tcW w:w="247" w:type="dxa"/>
            <w:tcBorders/>
            <w:shd w:fill="CCEEFF"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 </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Gross profit on merchandise sales</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w:t>
            </w:r>
          </w:p>
        </w:tc>
        <w:tc>
          <w:tcPr>
            <w:tcW w:w="1045" w:type="dxa"/>
            <w:tcBorders/>
            <w:shd w:fill="auto" w:val="clear"/>
            <w:vAlign w:val="bottom"/>
          </w:tcPr>
          <w:p>
            <w:pPr>
              <w:pStyle w:val="TableContents"/>
              <w:spacing w:before="0" w:after="283"/>
              <w:jc w:val="right"/>
              <w:rPr/>
            </w:pPr>
            <w:r>
              <w:rPr/>
              <w:t>74.9</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w:t>
            </w:r>
          </w:p>
        </w:tc>
        <w:tc>
          <w:tcPr>
            <w:tcW w:w="1046" w:type="dxa"/>
            <w:tcBorders/>
            <w:shd w:fill="auto" w:val="clear"/>
            <w:vAlign w:val="bottom"/>
          </w:tcPr>
          <w:p>
            <w:pPr>
              <w:pStyle w:val="TableContents"/>
              <w:spacing w:before="0" w:after="283"/>
              <w:jc w:val="right"/>
              <w:rPr/>
            </w:pPr>
            <w:r>
              <w:rPr/>
              <w:t>61.0</w:t>
            </w:r>
          </w:p>
        </w:tc>
        <w:tc>
          <w:tcPr>
            <w:tcW w:w="247" w:type="dxa"/>
            <w:tcBorders/>
            <w:shd w:fill="auto" w:val="clear"/>
            <w:vAlign w:val="bottom"/>
          </w:tcPr>
          <w:p>
            <w:pPr>
              <w:pStyle w:val="TableContents"/>
              <w:spacing w:before="0" w:after="283"/>
              <w:rPr/>
            </w:pPr>
            <w:r>
              <w:rPr/>
              <w:t> </w:t>
            </w:r>
          </w:p>
        </w:tc>
      </w:tr>
      <w:tr>
        <w:trPr/>
        <w:tc>
          <w:tcPr>
            <w:tcW w:w="6214" w:type="dxa"/>
            <w:tcBorders/>
            <w:shd w:fill="CCEEFF" w:val="clear"/>
            <w:vAlign w:val="bottom"/>
          </w:tcPr>
          <w:p>
            <w:pPr>
              <w:pStyle w:val="TableContents"/>
              <w:spacing w:before="0" w:after="0"/>
              <w:ind w:left="225" w:right="0" w:hanging="225"/>
              <w:rPr/>
            </w:pPr>
            <w:r>
              <w:rPr/>
              <w:t>Gross profit on jewelry scrapping sales</w:t>
            </w:r>
          </w:p>
        </w:tc>
        <w:tc>
          <w:tcPr>
            <w:tcW w:w="40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pPr>
            <w:r>
              <w:rPr/>
              <w:t>41.3</w:t>
            </w:r>
          </w:p>
        </w:tc>
        <w:tc>
          <w:tcPr>
            <w:tcW w:w="33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pPr>
            <w:r>
              <w:rPr/>
              <w:t>29.6</w:t>
            </w:r>
          </w:p>
        </w:tc>
        <w:tc>
          <w:tcPr>
            <w:tcW w:w="247" w:type="dxa"/>
            <w:tcBorders/>
            <w:shd w:fill="CCEEFF"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 </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214" w:type="dxa"/>
            <w:tcBorders/>
            <w:shd w:fill="auto" w:val="clear"/>
            <w:vAlign w:val="bottom"/>
          </w:tcPr>
          <w:p>
            <w:pPr>
              <w:pStyle w:val="TableContents"/>
              <w:spacing w:before="0" w:after="0"/>
              <w:ind w:left="225" w:right="0" w:hanging="225"/>
              <w:rPr/>
            </w:pPr>
            <w:r>
              <w:rPr/>
              <w:t>Gross margin on merchandise sales</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38.2</w:t>
            </w:r>
          </w:p>
        </w:tc>
        <w:tc>
          <w:tcPr>
            <w:tcW w:w="335"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 </w:t>
            </w:r>
          </w:p>
        </w:tc>
        <w:tc>
          <w:tcPr>
            <w:tcW w:w="1046" w:type="dxa"/>
            <w:tcBorders/>
            <w:shd w:fill="auto" w:val="clear"/>
            <w:vAlign w:val="bottom"/>
          </w:tcPr>
          <w:p>
            <w:pPr>
              <w:pStyle w:val="TableContents"/>
              <w:spacing w:before="0" w:after="283"/>
              <w:jc w:val="right"/>
              <w:rPr/>
            </w:pPr>
            <w:r>
              <w:rPr/>
              <w:t>40.7</w:t>
            </w:r>
          </w:p>
        </w:tc>
        <w:tc>
          <w:tcPr>
            <w:tcW w:w="247" w:type="dxa"/>
            <w:tcBorders/>
            <w:shd w:fill="auto" w:val="clear"/>
            <w:vAlign w:val="bottom"/>
          </w:tcPr>
          <w:p>
            <w:pPr>
              <w:pStyle w:val="TableContents"/>
              <w:spacing w:before="0" w:after="283"/>
              <w:rPr/>
            </w:pPr>
            <w:r>
              <w:rPr/>
              <w:t>%</w:t>
            </w:r>
          </w:p>
        </w:tc>
      </w:tr>
      <w:tr>
        <w:trPr/>
        <w:tc>
          <w:tcPr>
            <w:tcW w:w="6214" w:type="dxa"/>
            <w:tcBorders/>
            <w:shd w:fill="CCEEFF" w:val="clear"/>
            <w:vAlign w:val="bottom"/>
          </w:tcPr>
          <w:p>
            <w:pPr>
              <w:pStyle w:val="TableContents"/>
              <w:spacing w:before="0" w:after="0"/>
              <w:ind w:left="225" w:right="0" w:hanging="225"/>
              <w:rPr/>
            </w:pPr>
            <w:r>
              <w:rPr/>
              <w:t>Gross margin on jewelry scrapping sales</w:t>
            </w:r>
          </w:p>
        </w:tc>
        <w:tc>
          <w:tcPr>
            <w:tcW w:w="40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35.3</w:t>
            </w:r>
          </w:p>
        </w:tc>
        <w:tc>
          <w:tcPr>
            <w:tcW w:w="335"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39.0</w:t>
            </w:r>
          </w:p>
        </w:tc>
        <w:tc>
          <w:tcPr>
            <w:tcW w:w="247" w:type="dxa"/>
            <w:tcBorders/>
            <w:shd w:fill="CCEEFF" w:val="clear"/>
            <w:vAlign w:val="bottom"/>
          </w:tcPr>
          <w:p>
            <w:pPr>
              <w:pStyle w:val="TableContents"/>
              <w:spacing w:before="0" w:after="283"/>
              <w:rPr/>
            </w:pPr>
            <w:r>
              <w:rPr/>
              <w:t>%</w:t>
            </w:r>
          </w:p>
        </w:tc>
      </w:tr>
      <w:tr>
        <w:trPr/>
        <w:tc>
          <w:tcPr>
            <w:tcW w:w="6214" w:type="dxa"/>
            <w:tcBorders/>
            <w:shd w:fill="auto" w:val="clear"/>
            <w:vAlign w:val="bottom"/>
          </w:tcPr>
          <w:p>
            <w:pPr>
              <w:pStyle w:val="TableContents"/>
              <w:spacing w:before="0" w:after="0"/>
              <w:ind w:left="225" w:right="0" w:hanging="225"/>
              <w:rPr/>
            </w:pPr>
            <w:r>
              <w:rPr/>
              <w:t>Overall gross margin</w:t>
            </w:r>
          </w:p>
        </w:tc>
        <w:tc>
          <w:tcPr>
            <w:tcW w:w="40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 </w:t>
            </w:r>
          </w:p>
        </w:tc>
        <w:tc>
          <w:tcPr>
            <w:tcW w:w="1045" w:type="dxa"/>
            <w:tcBorders/>
            <w:shd w:fill="auto" w:val="clear"/>
            <w:vAlign w:val="bottom"/>
          </w:tcPr>
          <w:p>
            <w:pPr>
              <w:pStyle w:val="TableContents"/>
              <w:spacing w:before="0" w:after="283"/>
              <w:jc w:val="right"/>
              <w:rPr/>
            </w:pPr>
            <w:r>
              <w:rPr/>
              <w:t>37.1</w:t>
            </w:r>
          </w:p>
        </w:tc>
        <w:tc>
          <w:tcPr>
            <w:tcW w:w="335"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jc w:val="left"/>
              <w:rPr/>
            </w:pPr>
            <w:r>
              <w:rPr/>
              <w:t> </w:t>
            </w:r>
          </w:p>
        </w:tc>
        <w:tc>
          <w:tcPr>
            <w:tcW w:w="1046" w:type="dxa"/>
            <w:tcBorders/>
            <w:shd w:fill="auto" w:val="clear"/>
            <w:vAlign w:val="bottom"/>
          </w:tcPr>
          <w:p>
            <w:pPr>
              <w:pStyle w:val="TableContents"/>
              <w:spacing w:before="0" w:after="283"/>
              <w:jc w:val="right"/>
              <w:rPr/>
            </w:pPr>
            <w:r>
              <w:rPr/>
              <w:t>40.1</w:t>
            </w:r>
          </w:p>
        </w:tc>
        <w:tc>
          <w:tcPr>
            <w:tcW w:w="247"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Fiscal 2009 merchandise sales gross profit increased $13.9 million, or 23%, from fiscal 2008 to $74.9 million. This was due to $46.8 million in sales from the 77 U.S. pawn stores acquired in November and December 2008, partially offset by a $0.7 million, or 0.5%, decrease in same store sales and a 2.5 percentage point decrease in gross margins to 38.2%. Same store sales of general merchandise increased 5%, while same store jewelry sales decreased 6% as gold jewelry became more expensive and as customer purchases of luxury items slowed in the recessionary environment. The decrease in gross margins was due primarily to more aggressive discounting of jewelry in a more challenging retail environment in fiscal 2009. We estimate temporary store closures from Hurricane Ike in September 2008 reduced fiscal 2008s gross profit on merchandise sales approximately $0.2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Gross profit on jewelry scrapping sales increased $11.7 million, or 39%, from fiscal 2008 to $41.3 million on greater volume and a 3.7 percentage point decrease in gross margins to 35.3%. Acquired stores contributed $13.4 million, offset by a $1.7 million same store decrease in scrap gross profit. Including $35.8 million from acquired stores, scrapping revenues increased $41.2 million, or 54%, on 55% more volume while proceeds realized per gram of jewelry scrapped remained relatively constant. Jewelry scrapping sales in both fiscal 2009 and 2008 include the sale of approximately $1.2 million of loose diamonds removed from scrapped jewelry. Primarily as a result of the increased volume, scrap cost of goods increased $29.5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U.S. pawn segment began offering auto title loans with its acquisition of 11 pawn stores in the Las Vegas, Nevada area in mid-November 2008 and expanded to a total of 68 stores by September 30, 2009. The segments auto title loan contribution, or fees less bad debt, was $1.2 million in fiscal 2009, with bad debt at 9.4% of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$140.5 million (56% of net revenues) in fiscal 2009 from $98.6 million (54% of net revenues) in fiscal 2008. The increase in dollar and percentage terms was primarily due to higher operating costs at acquired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2009, the $65.0 million greater net revenue from U.S. pawn activities and the $1.2 million in auto title loan contribution, partially offset by a $0.2 million decrease in contribution from signature loans and the $41.9 million higher operations expense, resulted in a $24.1 million overall increase in store operating income from the U.S. Pawn Operations segment compared to fiscal 2008. Acquired stores comprised $20.1 million of the $24.1 million increase in the segments store operating income. For the year, the segment comprised 71% of consolidated store operating income compared to 70% in fiscal 2008. </w:t>
      </w:r>
    </w:p>
    <w:p>
      <w:pPr>
        <w:pStyle w:val="TextBody"/>
        <w:jc w:val="center"/>
        <w:rPr>
          <w:rFonts w:ascii="Times New Roman;Times;serif" w:hAnsi="Times New Roman;Times;serif"/>
          <w:sz w:val="17"/>
        </w:rPr>
      </w:pPr>
      <w:r>
        <w:rPr>
          <w:rFonts w:ascii="Times New Roman;Times;serif" w:hAnsi="Times New Roman;Times;serif"/>
          <w:sz w:val="17"/>
        </w:rP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Empeño Fácil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Empeño Fácil segment after translation to U.S. dollars and in its functional currency of the Mexican peso: </w:t>
      </w:r>
    </w:p>
    <w:tbl>
      <w:tblPr>
        <w:tblW w:w="5000" w:type="pct"/>
        <w:jc w:val="center"/>
        <w:tblInd w:w="0" w:type="dxa"/>
        <w:tblCellMar>
          <w:top w:w="0" w:type="dxa"/>
          <w:left w:w="0" w:type="dxa"/>
          <w:bottom w:w="0" w:type="dxa"/>
          <w:right w:w="0" w:type="dxa"/>
        </w:tblCellMar>
      </w:tblPr>
      <w:tblGrid>
        <w:gridCol w:w="3690"/>
        <w:gridCol w:w="337"/>
        <w:gridCol w:w="178"/>
        <w:gridCol w:w="875"/>
        <w:gridCol w:w="242"/>
        <w:gridCol w:w="342"/>
        <w:gridCol w:w="178"/>
        <w:gridCol w:w="876"/>
        <w:gridCol w:w="222"/>
        <w:gridCol w:w="337"/>
        <w:gridCol w:w="165"/>
        <w:gridCol w:w="903"/>
        <w:gridCol w:w="222"/>
        <w:gridCol w:w="337"/>
        <w:gridCol w:w="165"/>
        <w:gridCol w:w="903"/>
        <w:gridCol w:w="233"/>
      </w:tblGrid>
      <w:tr>
        <w:trPr/>
        <w:tc>
          <w:tcPr>
            <w:tcW w:w="36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5945" w:type="dxa"/>
            <w:gridSpan w:val="14"/>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33" w:type="dxa"/>
            <w:tcBorders/>
            <w:shd w:fill="auto"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05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42" w:type="dxa"/>
            <w:tcBorders>
              <w:bottom w:val="single" w:sz="2" w:space="0" w:color="000000"/>
            </w:tcBorders>
            <w:shd w:fill="auto" w:val="clear"/>
            <w:tcMar>
              <w:bottom w:w="28" w:type="dxa"/>
            </w:tcMar>
            <w:vAlign w:val="bottom"/>
          </w:tcPr>
          <w:p>
            <w:pPr>
              <w:pStyle w:val="TableContents"/>
              <w:spacing w:before="0" w:after="283"/>
              <w:rPr/>
            </w:pPr>
            <w:r>
              <w:rPr/>
              <w:t> </w:t>
            </w:r>
          </w:p>
        </w:tc>
        <w:tc>
          <w:tcPr>
            <w:tcW w:w="342" w:type="dxa"/>
            <w:tcBorders>
              <w:bottom w:val="single" w:sz="2" w:space="0" w:color="000000"/>
            </w:tcBorders>
            <w:shd w:fill="auto" w:val="clear"/>
            <w:tcMar>
              <w:bottom w:w="28" w:type="dxa"/>
            </w:tcMar>
            <w:vAlign w:val="bottom"/>
          </w:tcPr>
          <w:p>
            <w:pPr>
              <w:pStyle w:val="TableContents"/>
              <w:spacing w:before="0" w:after="283"/>
              <w:rPr/>
            </w:pPr>
            <w:r>
              <w:rPr/>
              <w:t> </w:t>
            </w:r>
          </w:p>
        </w:tc>
        <w:tc>
          <w:tcPr>
            <w:tcW w:w="105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22" w:type="dxa"/>
            <w:tcBorders>
              <w:bottom w:val="single" w:sz="2" w:space="0" w:color="000000"/>
            </w:tcBorders>
            <w:shd w:fill="auto" w:val="clear"/>
            <w:tcMar>
              <w:bottom w:w="28" w:type="dxa"/>
            </w:tcMar>
            <w:vAlign w:val="bottom"/>
          </w:tcPr>
          <w:p>
            <w:pPr>
              <w:pStyle w:val="TableContents"/>
              <w:spacing w:before="0" w:after="283"/>
              <w:rPr/>
            </w:pPr>
            <w:r>
              <w:rPr/>
              <w:t> </w:t>
            </w:r>
          </w:p>
        </w:tc>
        <w:tc>
          <w:tcPr>
            <w:tcW w:w="337" w:type="dxa"/>
            <w:tcBorders>
              <w:bottom w:val="single" w:sz="2" w:space="0" w:color="000000"/>
            </w:tcBorders>
            <w:shd w:fill="auto" w:val="clear"/>
            <w:tcMar>
              <w:bottom w:w="28" w:type="dxa"/>
            </w:tcMar>
            <w:vAlign w:val="bottom"/>
          </w:tcPr>
          <w:p>
            <w:pPr>
              <w:pStyle w:val="TableContents"/>
              <w:spacing w:before="0" w:after="283"/>
              <w:rPr/>
            </w:pPr>
            <w:r>
              <w:rPr/>
              <w:t> </w:t>
            </w:r>
          </w:p>
        </w:tc>
        <w:tc>
          <w:tcPr>
            <w:tcW w:w="106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22" w:type="dxa"/>
            <w:tcBorders>
              <w:bottom w:val="single" w:sz="2" w:space="0" w:color="000000"/>
            </w:tcBorders>
            <w:shd w:fill="auto" w:val="clear"/>
            <w:tcMar>
              <w:bottom w:w="28" w:type="dxa"/>
            </w:tcMar>
            <w:vAlign w:val="bottom"/>
          </w:tcPr>
          <w:p>
            <w:pPr>
              <w:pStyle w:val="TableContents"/>
              <w:spacing w:before="0" w:after="283"/>
              <w:rPr/>
            </w:pPr>
            <w:r>
              <w:rPr/>
              <w:t> </w:t>
            </w:r>
          </w:p>
        </w:tc>
        <w:tc>
          <w:tcPr>
            <w:tcW w:w="337" w:type="dxa"/>
            <w:tcBorders>
              <w:bottom w:val="single" w:sz="2" w:space="0" w:color="000000"/>
            </w:tcBorders>
            <w:shd w:fill="auto" w:val="clear"/>
            <w:tcMar>
              <w:bottom w:w="28" w:type="dxa"/>
            </w:tcMar>
            <w:vAlign w:val="bottom"/>
          </w:tcPr>
          <w:p>
            <w:pPr>
              <w:pStyle w:val="TableContents"/>
              <w:spacing w:before="0" w:after="283"/>
              <w:rPr/>
            </w:pPr>
            <w:r>
              <w:rPr/>
              <w:t> </w:t>
            </w:r>
          </w:p>
        </w:tc>
        <w:tc>
          <w:tcPr>
            <w:tcW w:w="106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33"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691" w:type="dxa"/>
            <w:gridSpan w:val="6"/>
            <w:tcBorders/>
            <w:shd w:fill="auto" w:val="clear"/>
            <w:vAlign w:val="bottom"/>
          </w:tcPr>
          <w:p>
            <w:pPr>
              <w:pStyle w:val="TableContents"/>
              <w:spacing w:before="0" w:after="283"/>
              <w:jc w:val="center"/>
              <w:rPr>
                <w:i/>
              </w:rPr>
            </w:pPr>
            <w:r>
              <w:rPr>
                <w:i/>
              </w:rPr>
              <w:t>(Dollars in thousands)</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695" w:type="dxa"/>
            <w:gridSpan w:val="6"/>
            <w:tcBorders/>
            <w:shd w:fill="auto" w:val="clear"/>
            <w:vAlign w:val="bottom"/>
          </w:tcPr>
          <w:p>
            <w:pPr>
              <w:pStyle w:val="TableContents"/>
              <w:spacing w:before="0" w:after="283"/>
              <w:jc w:val="center"/>
              <w:rPr>
                <w:i/>
              </w:rPr>
            </w:pPr>
            <w:r>
              <w:rPr>
                <w:i/>
              </w:rPr>
              <w:t>(Pesos in thousands)</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Sales</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10,539</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6,813</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141,850</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72,004</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0"/>
              <w:ind w:left="450" w:right="0" w:hanging="225"/>
              <w:rPr/>
            </w:pPr>
            <w:r>
              <w:rPr/>
              <w:t>Pawn service charges</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5,773</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4,813</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77,715</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50,859</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Other</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112</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5</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1,493</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49</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0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c>
          <w:tcPr>
            <w:tcW w:w="342"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3690" w:type="dxa"/>
            <w:tcBorders/>
            <w:shd w:fill="auto" w:val="clear"/>
            <w:vAlign w:val="bottom"/>
          </w:tcPr>
          <w:p>
            <w:pPr>
              <w:pStyle w:val="TableContents"/>
              <w:spacing w:before="0" w:after="0"/>
              <w:ind w:left="675" w:right="0" w:hanging="225"/>
              <w:rPr/>
            </w:pPr>
            <w:r>
              <w:rPr/>
              <w:t>Total revenues</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16,424</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11,631</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221,058</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122,912</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Cost of goods sold</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6,669</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4,260</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89,733</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44,997</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0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c>
          <w:tcPr>
            <w:tcW w:w="342"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3690" w:type="dxa"/>
            <w:tcBorders/>
            <w:shd w:fill="auto" w:val="clear"/>
            <w:vAlign w:val="bottom"/>
          </w:tcPr>
          <w:p>
            <w:pPr>
              <w:pStyle w:val="TableContents"/>
              <w:spacing w:before="0" w:after="0"/>
              <w:ind w:left="675" w:right="0" w:hanging="225"/>
              <w:rPr/>
            </w:pPr>
            <w:r>
              <w:rPr/>
              <w:t>Net revenues</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9,755</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7,371</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131,325</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77,915</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Operations expense</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5,833</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4,141</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78,493</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43,789</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0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c>
          <w:tcPr>
            <w:tcW w:w="342"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3690" w:type="dxa"/>
            <w:tcBorders/>
            <w:shd w:fill="auto" w:val="clear"/>
            <w:vAlign w:val="bottom"/>
          </w:tcPr>
          <w:p>
            <w:pPr>
              <w:pStyle w:val="TableContents"/>
              <w:spacing w:before="0" w:after="0"/>
              <w:ind w:left="675" w:right="0" w:hanging="225"/>
              <w:rPr/>
            </w:pPr>
            <w:r>
              <w:rPr/>
              <w:t>Store operating income</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3,922</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3,230</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52,832</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34,126</w:t>
            </w:r>
          </w:p>
        </w:tc>
        <w:tc>
          <w:tcPr>
            <w:tcW w:w="233" w:type="dxa"/>
            <w:tcBorders/>
            <w:shd w:fill="auto" w:val="clear"/>
            <w:vAlign w:val="bottom"/>
          </w:tcPr>
          <w:p>
            <w:pPr>
              <w:pStyle w:val="TableContents"/>
              <w:spacing w:before="0" w:after="283"/>
              <w:rPr/>
            </w:pPr>
            <w:r>
              <w:rPr/>
              <w:t> </w:t>
            </w:r>
          </w:p>
        </w:tc>
      </w:tr>
      <w:tr>
        <w:trPr/>
        <w:tc>
          <w:tcPr>
            <w:tcW w:w="3690" w:type="dxa"/>
            <w:tcBorders/>
            <w:shd w:fill="auto" w:val="clear"/>
            <w:vAlign w:val="center"/>
          </w:tcPr>
          <w:p>
            <w:pPr>
              <w:pStyle w:val="TableContents"/>
              <w:spacing w:before="0" w:after="0"/>
              <w:ind w:left="225" w:right="0" w:hanging="225"/>
              <w:rPr/>
            </w:pPr>
            <w:r>
              <w:rPr/>
              <w:t> </w:t>
            </w:r>
          </w:p>
        </w:tc>
        <w:tc>
          <w:tcPr>
            <w:tcW w:w="337" w:type="dxa"/>
            <w:tcBorders/>
            <w:shd w:fill="auto" w:val="clear"/>
            <w:vAlign w:val="center"/>
          </w:tcPr>
          <w:p>
            <w:pPr>
              <w:pStyle w:val="TableContents"/>
              <w:spacing w:before="0" w:after="283"/>
              <w:rPr/>
            </w:pPr>
            <w:r>
              <w:rPr/>
              <w:t> </w:t>
            </w:r>
          </w:p>
        </w:tc>
        <w:tc>
          <w:tcPr>
            <w:tcW w:w="10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c>
          <w:tcPr>
            <w:tcW w:w="342" w:type="dxa"/>
            <w:tcBorders/>
            <w:shd w:fill="auto" w:val="clear"/>
            <w:vAlign w:val="center"/>
          </w:tcPr>
          <w:p>
            <w:pPr>
              <w:pStyle w:val="TableContents"/>
              <w:spacing w:before="0" w:after="283"/>
              <w:rPr/>
            </w:pPr>
            <w:r>
              <w:rPr/>
              <w:t> </w:t>
            </w:r>
          </w:p>
        </w:tc>
        <w:tc>
          <w:tcPr>
            <w:tcW w:w="10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337"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3690" w:type="dxa"/>
            <w:tcBorders/>
            <w:shd w:fill="auto" w:val="clear"/>
            <w:vAlign w:val="bottom"/>
          </w:tcPr>
          <w:p>
            <w:pPr>
              <w:pStyle w:val="TableContents"/>
              <w:spacing w:before="0" w:after="0"/>
              <w:ind w:left="225" w:right="0" w:hanging="225"/>
              <w:rPr/>
            </w:pPr>
            <w:r>
              <w:rPr/>
              <w:t> </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225" w:right="0" w:hanging="225"/>
              <w:rPr/>
            </w:pPr>
            <w:r>
              <w:rPr/>
              <w:t>Other data:</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0"/>
              <w:ind w:left="450" w:right="0" w:hanging="225"/>
              <w:rPr/>
            </w:pPr>
            <w:r>
              <w:rPr/>
              <w:t>Gross margin on sales</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37</w:t>
            </w:r>
          </w:p>
        </w:tc>
        <w:tc>
          <w:tcPr>
            <w:tcW w:w="242" w:type="dxa"/>
            <w:tcBorders/>
            <w:shd w:fill="auto" w:val="clear"/>
            <w:vAlign w:val="bottom"/>
          </w:tcPr>
          <w:p>
            <w:pPr>
              <w:pStyle w:val="TableContents"/>
              <w:spacing w:before="0" w:after="283"/>
              <w:rPr/>
            </w:pPr>
            <w:r>
              <w:rPr/>
              <w:t>%</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283"/>
              <w:jc w:val="right"/>
              <w:rPr/>
            </w:pPr>
            <w:r>
              <w:rPr/>
              <w:t>37</w:t>
            </w:r>
          </w:p>
        </w:tc>
        <w:tc>
          <w:tcPr>
            <w:tcW w:w="222" w:type="dxa"/>
            <w:tcBorders/>
            <w:shd w:fill="auto" w:val="clear"/>
            <w:vAlign w:val="bottom"/>
          </w:tcPr>
          <w:p>
            <w:pPr>
              <w:pStyle w:val="TableContents"/>
              <w:spacing w:before="0" w:after="283"/>
              <w:rPr/>
            </w:pPr>
            <w:r>
              <w:rPr/>
              <w:t>%</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37</w:t>
            </w:r>
          </w:p>
        </w:tc>
        <w:tc>
          <w:tcPr>
            <w:tcW w:w="222" w:type="dxa"/>
            <w:tcBorders/>
            <w:shd w:fill="auto" w:val="clear"/>
            <w:vAlign w:val="bottom"/>
          </w:tcPr>
          <w:p>
            <w:pPr>
              <w:pStyle w:val="TableContents"/>
              <w:spacing w:before="0" w:after="283"/>
              <w:rPr/>
            </w:pPr>
            <w:r>
              <w:rPr/>
              <w:t>%</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37</w:t>
            </w:r>
          </w:p>
        </w:tc>
        <w:tc>
          <w:tcPr>
            <w:tcW w:w="233" w:type="dxa"/>
            <w:tcBorders/>
            <w:shd w:fill="auto" w:val="clear"/>
            <w:vAlign w:val="bottom"/>
          </w:tcPr>
          <w:p>
            <w:pPr>
              <w:pStyle w:val="TableContents"/>
              <w:spacing w:before="0" w:after="283"/>
              <w:rPr/>
            </w:pPr>
            <w:r>
              <w:rPr/>
              <w:t>%</w:t>
            </w:r>
          </w:p>
        </w:tc>
      </w:tr>
      <w:tr>
        <w:trPr/>
        <w:tc>
          <w:tcPr>
            <w:tcW w:w="3690" w:type="dxa"/>
            <w:tcBorders/>
            <w:shd w:fill="CCEEFF" w:val="clear"/>
            <w:vAlign w:val="bottom"/>
          </w:tcPr>
          <w:p>
            <w:pPr>
              <w:pStyle w:val="TableContents"/>
              <w:spacing w:before="0" w:after="0"/>
              <w:ind w:left="450" w:right="0" w:hanging="225"/>
              <w:rPr/>
            </w:pPr>
            <w:r>
              <w:rPr/>
              <w:t>Annual inventory turnover</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2.4</w:t>
            </w:r>
          </w:p>
        </w:tc>
        <w:tc>
          <w:tcPr>
            <w:tcW w:w="242" w:type="dxa"/>
            <w:tcBorders/>
            <w:shd w:fill="CCEEFF" w:val="clear"/>
            <w:vAlign w:val="bottom"/>
          </w:tcPr>
          <w:p>
            <w:pPr>
              <w:pStyle w:val="TableContents"/>
              <w:spacing w:before="0" w:after="283"/>
              <w:rPr/>
            </w:pPr>
            <w:r>
              <w:rPr/>
              <w:t>x</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2.5</w:t>
            </w:r>
          </w:p>
        </w:tc>
        <w:tc>
          <w:tcPr>
            <w:tcW w:w="222" w:type="dxa"/>
            <w:tcBorders/>
            <w:shd w:fill="CCEEFF" w:val="clear"/>
            <w:vAlign w:val="bottom"/>
          </w:tcPr>
          <w:p>
            <w:pPr>
              <w:pStyle w:val="TableContents"/>
              <w:spacing w:before="0" w:after="283"/>
              <w:rPr/>
            </w:pPr>
            <w:r>
              <w:rPr/>
              <w:t>x</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2.4</w:t>
            </w:r>
          </w:p>
        </w:tc>
        <w:tc>
          <w:tcPr>
            <w:tcW w:w="222" w:type="dxa"/>
            <w:tcBorders/>
            <w:shd w:fill="CCEEFF" w:val="clear"/>
            <w:vAlign w:val="bottom"/>
          </w:tcPr>
          <w:p>
            <w:pPr>
              <w:pStyle w:val="TableContents"/>
              <w:spacing w:before="0" w:after="283"/>
              <w:rPr/>
            </w:pPr>
            <w:r>
              <w:rPr/>
              <w:t>x</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2.5</w:t>
            </w:r>
          </w:p>
        </w:tc>
        <w:tc>
          <w:tcPr>
            <w:tcW w:w="233" w:type="dxa"/>
            <w:tcBorders/>
            <w:shd w:fill="CCEEFF" w:val="clear"/>
            <w:vAlign w:val="bottom"/>
          </w:tcPr>
          <w:p>
            <w:pPr>
              <w:pStyle w:val="TableContents"/>
              <w:spacing w:before="0" w:after="283"/>
              <w:rPr/>
            </w:pPr>
            <w:r>
              <w:rPr/>
              <w:t>x</w:t>
            </w:r>
          </w:p>
        </w:tc>
      </w:tr>
      <w:tr>
        <w:trPr/>
        <w:tc>
          <w:tcPr>
            <w:tcW w:w="3690" w:type="dxa"/>
            <w:tcBorders/>
            <w:shd w:fill="auto" w:val="clear"/>
            <w:vAlign w:val="bottom"/>
          </w:tcPr>
          <w:p>
            <w:pPr>
              <w:pStyle w:val="TableContents"/>
              <w:spacing w:before="0" w:after="0"/>
              <w:ind w:left="450" w:right="0" w:hanging="225"/>
              <w:rPr/>
            </w:pPr>
            <w:r>
              <w:rPr/>
              <w:t>Average pawn loan balance per pawn store at year end</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58</w:t>
            </w:r>
          </w:p>
        </w:tc>
        <w:tc>
          <w:tcPr>
            <w:tcW w:w="24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120</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781</w:t>
            </w:r>
          </w:p>
        </w:tc>
        <w:tc>
          <w:tcPr>
            <w:tcW w:w="22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1,290</w:t>
            </w:r>
          </w:p>
        </w:tc>
        <w:tc>
          <w:tcPr>
            <w:tcW w:w="233" w:type="dxa"/>
            <w:tcBorders/>
            <w:shd w:fill="auto" w:val="clear"/>
            <w:vAlign w:val="bottom"/>
          </w:tcPr>
          <w:p>
            <w:pPr>
              <w:pStyle w:val="TableContents"/>
              <w:spacing w:before="0" w:after="283"/>
              <w:rPr/>
            </w:pPr>
            <w:r>
              <w:rPr/>
              <w:t> </w:t>
            </w:r>
          </w:p>
        </w:tc>
      </w:tr>
      <w:tr>
        <w:trPr/>
        <w:tc>
          <w:tcPr>
            <w:tcW w:w="3690" w:type="dxa"/>
            <w:tcBorders/>
            <w:shd w:fill="CCEEFF" w:val="clear"/>
            <w:vAlign w:val="bottom"/>
          </w:tcPr>
          <w:p>
            <w:pPr>
              <w:pStyle w:val="TableContents"/>
              <w:spacing w:before="0" w:after="0"/>
              <w:ind w:left="450" w:right="0" w:hanging="225"/>
              <w:rPr/>
            </w:pPr>
            <w:r>
              <w:rPr/>
              <w:t>Average inventory per pawn store at year end</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45</w:t>
            </w:r>
          </w:p>
        </w:tc>
        <w:tc>
          <w:tcPr>
            <w:tcW w:w="242"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75</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611</w:t>
            </w:r>
          </w:p>
        </w:tc>
        <w:tc>
          <w:tcPr>
            <w:tcW w:w="22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03" w:type="dxa"/>
            <w:tcBorders/>
            <w:shd w:fill="CCEEFF" w:val="clear"/>
            <w:vAlign w:val="bottom"/>
          </w:tcPr>
          <w:p>
            <w:pPr>
              <w:pStyle w:val="TableContents"/>
              <w:spacing w:before="0" w:after="283"/>
              <w:jc w:val="right"/>
              <w:rPr/>
            </w:pPr>
            <w:r>
              <w:rPr/>
              <w:t>810</w:t>
            </w:r>
          </w:p>
        </w:tc>
        <w:tc>
          <w:tcPr>
            <w:tcW w:w="233" w:type="dxa"/>
            <w:tcBorders/>
            <w:shd w:fill="CCEEFF" w:val="clear"/>
            <w:vAlign w:val="bottom"/>
          </w:tcPr>
          <w:p>
            <w:pPr>
              <w:pStyle w:val="TableContents"/>
              <w:spacing w:before="0" w:after="283"/>
              <w:rPr/>
            </w:pPr>
            <w:r>
              <w:rPr/>
              <w:t> </w:t>
            </w:r>
          </w:p>
        </w:tc>
      </w:tr>
      <w:tr>
        <w:trPr/>
        <w:tc>
          <w:tcPr>
            <w:tcW w:w="3690" w:type="dxa"/>
            <w:tcBorders/>
            <w:shd w:fill="auto" w:val="clear"/>
            <w:vAlign w:val="bottom"/>
          </w:tcPr>
          <w:p>
            <w:pPr>
              <w:pStyle w:val="TableContents"/>
              <w:spacing w:before="0" w:after="0"/>
              <w:ind w:left="450" w:right="0" w:hanging="225"/>
              <w:rPr/>
            </w:pPr>
            <w:r>
              <w:rPr/>
              <w:t>Average yield on pawn loan portfolio (a)</w:t>
            </w:r>
          </w:p>
        </w:tc>
        <w:tc>
          <w:tcPr>
            <w:tcW w:w="33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168</w:t>
            </w:r>
          </w:p>
        </w:tc>
        <w:tc>
          <w:tcPr>
            <w:tcW w:w="242" w:type="dxa"/>
            <w:tcBorders/>
            <w:shd w:fill="auto" w:val="clear"/>
            <w:vAlign w:val="bottom"/>
          </w:tcPr>
          <w:p>
            <w:pPr>
              <w:pStyle w:val="TableContents"/>
              <w:spacing w:before="0" w:after="283"/>
              <w:rPr/>
            </w:pPr>
            <w:r>
              <w:rPr/>
              <w:t>%</w:t>
            </w:r>
          </w:p>
        </w:tc>
        <w:tc>
          <w:tcPr>
            <w:tcW w:w="34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283"/>
              <w:jc w:val="right"/>
              <w:rPr/>
            </w:pPr>
            <w:r>
              <w:rPr/>
              <w:t>137</w:t>
            </w:r>
          </w:p>
        </w:tc>
        <w:tc>
          <w:tcPr>
            <w:tcW w:w="222" w:type="dxa"/>
            <w:tcBorders/>
            <w:shd w:fill="auto" w:val="clear"/>
            <w:vAlign w:val="bottom"/>
          </w:tcPr>
          <w:p>
            <w:pPr>
              <w:pStyle w:val="TableContents"/>
              <w:spacing w:before="0" w:after="283"/>
              <w:rPr/>
            </w:pPr>
            <w:r>
              <w:rPr/>
              <w:t>%</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168</w:t>
            </w:r>
          </w:p>
        </w:tc>
        <w:tc>
          <w:tcPr>
            <w:tcW w:w="222" w:type="dxa"/>
            <w:tcBorders/>
            <w:shd w:fill="auto" w:val="clear"/>
            <w:vAlign w:val="bottom"/>
          </w:tcPr>
          <w:p>
            <w:pPr>
              <w:pStyle w:val="TableContents"/>
              <w:spacing w:before="0" w:after="283"/>
              <w:rPr/>
            </w:pPr>
            <w:r>
              <w:rPr/>
              <w:t>%</w:t>
            </w:r>
          </w:p>
        </w:tc>
        <w:tc>
          <w:tcPr>
            <w:tcW w:w="3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03" w:type="dxa"/>
            <w:tcBorders/>
            <w:shd w:fill="auto" w:val="clear"/>
            <w:vAlign w:val="bottom"/>
          </w:tcPr>
          <w:p>
            <w:pPr>
              <w:pStyle w:val="TableContents"/>
              <w:spacing w:before="0" w:after="283"/>
              <w:jc w:val="right"/>
              <w:rPr/>
            </w:pPr>
            <w:r>
              <w:rPr/>
              <w:t>137</w:t>
            </w:r>
          </w:p>
        </w:tc>
        <w:tc>
          <w:tcPr>
            <w:tcW w:w="233" w:type="dxa"/>
            <w:tcBorders/>
            <w:shd w:fill="auto" w:val="clear"/>
            <w:vAlign w:val="bottom"/>
          </w:tcPr>
          <w:p>
            <w:pPr>
              <w:pStyle w:val="TableContents"/>
              <w:spacing w:before="0" w:after="283"/>
              <w:rPr/>
            </w:pPr>
            <w:r>
              <w:rPr/>
              <w:t>%</w:t>
            </w:r>
          </w:p>
        </w:tc>
      </w:tr>
      <w:tr>
        <w:trPr/>
        <w:tc>
          <w:tcPr>
            <w:tcW w:w="3690" w:type="dxa"/>
            <w:tcBorders/>
            <w:shd w:fill="CCEEFF" w:val="clear"/>
            <w:vAlign w:val="bottom"/>
          </w:tcPr>
          <w:p>
            <w:pPr>
              <w:pStyle w:val="TableContents"/>
              <w:spacing w:before="0" w:after="0"/>
              <w:ind w:left="450" w:right="0" w:hanging="225"/>
              <w:rPr/>
            </w:pPr>
            <w:r>
              <w:rPr/>
              <w:t>Pawn loan redemption rate</w:t>
            </w:r>
          </w:p>
        </w:tc>
        <w:tc>
          <w:tcPr>
            <w:tcW w:w="33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82</w:t>
            </w:r>
          </w:p>
        </w:tc>
        <w:tc>
          <w:tcPr>
            <w:tcW w:w="242" w:type="dxa"/>
            <w:tcBorders/>
            <w:shd w:fill="CCEEFF" w:val="clear"/>
            <w:vAlign w:val="bottom"/>
          </w:tcPr>
          <w:p>
            <w:pPr>
              <w:pStyle w:val="TableContents"/>
              <w:spacing w:before="0" w:after="283"/>
              <w:rPr/>
            </w:pPr>
            <w:r>
              <w:rPr/>
              <w:t>%</w:t>
            </w:r>
          </w:p>
        </w:tc>
        <w:tc>
          <w:tcPr>
            <w:tcW w:w="342"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84</w:t>
            </w:r>
          </w:p>
        </w:tc>
        <w:tc>
          <w:tcPr>
            <w:tcW w:w="222" w:type="dxa"/>
            <w:tcBorders/>
            <w:shd w:fill="CCEEFF" w:val="clear"/>
            <w:vAlign w:val="bottom"/>
          </w:tcPr>
          <w:p>
            <w:pPr>
              <w:pStyle w:val="TableContents"/>
              <w:spacing w:before="0" w:after="283"/>
              <w:rPr/>
            </w:pPr>
            <w:r>
              <w:rPr/>
              <w:t>%</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82</w:t>
            </w:r>
          </w:p>
        </w:tc>
        <w:tc>
          <w:tcPr>
            <w:tcW w:w="222" w:type="dxa"/>
            <w:tcBorders/>
            <w:shd w:fill="CCEEFF" w:val="clear"/>
            <w:vAlign w:val="bottom"/>
          </w:tcPr>
          <w:p>
            <w:pPr>
              <w:pStyle w:val="TableContents"/>
              <w:spacing w:before="0" w:after="283"/>
              <w:rPr/>
            </w:pPr>
            <w:r>
              <w:rPr/>
              <w:t>%</w:t>
            </w:r>
          </w:p>
        </w:tc>
        <w:tc>
          <w:tcPr>
            <w:tcW w:w="3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84</w:t>
            </w:r>
          </w:p>
        </w:tc>
        <w:tc>
          <w:tcPr>
            <w:tcW w:w="233"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Average yield on pawn loan portfolio is calculated as pawn service charge revenue for the period divided by the average pawn loan balance during the period.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average exchange rate used to translate Empeño Fácils fiscal 2009 results from Mexican pesos to U.S. dollars was 22% lower than in fiscal 2008. This weaker peso relative to the U.S. dollar affected all revenue and expense items when translated into U.S. dollars. A 55% higher store operating income in pesos resulted in a $0.7 million or 21% improvement in store operating income to $3.9 million when translated into U.S. dollars.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total revenues increased $4.8 million, or 41%, in fiscal 2009 to $16.4 million. Same store total revenues increased $0.6 million or 5%, and new stores contributed $4.2 million. The overall increase in total revenues was comprised of a $3.7 million increase in merchandise and jewelry scrapping sales, a $1.0 million increase in pawn service charges and a $0.1 million increase in other revenues. The Empeño Fácil segment accounted for 3% of our consolidated total revenues in fiscal 2009. Total revenues increased 80% when denominated in pesos.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Empeño Fácils pawn service charge revenues increased $1.0 million, or 20%, in fiscal 2009 to $5.8 million. Same store pawn service charges decreased approximately $0.2 million, or 5%, and new stores contributed $1.2 million. In Mexican pesos, pawn service charge revenue increased 53% and the average pawn loan balance increased 17%. The average pawn loan yield increased 31 percentage points to 168% primarily due to an increase in pawn service charge rates in certain geographic areas compared to fiscal 2008. </w:t>
      </w:r>
    </w:p>
    <w:p>
      <w:pPr>
        <w:pStyle w:val="TextBody"/>
        <w:jc w:val="center"/>
        <w:rPr>
          <w:rFonts w:ascii="Times New Roman;Times;serif" w:hAnsi="Times New Roman;Times;serif"/>
          <w:sz w:val="17"/>
        </w:rPr>
      </w:pPr>
      <w:r>
        <w:rPr>
          <w:rFonts w:ascii="Times New Roman;Times;serif" w:hAnsi="Times New Roman;Times;serif"/>
          <w:sz w:val="17"/>
        </w:rP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presents our sales volume, gross profit and gross margins in the Empeño Fácil segment: </w:t>
      </w:r>
    </w:p>
    <w:tbl>
      <w:tblPr>
        <w:tblW w:w="5000" w:type="pct"/>
        <w:jc w:val="center"/>
        <w:tblInd w:w="0" w:type="dxa"/>
        <w:tblCellMar>
          <w:top w:w="0" w:type="dxa"/>
          <w:left w:w="0" w:type="dxa"/>
          <w:bottom w:w="0" w:type="dxa"/>
          <w:right w:w="0" w:type="dxa"/>
        </w:tblCellMar>
      </w:tblPr>
      <w:tblGrid>
        <w:gridCol w:w="3928"/>
        <w:gridCol w:w="348"/>
        <w:gridCol w:w="210"/>
        <w:gridCol w:w="772"/>
        <w:gridCol w:w="290"/>
        <w:gridCol w:w="364"/>
        <w:gridCol w:w="210"/>
        <w:gridCol w:w="775"/>
        <w:gridCol w:w="231"/>
        <w:gridCol w:w="348"/>
        <w:gridCol w:w="185"/>
        <w:gridCol w:w="808"/>
        <w:gridCol w:w="254"/>
        <w:gridCol w:w="354"/>
        <w:gridCol w:w="186"/>
        <w:gridCol w:w="701"/>
        <w:gridCol w:w="241"/>
      </w:tblGrid>
      <w:tr>
        <w:trPr/>
        <w:tc>
          <w:tcPr>
            <w:tcW w:w="39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5688" w:type="dxa"/>
            <w:gridSpan w:val="14"/>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5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621" w:type="dxa"/>
            <w:gridSpan w:val="6"/>
            <w:tcBorders/>
            <w:shd w:fill="auto" w:val="clear"/>
            <w:vAlign w:val="bottom"/>
          </w:tcPr>
          <w:p>
            <w:pPr>
              <w:pStyle w:val="TableContents"/>
              <w:spacing w:before="0" w:after="283"/>
              <w:jc w:val="center"/>
              <w:rPr>
                <w:i/>
              </w:rPr>
            </w:pPr>
            <w:r>
              <w:rPr>
                <w:i/>
              </w:rPr>
              <w:t>(Dollars in millions)</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488" w:type="dxa"/>
            <w:gridSpan w:val="6"/>
            <w:tcBorders/>
            <w:shd w:fill="auto" w:val="clear"/>
            <w:vAlign w:val="bottom"/>
          </w:tcPr>
          <w:p>
            <w:pPr>
              <w:pStyle w:val="TableContents"/>
              <w:spacing w:before="0" w:after="283"/>
              <w:jc w:val="center"/>
              <w:rPr>
                <w:i/>
              </w:rPr>
            </w:pPr>
            <w:r>
              <w:rPr>
                <w:i/>
              </w:rPr>
              <w:t>(Pesos in millions)</w:t>
            </w:r>
          </w:p>
        </w:tc>
        <w:tc>
          <w:tcPr>
            <w:tcW w:w="241"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Merchandise sales</w:t>
            </w:r>
          </w:p>
        </w:tc>
        <w:tc>
          <w:tcPr>
            <w:tcW w:w="34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772" w:type="dxa"/>
            <w:tcBorders/>
            <w:shd w:fill="CCEEFF" w:val="clear"/>
            <w:vAlign w:val="bottom"/>
          </w:tcPr>
          <w:p>
            <w:pPr>
              <w:pStyle w:val="TableContents"/>
              <w:spacing w:before="0" w:after="283"/>
              <w:jc w:val="right"/>
              <w:rPr/>
            </w:pPr>
            <w:r>
              <w:rPr/>
              <w:t>8.6</w:t>
            </w:r>
          </w:p>
        </w:tc>
        <w:tc>
          <w:tcPr>
            <w:tcW w:w="29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775" w:type="dxa"/>
            <w:tcBorders/>
            <w:shd w:fill="CCEEFF" w:val="clear"/>
            <w:vAlign w:val="bottom"/>
          </w:tcPr>
          <w:p>
            <w:pPr>
              <w:pStyle w:val="TableContents"/>
              <w:spacing w:before="0" w:after="283"/>
              <w:jc w:val="right"/>
              <w:rPr/>
            </w:pPr>
            <w:r>
              <w:rPr/>
              <w:t>5.9</w:t>
            </w:r>
          </w:p>
        </w:tc>
        <w:tc>
          <w:tcPr>
            <w:tcW w:w="23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808" w:type="dxa"/>
            <w:tcBorders/>
            <w:shd w:fill="CCEEFF" w:val="clear"/>
            <w:vAlign w:val="bottom"/>
          </w:tcPr>
          <w:p>
            <w:pPr>
              <w:pStyle w:val="TableContents"/>
              <w:spacing w:before="0" w:after="283"/>
              <w:jc w:val="right"/>
              <w:rPr/>
            </w:pPr>
            <w:r>
              <w:rPr/>
              <w:t>116.4</w:t>
            </w:r>
          </w:p>
        </w:tc>
        <w:tc>
          <w:tcPr>
            <w:tcW w:w="254"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w:t>
            </w:r>
          </w:p>
        </w:tc>
        <w:tc>
          <w:tcPr>
            <w:tcW w:w="701" w:type="dxa"/>
            <w:tcBorders/>
            <w:shd w:fill="CCEEFF" w:val="clear"/>
            <w:vAlign w:val="bottom"/>
          </w:tcPr>
          <w:p>
            <w:pPr>
              <w:pStyle w:val="TableContents"/>
              <w:spacing w:before="0" w:after="283"/>
              <w:jc w:val="right"/>
              <w:rPr/>
            </w:pPr>
            <w:r>
              <w:rPr/>
              <w:t>62.3</w:t>
            </w:r>
          </w:p>
        </w:tc>
        <w:tc>
          <w:tcPr>
            <w:tcW w:w="241"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Jewelry scrapping sales</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1.9</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0.9</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25.5</w:t>
            </w:r>
          </w:p>
        </w:tc>
        <w:tc>
          <w:tcPr>
            <w:tcW w:w="25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pPr>
            <w:r>
              <w:rPr/>
              <w:t>9.7</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1"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4"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8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Total sales</w:t>
            </w:r>
          </w:p>
        </w:tc>
        <w:tc>
          <w:tcPr>
            <w:tcW w:w="34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10.5</w:t>
            </w:r>
          </w:p>
        </w:tc>
        <w:tc>
          <w:tcPr>
            <w:tcW w:w="29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6.8</w:t>
            </w:r>
          </w:p>
        </w:tc>
        <w:tc>
          <w:tcPr>
            <w:tcW w:w="23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141.9</w:t>
            </w:r>
          </w:p>
        </w:tc>
        <w:tc>
          <w:tcPr>
            <w:tcW w:w="254"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72.0</w:t>
            </w:r>
          </w:p>
        </w:tc>
        <w:tc>
          <w:tcPr>
            <w:tcW w:w="241"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Gross profit on merchandise sales</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772" w:type="dxa"/>
            <w:tcBorders/>
            <w:shd w:fill="auto" w:val="clear"/>
            <w:vAlign w:val="bottom"/>
          </w:tcPr>
          <w:p>
            <w:pPr>
              <w:pStyle w:val="TableContents"/>
              <w:spacing w:before="0" w:after="283"/>
              <w:jc w:val="right"/>
              <w:rPr/>
            </w:pPr>
            <w:r>
              <w:rPr/>
              <w:t>3.2</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775" w:type="dxa"/>
            <w:tcBorders/>
            <w:shd w:fill="auto" w:val="clear"/>
            <w:vAlign w:val="bottom"/>
          </w:tcPr>
          <w:p>
            <w:pPr>
              <w:pStyle w:val="TableContents"/>
              <w:spacing w:before="0" w:after="283"/>
              <w:jc w:val="right"/>
              <w:rPr/>
            </w:pPr>
            <w:r>
              <w:rPr/>
              <w:t>2.2</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08" w:type="dxa"/>
            <w:tcBorders/>
            <w:shd w:fill="auto" w:val="clear"/>
            <w:vAlign w:val="bottom"/>
          </w:tcPr>
          <w:p>
            <w:pPr>
              <w:pStyle w:val="TableContents"/>
              <w:spacing w:before="0" w:after="283"/>
              <w:jc w:val="right"/>
              <w:rPr/>
            </w:pPr>
            <w:r>
              <w:rPr/>
              <w:t>43.7</w:t>
            </w:r>
          </w:p>
        </w:tc>
        <w:tc>
          <w:tcPr>
            <w:tcW w:w="25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701" w:type="dxa"/>
            <w:tcBorders/>
            <w:shd w:fill="auto" w:val="clear"/>
            <w:vAlign w:val="bottom"/>
          </w:tcPr>
          <w:p>
            <w:pPr>
              <w:pStyle w:val="TableContents"/>
              <w:spacing w:before="0" w:after="283"/>
              <w:jc w:val="right"/>
              <w:rPr/>
            </w:pPr>
            <w:r>
              <w:rPr/>
              <w:t>23.3</w:t>
            </w:r>
          </w:p>
        </w:tc>
        <w:tc>
          <w:tcPr>
            <w:tcW w:w="241"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Gross profit on jewelry scrapping sales</w:t>
            </w:r>
          </w:p>
        </w:tc>
        <w:tc>
          <w:tcPr>
            <w:tcW w:w="34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0.6</w:t>
            </w:r>
          </w:p>
        </w:tc>
        <w:tc>
          <w:tcPr>
            <w:tcW w:w="29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0.4</w:t>
            </w:r>
          </w:p>
        </w:tc>
        <w:tc>
          <w:tcPr>
            <w:tcW w:w="23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8.4</w:t>
            </w:r>
          </w:p>
        </w:tc>
        <w:tc>
          <w:tcPr>
            <w:tcW w:w="254"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3.7</w:t>
            </w:r>
          </w:p>
        </w:tc>
        <w:tc>
          <w:tcPr>
            <w:tcW w:w="241"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Gross margin on merchandise sales</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772" w:type="dxa"/>
            <w:tcBorders/>
            <w:shd w:fill="auto" w:val="clear"/>
            <w:vAlign w:val="bottom"/>
          </w:tcPr>
          <w:p>
            <w:pPr>
              <w:pStyle w:val="TableContents"/>
              <w:spacing w:before="0" w:after="283"/>
              <w:jc w:val="right"/>
              <w:rPr/>
            </w:pPr>
            <w:r>
              <w:rPr/>
              <w:t>37.6</w:t>
            </w:r>
          </w:p>
        </w:tc>
        <w:tc>
          <w:tcPr>
            <w:tcW w:w="290" w:type="dxa"/>
            <w:tcBorders/>
            <w:shd w:fill="auto" w:val="clear"/>
            <w:vAlign w:val="bottom"/>
          </w:tcPr>
          <w:p>
            <w:pPr>
              <w:pStyle w:val="TableContents"/>
              <w:spacing w:before="0" w:after="283"/>
              <w:rPr/>
            </w:pPr>
            <w:r>
              <w:rPr/>
              <w:t>%</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775" w:type="dxa"/>
            <w:tcBorders/>
            <w:shd w:fill="auto" w:val="clear"/>
            <w:vAlign w:val="bottom"/>
          </w:tcPr>
          <w:p>
            <w:pPr>
              <w:pStyle w:val="TableContents"/>
              <w:spacing w:before="0" w:after="283"/>
              <w:jc w:val="right"/>
              <w:rPr/>
            </w:pPr>
            <w:r>
              <w:rPr/>
              <w:t>37.3</w:t>
            </w:r>
          </w:p>
        </w:tc>
        <w:tc>
          <w:tcPr>
            <w:tcW w:w="231"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808" w:type="dxa"/>
            <w:tcBorders/>
            <w:shd w:fill="auto" w:val="clear"/>
            <w:vAlign w:val="bottom"/>
          </w:tcPr>
          <w:p>
            <w:pPr>
              <w:pStyle w:val="TableContents"/>
              <w:spacing w:before="0" w:after="283"/>
              <w:jc w:val="right"/>
              <w:rPr/>
            </w:pPr>
            <w:r>
              <w:rPr/>
              <w:t>37.6</w:t>
            </w:r>
          </w:p>
        </w:tc>
        <w:tc>
          <w:tcPr>
            <w:tcW w:w="254"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283"/>
              <w:jc w:val="right"/>
              <w:rPr/>
            </w:pPr>
            <w:r>
              <w:rPr/>
              <w:t>37.3</w:t>
            </w:r>
          </w:p>
        </w:tc>
        <w:tc>
          <w:tcPr>
            <w:tcW w:w="241" w:type="dxa"/>
            <w:tcBorders/>
            <w:shd w:fill="auto" w:val="clear"/>
            <w:vAlign w:val="bottom"/>
          </w:tcPr>
          <w:p>
            <w:pPr>
              <w:pStyle w:val="TableContents"/>
              <w:spacing w:before="0" w:after="283"/>
              <w:rPr/>
            </w:pPr>
            <w:r>
              <w:rPr/>
              <w:t>%</w:t>
            </w:r>
          </w:p>
        </w:tc>
      </w:tr>
      <w:tr>
        <w:trPr/>
        <w:tc>
          <w:tcPr>
            <w:tcW w:w="3928" w:type="dxa"/>
            <w:tcBorders/>
            <w:shd w:fill="CCEEFF" w:val="clear"/>
            <w:vAlign w:val="bottom"/>
          </w:tcPr>
          <w:p>
            <w:pPr>
              <w:pStyle w:val="TableContents"/>
              <w:spacing w:before="0" w:after="0"/>
              <w:ind w:left="225" w:right="0" w:hanging="225"/>
              <w:rPr/>
            </w:pPr>
            <w:r>
              <w:rPr/>
              <w:t>Gross margin on jewelry scrapping sales</w:t>
            </w:r>
          </w:p>
        </w:tc>
        <w:tc>
          <w:tcPr>
            <w:tcW w:w="34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32.8</w:t>
            </w:r>
          </w:p>
        </w:tc>
        <w:tc>
          <w:tcPr>
            <w:tcW w:w="290" w:type="dxa"/>
            <w:tcBorders/>
            <w:shd w:fill="CCEEFF" w:val="clear"/>
            <w:vAlign w:val="bottom"/>
          </w:tcPr>
          <w:p>
            <w:pPr>
              <w:pStyle w:val="TableContents"/>
              <w:spacing w:before="0" w:after="283"/>
              <w:rPr/>
            </w:pPr>
            <w:r>
              <w:rPr/>
              <w:t>%</w:t>
            </w:r>
          </w:p>
        </w:tc>
        <w:tc>
          <w:tcPr>
            <w:tcW w:w="36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 </w:t>
            </w:r>
          </w:p>
        </w:tc>
        <w:tc>
          <w:tcPr>
            <w:tcW w:w="775" w:type="dxa"/>
            <w:tcBorders/>
            <w:shd w:fill="CCEEFF" w:val="clear"/>
            <w:vAlign w:val="bottom"/>
          </w:tcPr>
          <w:p>
            <w:pPr>
              <w:pStyle w:val="TableContents"/>
              <w:spacing w:before="0" w:after="283"/>
              <w:jc w:val="right"/>
              <w:rPr/>
            </w:pPr>
            <w:r>
              <w:rPr/>
              <w:t>38.3</w:t>
            </w:r>
          </w:p>
        </w:tc>
        <w:tc>
          <w:tcPr>
            <w:tcW w:w="231"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808" w:type="dxa"/>
            <w:tcBorders/>
            <w:shd w:fill="CCEEFF" w:val="clear"/>
            <w:vAlign w:val="bottom"/>
          </w:tcPr>
          <w:p>
            <w:pPr>
              <w:pStyle w:val="TableContents"/>
              <w:spacing w:before="0" w:after="283"/>
              <w:jc w:val="right"/>
              <w:rPr/>
            </w:pPr>
            <w:r>
              <w:rPr/>
              <w:t>32.8</w:t>
            </w:r>
          </w:p>
        </w:tc>
        <w:tc>
          <w:tcPr>
            <w:tcW w:w="254" w:type="dxa"/>
            <w:tcBorders/>
            <w:shd w:fill="CCEEFF" w:val="clear"/>
            <w:vAlign w:val="bottom"/>
          </w:tcPr>
          <w:p>
            <w:pPr>
              <w:pStyle w:val="TableContents"/>
              <w:spacing w:before="0" w:after="283"/>
              <w:rPr/>
            </w:pPr>
            <w:r>
              <w:rPr/>
              <w:t>%</w:t>
            </w:r>
          </w:p>
        </w:tc>
        <w:tc>
          <w:tcPr>
            <w:tcW w:w="3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 </w:t>
            </w:r>
          </w:p>
        </w:tc>
        <w:tc>
          <w:tcPr>
            <w:tcW w:w="701" w:type="dxa"/>
            <w:tcBorders/>
            <w:shd w:fill="CCEEFF" w:val="clear"/>
            <w:vAlign w:val="bottom"/>
          </w:tcPr>
          <w:p>
            <w:pPr>
              <w:pStyle w:val="TableContents"/>
              <w:spacing w:before="0" w:after="283"/>
              <w:jc w:val="right"/>
              <w:rPr/>
            </w:pPr>
            <w:r>
              <w:rPr/>
              <w:t>38.3</w:t>
            </w:r>
          </w:p>
        </w:tc>
        <w:tc>
          <w:tcPr>
            <w:tcW w:w="241" w:type="dxa"/>
            <w:tcBorders/>
            <w:shd w:fill="CCEEFF" w:val="clear"/>
            <w:vAlign w:val="bottom"/>
          </w:tcPr>
          <w:p>
            <w:pPr>
              <w:pStyle w:val="TableContents"/>
              <w:spacing w:before="0" w:after="283"/>
              <w:rPr/>
            </w:pPr>
            <w:r>
              <w:rPr/>
              <w:t>%</w:t>
            </w:r>
          </w:p>
        </w:tc>
      </w:tr>
      <w:tr>
        <w:trPr/>
        <w:tc>
          <w:tcPr>
            <w:tcW w:w="3928" w:type="dxa"/>
            <w:tcBorders/>
            <w:shd w:fill="auto" w:val="clear"/>
            <w:vAlign w:val="bottom"/>
          </w:tcPr>
          <w:p>
            <w:pPr>
              <w:pStyle w:val="TableContents"/>
              <w:spacing w:before="0" w:after="0"/>
              <w:ind w:left="225" w:right="0" w:hanging="225"/>
              <w:rPr/>
            </w:pPr>
            <w:r>
              <w:rPr/>
              <w:t>Overall gross margin</w:t>
            </w:r>
          </w:p>
        </w:tc>
        <w:tc>
          <w:tcPr>
            <w:tcW w:w="34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772" w:type="dxa"/>
            <w:tcBorders/>
            <w:shd w:fill="auto" w:val="clear"/>
            <w:vAlign w:val="bottom"/>
          </w:tcPr>
          <w:p>
            <w:pPr>
              <w:pStyle w:val="TableContents"/>
              <w:spacing w:before="0" w:after="283"/>
              <w:jc w:val="right"/>
              <w:rPr/>
            </w:pPr>
            <w:r>
              <w:rPr/>
              <w:t>36.7</w:t>
            </w:r>
          </w:p>
        </w:tc>
        <w:tc>
          <w:tcPr>
            <w:tcW w:w="290" w:type="dxa"/>
            <w:tcBorders/>
            <w:shd w:fill="auto" w:val="clear"/>
            <w:vAlign w:val="bottom"/>
          </w:tcPr>
          <w:p>
            <w:pPr>
              <w:pStyle w:val="TableContents"/>
              <w:spacing w:before="0" w:after="283"/>
              <w:rPr/>
            </w:pPr>
            <w:r>
              <w:rPr/>
              <w:t>%</w:t>
            </w:r>
          </w:p>
        </w:tc>
        <w:tc>
          <w:tcPr>
            <w:tcW w:w="36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775" w:type="dxa"/>
            <w:tcBorders/>
            <w:shd w:fill="auto" w:val="clear"/>
            <w:vAlign w:val="bottom"/>
          </w:tcPr>
          <w:p>
            <w:pPr>
              <w:pStyle w:val="TableContents"/>
              <w:spacing w:before="0" w:after="283"/>
              <w:jc w:val="right"/>
              <w:rPr/>
            </w:pPr>
            <w:r>
              <w:rPr/>
              <w:t>37.5</w:t>
            </w:r>
          </w:p>
        </w:tc>
        <w:tc>
          <w:tcPr>
            <w:tcW w:w="231"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808" w:type="dxa"/>
            <w:tcBorders/>
            <w:shd w:fill="auto" w:val="clear"/>
            <w:vAlign w:val="bottom"/>
          </w:tcPr>
          <w:p>
            <w:pPr>
              <w:pStyle w:val="TableContents"/>
              <w:spacing w:before="0" w:after="283"/>
              <w:jc w:val="right"/>
              <w:rPr/>
            </w:pPr>
            <w:r>
              <w:rPr/>
              <w:t>36.7</w:t>
            </w:r>
          </w:p>
        </w:tc>
        <w:tc>
          <w:tcPr>
            <w:tcW w:w="254"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283"/>
              <w:jc w:val="right"/>
              <w:rPr/>
            </w:pPr>
            <w:r>
              <w:rPr/>
              <w:t>37.5</w:t>
            </w:r>
          </w:p>
        </w:tc>
        <w:tc>
          <w:tcPr>
            <w:tcW w:w="241"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Fiscal 2009s merchandise gross profit increased $1.0 million, or 47%, from fiscal 2008 to $3.2 million. This was due to a $0.4 million, or 7% (36% in pesos) same store sales increase and $2.3 million in sales from new stores, combined with a 0.3 percentage point increase in gross margins to 37.6%. The gross profit on jewelry scrapping sales increased $0.2 million or 77% (126% in pesos) from fiscal 2008 to $0.6 million. This was due to a $1.0 million increase in scrap sales on 82% more volume, partially offset by a 5.5 percentage point decrease in gross margins.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$5.8 million (60% of net revenues) in fiscal 2009 from $4.1 million (56% of net revenues) in fiscal 2008. The increase was due primarily to new stores which typically produce a loss in their first several quarters of operation. When denominated in pesos, operations expense increased 79%.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2009, the $2.4 million greater net revenues were partially offset by the $1.7 million higher operations expense, resulting in a $0.7 million increase in store operating income for the segment. When denominated in pesos, operating income increased 55%. Empeño Fácil made up 3% of consolidated store operating income in both fiscal 2009 and 2008. </w:t>
      </w:r>
    </w:p>
    <w:p>
      <w:pPr>
        <w:pStyle w:val="TextBody"/>
        <w:jc w:val="center"/>
        <w:rPr>
          <w:rFonts w:ascii="Times New Roman;Times;serif" w:hAnsi="Times New Roman;Times;serif"/>
          <w:sz w:val="17"/>
        </w:rPr>
      </w:pPr>
      <w:r>
        <w:rPr>
          <w:rFonts w:ascii="Times New Roman;Times;serif" w:hAnsi="Times New Roman;Times;serif"/>
          <w:sz w:val="17"/>
        </w:rPr>
        <w:t xml:space="preserve">43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349"/>
        <w:gridCol w:w="421"/>
        <w:gridCol w:w="194"/>
        <w:gridCol w:w="1061"/>
        <w:gridCol w:w="258"/>
        <w:gridCol w:w="429"/>
        <w:gridCol w:w="194"/>
        <w:gridCol w:w="1065"/>
        <w:gridCol w:w="234"/>
      </w:tblGrid>
      <w:tr>
        <w:trPr/>
        <w:tc>
          <w:tcPr>
            <w:tcW w:w="634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3201"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58" w:type="dxa"/>
            <w:tcBorders>
              <w:bottom w:val="single" w:sz="2" w:space="0" w:color="000000"/>
            </w:tcBorders>
            <w:shd w:fill="auto" w:val="clear"/>
            <w:tcMar>
              <w:bottom w:w="28" w:type="dxa"/>
            </w:tcMar>
            <w:vAlign w:val="bottom"/>
          </w:tcPr>
          <w:p>
            <w:pPr>
              <w:pStyle w:val="TableContents"/>
              <w:spacing w:before="0" w:after="283"/>
              <w:rPr/>
            </w:pPr>
            <w:r>
              <w:rPr/>
              <w:t> </w:t>
            </w:r>
          </w:p>
        </w:tc>
        <w:tc>
          <w:tcPr>
            <w:tcW w:w="429" w:type="dxa"/>
            <w:tcBorders>
              <w:bottom w:val="single" w:sz="2" w:space="0" w:color="000000"/>
            </w:tcBorders>
            <w:shd w:fill="auto" w:val="clear"/>
            <w:tcMar>
              <w:bottom w:w="28" w:type="dxa"/>
            </w:tcMar>
            <w:vAlign w:val="bottom"/>
          </w:tcPr>
          <w:p>
            <w:pPr>
              <w:pStyle w:val="TableContents"/>
              <w:spacing w:before="0" w:after="283"/>
              <w:rPr/>
            </w:pPr>
            <w:r>
              <w:rPr/>
              <w:t> </w:t>
            </w:r>
          </w:p>
        </w:tc>
        <w:tc>
          <w:tcPr>
            <w:tcW w:w="12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3201" w:type="dxa"/>
            <w:gridSpan w:val="6"/>
            <w:tcBorders/>
            <w:shd w:fill="auto" w:val="clear"/>
            <w:vAlign w:val="bottom"/>
          </w:tcPr>
          <w:p>
            <w:pPr>
              <w:pStyle w:val="TableContents"/>
              <w:spacing w:before="0" w:after="283"/>
              <w:jc w:val="center"/>
              <w:rPr>
                <w:i/>
              </w:rPr>
            </w:pPr>
            <w:r>
              <w:rPr>
                <w:i/>
              </w:rPr>
              <w:t>(Dollars in thousands)</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Signature loan fees</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1" w:type="dxa"/>
            <w:tcBorders/>
            <w:shd w:fill="CCEEFF" w:val="clear"/>
            <w:vAlign w:val="bottom"/>
          </w:tcPr>
          <w:p>
            <w:pPr>
              <w:pStyle w:val="TableContents"/>
              <w:spacing w:before="0" w:after="283"/>
              <w:jc w:val="right"/>
              <w:rPr/>
            </w:pPr>
            <w:r>
              <w:rPr/>
              <w:t>131,051</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125,696</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Auto title loan fees</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2,276</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Jewelry scrapping sales</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9</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49" w:type="dxa"/>
            <w:tcBorders/>
            <w:shd w:fill="auto" w:val="clear"/>
            <w:vAlign w:val="bottom"/>
          </w:tcPr>
          <w:p>
            <w:pPr>
              <w:pStyle w:val="TableContents"/>
              <w:spacing w:before="0" w:after="0"/>
              <w:ind w:left="675" w:right="0" w:hanging="225"/>
              <w:rPr/>
            </w:pPr>
            <w:r>
              <w:rPr/>
              <w:t>Total revenues</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133,336</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125,696</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Signature loan bad debt</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32,725</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36,042</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Auto title loan bad debt</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256</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Jewelry scrapping cost of goods sold</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6</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49" w:type="dxa"/>
            <w:tcBorders/>
            <w:shd w:fill="auto" w:val="clear"/>
            <w:vAlign w:val="bottom"/>
          </w:tcPr>
          <w:p>
            <w:pPr>
              <w:pStyle w:val="TableContents"/>
              <w:spacing w:before="0" w:after="0"/>
              <w:ind w:left="675" w:right="0" w:hanging="225"/>
              <w:rPr/>
            </w:pPr>
            <w:r>
              <w:rPr/>
              <w:t>Net revenues</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100,349</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89,654</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Operations expense</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59,879</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56,205</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49" w:type="dxa"/>
            <w:tcBorders/>
            <w:shd w:fill="auto" w:val="clear"/>
            <w:vAlign w:val="bottom"/>
          </w:tcPr>
          <w:p>
            <w:pPr>
              <w:pStyle w:val="TableContents"/>
              <w:spacing w:before="0" w:after="0"/>
              <w:ind w:left="675" w:right="0" w:hanging="225"/>
              <w:rPr/>
            </w:pPr>
            <w:r>
              <w:rPr/>
              <w:t>Store operating income</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1" w:type="dxa"/>
            <w:tcBorders/>
            <w:shd w:fill="auto" w:val="clear"/>
            <w:vAlign w:val="bottom"/>
          </w:tcPr>
          <w:p>
            <w:pPr>
              <w:pStyle w:val="TableContents"/>
              <w:spacing w:before="0" w:after="283"/>
              <w:jc w:val="right"/>
              <w:rPr/>
            </w:pPr>
            <w:r>
              <w:rPr/>
              <w:t>40,470</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5" w:type="dxa"/>
            <w:tcBorders/>
            <w:shd w:fill="auto" w:val="clear"/>
            <w:vAlign w:val="bottom"/>
          </w:tcPr>
          <w:p>
            <w:pPr>
              <w:pStyle w:val="TableContents"/>
              <w:spacing w:before="0" w:after="283"/>
              <w:jc w:val="right"/>
              <w:rPr/>
            </w:pPr>
            <w:r>
              <w:rPr/>
              <w:t>33,449</w:t>
            </w:r>
          </w:p>
        </w:tc>
        <w:tc>
          <w:tcPr>
            <w:tcW w:w="234" w:type="dxa"/>
            <w:tcBorders/>
            <w:shd w:fill="auto" w:val="clear"/>
            <w:vAlign w:val="bottom"/>
          </w:tcPr>
          <w:p>
            <w:pPr>
              <w:pStyle w:val="TableContents"/>
              <w:spacing w:before="0" w:after="283"/>
              <w:rPr/>
            </w:pPr>
            <w:r>
              <w:rPr/>
              <w:t> </w:t>
            </w:r>
          </w:p>
        </w:tc>
      </w:tr>
      <w:tr>
        <w:trPr/>
        <w:tc>
          <w:tcPr>
            <w:tcW w:w="6349"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49"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225" w:right="0" w:hanging="225"/>
              <w:rPr/>
            </w:pPr>
            <w:r>
              <w:rPr/>
              <w:t>Other data:</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Signature loan bad debt as a percent of signature loan fees</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1" w:type="dxa"/>
            <w:tcBorders/>
            <w:shd w:fill="auto" w:val="clear"/>
            <w:vAlign w:val="bottom"/>
          </w:tcPr>
          <w:p>
            <w:pPr>
              <w:pStyle w:val="TableContents"/>
              <w:spacing w:before="0" w:after="283"/>
              <w:jc w:val="right"/>
              <w:rPr/>
            </w:pPr>
            <w:r>
              <w:rPr/>
              <w:t>25.0</w:t>
            </w:r>
          </w:p>
        </w:tc>
        <w:tc>
          <w:tcPr>
            <w:tcW w:w="258" w:type="dxa"/>
            <w:tcBorders/>
            <w:shd w:fill="auto" w:val="clear"/>
            <w:vAlign w:val="bottom"/>
          </w:tcPr>
          <w:p>
            <w:pPr>
              <w:pStyle w:val="TableContents"/>
              <w:spacing w:before="0" w:after="283"/>
              <w:rPr/>
            </w:pPr>
            <w:r>
              <w:rPr/>
              <w:t>%</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28.7</w:t>
            </w:r>
          </w:p>
        </w:tc>
        <w:tc>
          <w:tcPr>
            <w:tcW w:w="234" w:type="dxa"/>
            <w:tcBorders/>
            <w:shd w:fill="auto" w:val="clear"/>
            <w:vAlign w:val="bottom"/>
          </w:tcPr>
          <w:p>
            <w:pPr>
              <w:pStyle w:val="TableContents"/>
              <w:spacing w:before="0" w:after="283"/>
              <w:rPr/>
            </w:pPr>
            <w:r>
              <w:rPr/>
              <w:t>%</w:t>
            </w:r>
          </w:p>
        </w:tc>
      </w:tr>
      <w:tr>
        <w:trPr/>
        <w:tc>
          <w:tcPr>
            <w:tcW w:w="6349" w:type="dxa"/>
            <w:tcBorders/>
            <w:shd w:fill="CCEEFF" w:val="clear"/>
            <w:vAlign w:val="bottom"/>
          </w:tcPr>
          <w:p>
            <w:pPr>
              <w:pStyle w:val="TableContents"/>
              <w:spacing w:before="0" w:after="0"/>
              <w:ind w:left="450" w:right="0" w:hanging="225"/>
              <w:rPr/>
            </w:pPr>
            <w:r>
              <w:rPr/>
              <w:t>Auto title loan bad debt as a percent of auto title loan fees</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61" w:type="dxa"/>
            <w:tcBorders/>
            <w:shd w:fill="CCEEFF" w:val="clear"/>
            <w:vAlign w:val="bottom"/>
          </w:tcPr>
          <w:p>
            <w:pPr>
              <w:pStyle w:val="TableContents"/>
              <w:spacing w:before="0" w:after="283"/>
              <w:jc w:val="right"/>
              <w:rPr/>
            </w:pPr>
            <w:r>
              <w:rPr/>
              <w:t>11.2</w:t>
            </w:r>
          </w:p>
        </w:tc>
        <w:tc>
          <w:tcPr>
            <w:tcW w:w="258" w:type="dxa"/>
            <w:tcBorders/>
            <w:shd w:fill="CCEEFF" w:val="clear"/>
            <w:vAlign w:val="bottom"/>
          </w:tcPr>
          <w:p>
            <w:pPr>
              <w:pStyle w:val="TableContents"/>
              <w:spacing w:before="0" w:after="283"/>
              <w:rPr/>
            </w:pPr>
            <w:r>
              <w:rPr/>
              <w:t>%</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w:t>
            </w:r>
          </w:p>
        </w:tc>
        <w:tc>
          <w:tcPr>
            <w:tcW w:w="234" w:type="dxa"/>
            <w:tcBorders/>
            <w:shd w:fill="CCEEFF" w:val="clear"/>
            <w:vAlign w:val="bottom"/>
          </w:tcPr>
          <w:p>
            <w:pPr>
              <w:pStyle w:val="TableContents"/>
              <w:spacing w:before="0" w:after="283"/>
              <w:rPr/>
            </w:pPr>
            <w:r>
              <w:rPr/>
              <w:t> </w:t>
            </w:r>
          </w:p>
        </w:tc>
      </w:tr>
      <w:tr>
        <w:trPr/>
        <w:tc>
          <w:tcPr>
            <w:tcW w:w="6349" w:type="dxa"/>
            <w:tcBorders/>
            <w:shd w:fill="auto" w:val="clear"/>
            <w:vAlign w:val="bottom"/>
          </w:tcPr>
          <w:p>
            <w:pPr>
              <w:pStyle w:val="TableContents"/>
              <w:spacing w:before="0" w:after="0"/>
              <w:ind w:left="450" w:right="0" w:hanging="225"/>
              <w:rPr/>
            </w:pPr>
            <w:r>
              <w:rPr/>
              <w:t>Average signature loan balance per store offering signature loans at year end (a)</w:t>
            </w:r>
          </w:p>
        </w:tc>
        <w:tc>
          <w:tcPr>
            <w:tcW w:w="42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1" w:type="dxa"/>
            <w:tcBorders/>
            <w:shd w:fill="auto" w:val="clear"/>
            <w:vAlign w:val="bottom"/>
          </w:tcPr>
          <w:p>
            <w:pPr>
              <w:pStyle w:val="TableContents"/>
              <w:spacing w:before="0" w:after="283"/>
              <w:jc w:val="right"/>
              <w:rPr/>
            </w:pPr>
            <w:r>
              <w:rPr/>
              <w:t>65</w:t>
            </w:r>
          </w:p>
        </w:tc>
        <w:tc>
          <w:tcPr>
            <w:tcW w:w="25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1065" w:type="dxa"/>
            <w:tcBorders/>
            <w:shd w:fill="auto" w:val="clear"/>
            <w:vAlign w:val="bottom"/>
          </w:tcPr>
          <w:p>
            <w:pPr>
              <w:pStyle w:val="TableContents"/>
              <w:spacing w:before="0" w:after="283"/>
              <w:jc w:val="right"/>
              <w:rPr/>
            </w:pPr>
            <w:r>
              <w:rPr/>
              <w:t>63</w:t>
            </w:r>
          </w:p>
        </w:tc>
        <w:tc>
          <w:tcPr>
            <w:tcW w:w="234" w:type="dxa"/>
            <w:tcBorders/>
            <w:shd w:fill="auto" w:val="clear"/>
            <w:vAlign w:val="bottom"/>
          </w:tcPr>
          <w:p>
            <w:pPr>
              <w:pStyle w:val="TableContents"/>
              <w:spacing w:before="0" w:after="283"/>
              <w:rPr/>
            </w:pPr>
            <w:r>
              <w:rPr/>
              <w:t> </w:t>
            </w:r>
          </w:p>
        </w:tc>
      </w:tr>
      <w:tr>
        <w:trPr/>
        <w:tc>
          <w:tcPr>
            <w:tcW w:w="6349" w:type="dxa"/>
            <w:tcBorders/>
            <w:shd w:fill="CCEEFF" w:val="clear"/>
            <w:vAlign w:val="bottom"/>
          </w:tcPr>
          <w:p>
            <w:pPr>
              <w:pStyle w:val="TableContents"/>
              <w:spacing w:before="0" w:after="0"/>
              <w:ind w:left="450" w:right="0" w:hanging="225"/>
              <w:rPr/>
            </w:pPr>
            <w:r>
              <w:rPr/>
              <w:t>Average auto title loan balance per store offering auto title loans at year end (b)</w:t>
            </w:r>
          </w:p>
        </w:tc>
        <w:tc>
          <w:tcPr>
            <w:tcW w:w="42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1" w:type="dxa"/>
            <w:tcBorders/>
            <w:shd w:fill="CCEEFF" w:val="clear"/>
            <w:vAlign w:val="bottom"/>
          </w:tcPr>
          <w:p>
            <w:pPr>
              <w:pStyle w:val="TableContents"/>
              <w:spacing w:before="0" w:after="283"/>
              <w:jc w:val="right"/>
              <w:rPr/>
            </w:pPr>
            <w:r>
              <w:rPr/>
              <w:t>11</w:t>
            </w:r>
          </w:p>
        </w:tc>
        <w:tc>
          <w:tcPr>
            <w:tcW w:w="25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w:t>
            </w:r>
          </w:p>
        </w:tc>
        <w:tc>
          <w:tcPr>
            <w:tcW w:w="234"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Signature loan balances include payday and installment loans (net of valuation allowance) recorded on our balance sheets and the principal portion of active signature loans outstanding from unaffiliated lenders, the balance of which is not included on our balance sheets.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Auto title loan balances include title loans (net of valuation allowance) recorded on our balance sheets and the principal portion of active brokered loans outstanding from unaffiliated lenders, the balance of which is not included on our balance sheets.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EZMONEY Operations segment total revenues increased $7.6 million, or 6%, to $133.3 million, compared to fiscal 2008. This was due to a $3.8 million, or 3%, increase in same store total revenues and $3.8 million of total revenues at new stores net of closed stores. The EZMONEY Operations segment accounted for 22% of fiscal 2009s consolidated total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net revenue increased $8.7 million, or 10%, compared to fiscal 2008. The increase resulted from the new stores contribution net of closed stores and a 3.7 percentage point improvement in bad debt to 25.0% of fees. The improvement in bad debt was due to continuing improvements in the store level execution of servicing the customer and the loan, as well as enhanced productivity measurement tools and enhanced use of technology in our collections department.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net revenues from auto title loans were $2.0 million in fiscal 2009, with bad debt at 11.2% of related fees. These loans were not offered in fiscal 2008.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to $59.9 million (60% of net revenues) from $56.2 million (63% of net revenues) in fiscal 2008. The increase was mostly from additional labor, rent and other costs at new and existing stores net of closed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fiscal 2008s results is a $0.5 million charge to the EZMONEY segments operating income related to the closure of eleven Florida stores following a regulatory action. Approximately $0.2 million was recorded as a </w:t>
      </w:r>
    </w:p>
    <w:p>
      <w:pPr>
        <w:pStyle w:val="TextBody"/>
        <w:jc w:val="center"/>
        <w:rPr>
          <w:rFonts w:ascii="Times New Roman;Times;serif" w:hAnsi="Times New Roman;Times;serif"/>
          <w:sz w:val="17"/>
        </w:rPr>
      </w:pPr>
      <w:r>
        <w:rPr>
          <w:rFonts w:ascii="Times New Roman;Times;serif" w:hAnsi="Times New Roman;Times;serif"/>
          <w:sz w:val="17"/>
        </w:rPr>
        <w:t xml:space="preserve">44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reduction of fee revenue, and $0.3 million was recorded as bad debt in fiscal 2008 based on the increase in loans that were not collected as a result of these store closures.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2009, the $8.7 million increase in net revenues from signature loans, $2.0 million net revenues from auto title loans and $3.7 million greater operations expense resulted in a $7.0 million net increase in store operating income from the EZMONEY Operations segment. For fiscal 2009, EZMONEY Operations comprised 26% of consolidated store operating income compared to 27% in fiscal 2008.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items discussed below affect our consolidated financial results, but are not allocated between segments.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fiscal 2009 were $40.5 million (11% of net revenues) compared to $35.0 million (12% of net revenues) in fiscal 2008. Excluding $1.5 million fiscal 2009 expense directly attributable to the 78 stores acquired in November and December 2008 and a $0.6 million settlement of a lawsuit in fiscal 2008, administrative expenses increased $4.6 million. This increase was primarily due to a $3.3 million rise in administrative labor and benefits as we continued to build the infrastructure to support our growth, a $0.5 million software license dispute settlement, and a $0.4 million increase in professional fees. In fiscal 2009, we realized a $1.1 million cash tax savings upon the exercise of stock options granted in 1998 to our Chief Financial Officer and Chairman of the Board. Terms of the grants required us to pay a bonus to the executives equal to the tax savings realized. Although these items were cash neutral, the tax savings were recorded primarily as an addition to stockholders equity, while the bonus was recorded as administrative expense. This charge is included in the $3.3 million increase in administrative labor and benefits. We do not expect this to recur, as no other outstanding options contain similar terms.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$12.7 million in fiscal 2009, compared to $12.4 million in fiscal 2008. Depreciation on assets placed in service, primarily related to acquired pawn stores and new EZMONEY and Empeño Fácil stores, was largely offset by assets that were retired or became fully depreciated in the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2009, we recognized a $1.0 million net gain on the disposal of assets as insurance proceeds received for destroyed assets exceeded the net book value of those assets, most of which were replaced. In fiscal 2008, we incurred a $0.9 million loss on disposal of assets.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earned $0.3 million of interest income on our invested cash in fiscal 2009 for a rate of return of 0.8%. In fiscal 2008, we earned $0.5 million of interest income on our invested cash, yielding 2.7%. The yield decreased due to lower market rates in fiscal 2009.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borrowed $40 million on December 31, 2008 to complete the VFS acquisition. Our $1.4 million interest expense represents interest on the borrowed funds less quarterly repayments, the amortization of deferred financing costs and the commitment fee on our unused available credit. With only short-term borrowings in fiscal 2008, interest expense of $0.4 million represented primarily the amortization of deferred financing costs and the commitment fee on our line of credit.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equity in the net income of Albemarle &amp; Bond increased $0.7 million from fiscal 2008 to $5.0 million in fiscal 2009 primarily as a result of Albemarle &amp; Bonds higher earnings from same stores and new and acquired stores, partially offset by a weakening in the British pound in relation to the U.S. dollar.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Fiscal 2009s income tax expense was $36.8 million (35.0% of pretax income) compared to $25.6 million (32.8% of pretax income) in fiscal 2008. The fiscal 2008 effective tax rate was lower primarily due to prior year tax credit refund claims on our investment in Albemarle &amp; Bond.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fiscal 2009 improved $27.8 million, or 38% over fiscal 2008 to $101.5 million. Contributing to this were the $24.1 million, $7.0 million and $0.7 million increases in store operating income in our U.S. Pawn, EZMONEY and Empeño Fácil segments and the $2.0 million improvement in gain on disposal of assets, partially offset by the $5.5 million higher administrative expenses. After a $1.2 million decrease in net interest </w:t>
      </w:r>
    </w:p>
    <w:p>
      <w:pPr>
        <w:pStyle w:val="TextBody"/>
        <w:jc w:val="center"/>
        <w:rPr>
          <w:rFonts w:ascii="Times New Roman;Times;serif" w:hAnsi="Times New Roman;Times;serif"/>
          <w:sz w:val="17"/>
        </w:rPr>
      </w:pPr>
      <w:r>
        <w:rPr>
          <w:rFonts w:ascii="Times New Roman;Times;serif" w:hAnsi="Times New Roman;Times;serif"/>
          <w:sz w:val="17"/>
        </w:rPr>
        <w:t xml:space="preserve">45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income, a $0.7 million increase in our equity interest in the earnings of Albemarle &amp; Bond and an $11.2 million increase in income taxes and other smaller items, net income improved $16.0 million to $68.5 million in fiscal 2009. Stores acquired in November and December 2008 contributed $10.7 million of the net income growth.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Liquidity and Capital Resources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2010, our $124.7 million cash flow from operations consisted of (i) net income plus several non-cash items, aggregating to $117.5 million, and (ii) $7.2 million of normal, recurring changes in operating assets and liabilities. In fiscal 2009, our $80.6 million cash flow from operations consisted of (i) net income plus several non-cash items, aggregating to $90.4 million, net of (ii) $9.8 million of normal, recurring changes in operating assets and liabilities. The primary differences in cash flow from operations between the two years were the full period contribution from acquisitions completed in November and December 2008 and organic growth throughout our other operations and revenue streams, net of higher taxes paid.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$137.1 million of net cash used in investing activities during the current year was funded by cash flow from operations and cash on hand. In the current year, we invested $57.8 million to acquire approximately 32.8% of the capital stock of Cash Converters and $1.4 million to acquire additional shares of Albemarle &amp; Bond. We also received $2.4 million in dividends from Albemarle &amp; Bond and $1.5 million from Cash Converters in the current year. We invested $21.8 million cash to acquire 16 pawn stores located in the Chicago metropolitan area, Central and South Florida, Corpus Christi, Texas and Las Vegas, Nevada. Other significant investments in the period were the $25.7 million in additions to property and equipment and the $35.5 million of loans made in excess of customer loan repayments and the recovery of principal through the sale of forfeited pawn loan collateral. In fiscal 2010, we repaid $10.0 million of our term loan.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and other smaller cash flows was an $18.9 million decrease in cash on hand, providing a $25.9 million ending cash balance.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summary of our cash needs to meet future aggregate contractual obligations </w:t>
      </w:r>
      <w:r>
        <w:rPr>
          <w:rFonts w:ascii="Times New Roman;Times;serif" w:hAnsi="Times New Roman;Times;serif"/>
          <w:i/>
          <w:sz w:val="17"/>
        </w:rP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946"/>
        <w:gridCol w:w="154"/>
        <w:gridCol w:w="153"/>
        <w:gridCol w:w="632"/>
        <w:gridCol w:w="76"/>
        <w:gridCol w:w="154"/>
        <w:gridCol w:w="379"/>
        <w:gridCol w:w="1231"/>
        <w:gridCol w:w="76"/>
        <w:gridCol w:w="154"/>
        <w:gridCol w:w="223"/>
        <w:gridCol w:w="743"/>
        <w:gridCol w:w="76"/>
        <w:gridCol w:w="153"/>
        <w:gridCol w:w="223"/>
        <w:gridCol w:w="743"/>
        <w:gridCol w:w="76"/>
        <w:gridCol w:w="154"/>
        <w:gridCol w:w="417"/>
        <w:gridCol w:w="1351"/>
        <w:gridCol w:w="91"/>
      </w:tblGrid>
      <w:tr>
        <w:trPr/>
        <w:tc>
          <w:tcPr>
            <w:tcW w:w="29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r>
      <w:tr>
        <w:trPr/>
        <w:tc>
          <w:tcPr>
            <w:tcW w:w="29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014" w:type="dxa"/>
            <w:gridSpan w:val="18"/>
            <w:tcBorders>
              <w:bottom w:val="single" w:sz="2" w:space="0" w:color="000000"/>
            </w:tcBorders>
            <w:shd w:fill="auto" w:val="clear"/>
            <w:tcMar>
              <w:bottom w:w="28" w:type="dxa"/>
            </w:tcMar>
            <w:vAlign w:val="bottom"/>
          </w:tcPr>
          <w:p>
            <w:pPr>
              <w:pStyle w:val="TableContents"/>
              <w:spacing w:before="0" w:after="283"/>
              <w:jc w:val="center"/>
              <w:rPr/>
            </w:pPr>
            <w:r>
              <w:rPr/>
              <w:t>Payments due by Period</w:t>
            </w:r>
          </w:p>
        </w:tc>
        <w:tc>
          <w:tcPr>
            <w:tcW w:w="91" w:type="dxa"/>
            <w:tcBorders/>
            <w:shd w:fill="auto" w:val="clear"/>
            <w:vAlign w:val="bottom"/>
          </w:tcPr>
          <w:p>
            <w:pPr>
              <w:pStyle w:val="TableContents"/>
              <w:spacing w:before="0" w:after="283"/>
              <w:rPr/>
            </w:pPr>
            <w:r>
              <w:rPr/>
              <w:t> </w:t>
            </w:r>
          </w:p>
        </w:tc>
      </w:tr>
      <w:tr>
        <w:trPr/>
        <w:tc>
          <w:tcPr>
            <w:tcW w:w="2946" w:type="dxa"/>
            <w:tcBorders>
              <w:bottom w:val="single" w:sz="2" w:space="0" w:color="000000"/>
            </w:tcBorders>
            <w:shd w:fill="auto" w:val="clear"/>
            <w:tcMar>
              <w:bottom w:w="28" w:type="dxa"/>
            </w:tcMar>
            <w:vAlign w:val="bottom"/>
          </w:tcPr>
          <w:p>
            <w:pPr>
              <w:pStyle w:val="TableContents"/>
              <w:spacing w:before="0" w:after="283"/>
              <w:jc w:val="left"/>
              <w:rPr/>
            </w:pPr>
            <w:r>
              <w:rPr/>
              <w:t>Contractual Obligations</w:t>
            </w:r>
          </w:p>
        </w:tc>
        <w:tc>
          <w:tcPr>
            <w:tcW w:w="154" w:type="dxa"/>
            <w:tcBorders/>
            <w:shd w:fill="auto" w:val="clear"/>
            <w:vAlign w:val="bottom"/>
          </w:tcPr>
          <w:p>
            <w:pPr>
              <w:pStyle w:val="TableContents"/>
              <w:spacing w:before="0" w:after="283"/>
              <w:rPr/>
            </w:pPr>
            <w:r>
              <w:rPr/>
              <w:t> </w:t>
            </w:r>
          </w:p>
        </w:tc>
        <w:tc>
          <w:tcPr>
            <w:tcW w:w="785"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610" w:type="dxa"/>
            <w:gridSpan w:val="2"/>
            <w:tcBorders>
              <w:bottom w:val="single" w:sz="2" w:space="0" w:color="000000"/>
            </w:tcBorders>
            <w:shd w:fill="auto" w:val="clear"/>
            <w:tcMar>
              <w:bottom w:w="28" w:type="dxa"/>
            </w:tcMar>
            <w:vAlign w:val="bottom"/>
          </w:tcPr>
          <w:p>
            <w:pPr>
              <w:pStyle w:val="TableContents"/>
              <w:spacing w:before="0" w:after="283"/>
              <w:jc w:val="center"/>
              <w:rPr/>
            </w:pPr>
            <w:r>
              <w:rPr/>
              <w:t>Less than 1 year</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66" w:type="dxa"/>
            <w:gridSpan w:val="2"/>
            <w:tcBorders>
              <w:bottom w:val="single" w:sz="2" w:space="0" w:color="000000"/>
            </w:tcBorders>
            <w:shd w:fill="auto" w:val="clear"/>
            <w:tcMar>
              <w:bottom w:w="28" w:type="dxa"/>
            </w:tcMar>
            <w:vAlign w:val="bottom"/>
          </w:tcPr>
          <w:p>
            <w:pPr>
              <w:pStyle w:val="TableContents"/>
              <w:spacing w:before="0" w:after="283"/>
              <w:jc w:val="center"/>
              <w:rPr/>
            </w:pPr>
            <w:r>
              <w:rPr/>
              <w:t>1-3 years</w:t>
            </w:r>
          </w:p>
        </w:tc>
        <w:tc>
          <w:tcPr>
            <w:tcW w:w="7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966" w:type="dxa"/>
            <w:gridSpan w:val="2"/>
            <w:tcBorders>
              <w:bottom w:val="single" w:sz="2" w:space="0" w:color="000000"/>
            </w:tcBorders>
            <w:shd w:fill="auto" w:val="clear"/>
            <w:tcMar>
              <w:bottom w:w="28" w:type="dxa"/>
            </w:tcMar>
            <w:vAlign w:val="bottom"/>
          </w:tcPr>
          <w:p>
            <w:pPr>
              <w:pStyle w:val="TableContents"/>
              <w:spacing w:before="0" w:after="283"/>
              <w:jc w:val="center"/>
              <w:rPr/>
            </w:pPr>
            <w:r>
              <w:rPr/>
              <w:t>4-5 years</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768" w:type="dxa"/>
            <w:gridSpan w:val="2"/>
            <w:tcBorders>
              <w:bottom w:val="single" w:sz="2" w:space="0" w:color="000000"/>
            </w:tcBorders>
            <w:shd w:fill="auto" w:val="clear"/>
            <w:tcMar>
              <w:bottom w:w="28" w:type="dxa"/>
            </w:tcMar>
            <w:vAlign w:val="bottom"/>
          </w:tcPr>
          <w:p>
            <w:pPr>
              <w:pStyle w:val="TableContents"/>
              <w:spacing w:before="0" w:after="283"/>
              <w:jc w:val="center"/>
              <w:rPr/>
            </w:pPr>
            <w:r>
              <w:rPr/>
              <w:t>More than 5 years</w:t>
            </w:r>
          </w:p>
        </w:tc>
        <w:tc>
          <w:tcPr>
            <w:tcW w:w="91" w:type="dxa"/>
            <w:tcBorders/>
            <w:shd w:fill="auto" w:val="clear"/>
            <w:vAlign w:val="bottom"/>
          </w:tcPr>
          <w:p>
            <w:pPr>
              <w:pStyle w:val="TableContents"/>
              <w:spacing w:before="0" w:after="283"/>
              <w:rPr/>
            </w:pPr>
            <w:r>
              <w:rPr/>
              <w:t> </w:t>
            </w:r>
          </w:p>
        </w:tc>
      </w:tr>
      <w:tr>
        <w:trPr/>
        <w:tc>
          <w:tcPr>
            <w:tcW w:w="2946" w:type="dxa"/>
            <w:tcBorders/>
            <w:shd w:fill="CCEEFF" w:val="clear"/>
            <w:vAlign w:val="bottom"/>
          </w:tcPr>
          <w:p>
            <w:pPr>
              <w:pStyle w:val="TableContents"/>
              <w:spacing w:before="0" w:after="0"/>
              <w:ind w:left="225" w:right="0" w:hanging="225"/>
              <w:rPr/>
            </w:pPr>
            <w:r>
              <w:rPr/>
              <w:t>Long-term debt obligations</w:t>
            </w:r>
          </w:p>
        </w:tc>
        <w:tc>
          <w:tcPr>
            <w:tcW w:w="1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632" w:type="dxa"/>
            <w:tcBorders/>
            <w:shd w:fill="CCEEFF" w:val="clear"/>
            <w:vAlign w:val="bottom"/>
          </w:tcPr>
          <w:p>
            <w:pPr>
              <w:pStyle w:val="TableContents"/>
              <w:spacing w:before="0" w:after="283"/>
              <w:jc w:val="right"/>
              <w:rPr/>
            </w:pPr>
            <w:r>
              <w:rPr/>
              <w:t>25.0</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w:t>
            </w:r>
          </w:p>
        </w:tc>
        <w:tc>
          <w:tcPr>
            <w:tcW w:w="1231" w:type="dxa"/>
            <w:tcBorders/>
            <w:shd w:fill="CCEEFF" w:val="clear"/>
            <w:vAlign w:val="bottom"/>
          </w:tcPr>
          <w:p>
            <w:pPr>
              <w:pStyle w:val="TableContents"/>
              <w:spacing w:before="0" w:after="283"/>
              <w:jc w:val="right"/>
              <w:rPr/>
            </w:pPr>
            <w:r>
              <w:rPr/>
              <w:t>10.0</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15.0</w:t>
            </w:r>
          </w:p>
        </w:tc>
        <w:tc>
          <w:tcPr>
            <w:tcW w:w="7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743" w:type="dxa"/>
            <w:tcBorders/>
            <w:shd w:fill="CCEEFF" w:val="clear"/>
            <w:vAlign w:val="bottom"/>
          </w:tcPr>
          <w:p>
            <w:pPr>
              <w:pStyle w:val="TableContents"/>
              <w:spacing w:before="0" w:after="283"/>
              <w:jc w:val="right"/>
              <w:rPr/>
            </w:pPr>
            <w:r>
              <w:rPr/>
              <w:t></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jc w:val="left"/>
              <w:rPr/>
            </w:pPr>
            <w:r>
              <w:rPr/>
              <w:t>$</w:t>
            </w:r>
          </w:p>
        </w:tc>
        <w:tc>
          <w:tcPr>
            <w:tcW w:w="1351"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r>
      <w:tr>
        <w:trPr/>
        <w:tc>
          <w:tcPr>
            <w:tcW w:w="2946" w:type="dxa"/>
            <w:tcBorders/>
            <w:shd w:fill="auto" w:val="clear"/>
            <w:vAlign w:val="bottom"/>
          </w:tcPr>
          <w:p>
            <w:pPr>
              <w:pStyle w:val="TableContents"/>
              <w:spacing w:before="0" w:after="0"/>
              <w:ind w:left="225" w:right="0" w:hanging="225"/>
              <w:rPr/>
            </w:pPr>
            <w:r>
              <w:rPr/>
              <w:t>Interest on long-term debt obligations</w:t>
            </w:r>
          </w:p>
        </w:tc>
        <w:tc>
          <w:tcPr>
            <w:tcW w:w="1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pPr>
            <w:r>
              <w:rPr/>
              <w:t>1.1</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0.7</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0.4</w:t>
            </w:r>
          </w:p>
        </w:tc>
        <w:tc>
          <w:tcPr>
            <w:tcW w:w="7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r>
      <w:tr>
        <w:trPr/>
        <w:tc>
          <w:tcPr>
            <w:tcW w:w="2946" w:type="dxa"/>
            <w:tcBorders/>
            <w:shd w:fill="CCEEFF" w:val="clear"/>
            <w:vAlign w:val="bottom"/>
          </w:tcPr>
          <w:p>
            <w:pPr>
              <w:pStyle w:val="TableContents"/>
              <w:spacing w:before="0" w:after="0"/>
              <w:ind w:left="225" w:right="0" w:hanging="225"/>
              <w:rPr/>
            </w:pPr>
            <w:r>
              <w:rPr/>
              <w:t>Operating lease obligations</w:t>
            </w:r>
          </w:p>
        </w:tc>
        <w:tc>
          <w:tcPr>
            <w:tcW w:w="1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pPr>
            <w:r>
              <w:rPr/>
              <w:t>144.4</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37.6</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59.6</w:t>
            </w:r>
          </w:p>
        </w:tc>
        <w:tc>
          <w:tcPr>
            <w:tcW w:w="7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29.5</w:t>
            </w:r>
          </w:p>
        </w:tc>
        <w:tc>
          <w:tcPr>
            <w:tcW w:w="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17.7</w:t>
            </w:r>
          </w:p>
        </w:tc>
        <w:tc>
          <w:tcPr>
            <w:tcW w:w="91" w:type="dxa"/>
            <w:tcBorders/>
            <w:shd w:fill="CCEEFF" w:val="clear"/>
            <w:vAlign w:val="bottom"/>
          </w:tcPr>
          <w:p>
            <w:pPr>
              <w:pStyle w:val="TableContents"/>
              <w:spacing w:before="0" w:after="283"/>
              <w:rPr/>
            </w:pPr>
            <w:r>
              <w:rPr/>
              <w:t> </w:t>
            </w:r>
          </w:p>
        </w:tc>
      </w:tr>
      <w:tr>
        <w:trPr/>
        <w:tc>
          <w:tcPr>
            <w:tcW w:w="2946" w:type="dxa"/>
            <w:tcBorders/>
            <w:shd w:fill="auto" w:val="clear"/>
            <w:vAlign w:val="center"/>
          </w:tcPr>
          <w:p>
            <w:pPr>
              <w:pStyle w:val="TableContents"/>
              <w:spacing w:before="0" w:after="0"/>
              <w:ind w:left="225" w:right="0" w:hanging="225"/>
              <w:rPr/>
            </w:pPr>
            <w:r>
              <w:rPr/>
              <w:t> </w:t>
            </w:r>
          </w:p>
        </w:tc>
        <w:tc>
          <w:tcPr>
            <w:tcW w:w="154" w:type="dxa"/>
            <w:tcBorders/>
            <w:shd w:fill="auto" w:val="clear"/>
            <w:vAlign w:val="center"/>
          </w:tcPr>
          <w:p>
            <w:pPr>
              <w:pStyle w:val="TableContents"/>
              <w:spacing w:before="0" w:after="283"/>
              <w:rPr/>
            </w:pPr>
            <w:r>
              <w:rPr/>
              <w:t> </w:t>
            </w:r>
          </w:p>
        </w:tc>
        <w:tc>
          <w:tcPr>
            <w:tcW w:w="7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6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9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7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r>
      <w:tr>
        <w:trPr/>
        <w:tc>
          <w:tcPr>
            <w:tcW w:w="2946" w:type="dxa"/>
            <w:tcBorders/>
            <w:shd w:fill="auto" w:val="clear"/>
            <w:vAlign w:val="bottom"/>
          </w:tcPr>
          <w:p>
            <w:pPr>
              <w:pStyle w:val="TableContents"/>
              <w:spacing w:before="0" w:after="0"/>
              <w:ind w:left="225" w:right="0" w:hanging="225"/>
              <w:rPr/>
            </w:pPr>
            <w:r>
              <w:rPr/>
              <w:t>Total</w:t>
            </w:r>
          </w:p>
        </w:tc>
        <w:tc>
          <w:tcPr>
            <w:tcW w:w="1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632" w:type="dxa"/>
            <w:tcBorders/>
            <w:shd w:fill="auto" w:val="clear"/>
            <w:vAlign w:val="bottom"/>
          </w:tcPr>
          <w:p>
            <w:pPr>
              <w:pStyle w:val="TableContents"/>
              <w:spacing w:before="0" w:after="283"/>
              <w:jc w:val="right"/>
              <w:rPr/>
            </w:pPr>
            <w:r>
              <w:rPr/>
              <w:t>170.5</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jc w:val="left"/>
              <w:rPr/>
            </w:pPr>
            <w:r>
              <w:rPr/>
              <w:t>$</w:t>
            </w:r>
          </w:p>
        </w:tc>
        <w:tc>
          <w:tcPr>
            <w:tcW w:w="1231" w:type="dxa"/>
            <w:tcBorders/>
            <w:shd w:fill="auto" w:val="clear"/>
            <w:vAlign w:val="bottom"/>
          </w:tcPr>
          <w:p>
            <w:pPr>
              <w:pStyle w:val="TableContents"/>
              <w:spacing w:before="0" w:after="283"/>
              <w:jc w:val="right"/>
              <w:rPr/>
            </w:pPr>
            <w:r>
              <w:rPr/>
              <w:t>48.3</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75.0</w:t>
            </w:r>
          </w:p>
        </w:tc>
        <w:tc>
          <w:tcPr>
            <w:tcW w:w="7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743" w:type="dxa"/>
            <w:tcBorders/>
            <w:shd w:fill="auto" w:val="clear"/>
            <w:vAlign w:val="bottom"/>
          </w:tcPr>
          <w:p>
            <w:pPr>
              <w:pStyle w:val="TableContents"/>
              <w:spacing w:before="0" w:after="283"/>
              <w:jc w:val="right"/>
              <w:rPr/>
            </w:pPr>
            <w:r>
              <w:rPr/>
              <w:t>29.5</w:t>
            </w:r>
          </w:p>
        </w:tc>
        <w:tc>
          <w:tcPr>
            <w:tcW w:w="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jc w:val="left"/>
              <w:rPr/>
            </w:pPr>
            <w:r>
              <w:rPr/>
              <w:t>$</w:t>
            </w:r>
          </w:p>
        </w:tc>
        <w:tc>
          <w:tcPr>
            <w:tcW w:w="1351" w:type="dxa"/>
            <w:tcBorders/>
            <w:shd w:fill="auto" w:val="clear"/>
            <w:vAlign w:val="bottom"/>
          </w:tcPr>
          <w:p>
            <w:pPr>
              <w:pStyle w:val="TableContents"/>
              <w:spacing w:before="0" w:after="283"/>
              <w:jc w:val="right"/>
              <w:rPr/>
            </w:pPr>
            <w:r>
              <w:rPr/>
              <w:t>17.7</w:t>
            </w:r>
          </w:p>
        </w:tc>
        <w:tc>
          <w:tcPr>
            <w:tcW w:w="91" w:type="dxa"/>
            <w:tcBorders/>
            <w:shd w:fill="auto" w:val="clear"/>
            <w:vAlign w:val="bottom"/>
          </w:tcPr>
          <w:p>
            <w:pPr>
              <w:pStyle w:val="TableContents"/>
              <w:spacing w:before="0" w:after="283"/>
              <w:rPr/>
            </w:pPr>
            <w:r>
              <w:rPr/>
              <w:t> </w:t>
            </w:r>
          </w:p>
        </w:tc>
      </w:tr>
      <w:tr>
        <w:trPr/>
        <w:tc>
          <w:tcPr>
            <w:tcW w:w="2946" w:type="dxa"/>
            <w:tcBorders/>
            <w:shd w:fill="auto" w:val="clear"/>
            <w:vAlign w:val="center"/>
          </w:tcPr>
          <w:p>
            <w:pPr>
              <w:pStyle w:val="TableContents"/>
              <w:spacing w:before="0" w:after="0"/>
              <w:ind w:left="225" w:right="0" w:hanging="225"/>
              <w:rPr/>
            </w:pPr>
            <w:r>
              <w:rPr/>
              <w:t> </w:t>
            </w:r>
          </w:p>
        </w:tc>
        <w:tc>
          <w:tcPr>
            <w:tcW w:w="154" w:type="dxa"/>
            <w:tcBorders/>
            <w:shd w:fill="auto" w:val="clear"/>
            <w:vAlign w:val="center"/>
          </w:tcPr>
          <w:p>
            <w:pPr>
              <w:pStyle w:val="TableContents"/>
              <w:spacing w:before="0" w:after="283"/>
              <w:rPr/>
            </w:pPr>
            <w:r>
              <w:rPr/>
              <w:t> </w:t>
            </w:r>
          </w:p>
        </w:tc>
        <w:tc>
          <w:tcPr>
            <w:tcW w:w="7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6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9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7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contractual obligations in the table above, we are obligated under letters of credit issued to unaffiliated lenders as part of our credit service operations. At September 30, 2010, our maximum exposure for losses on letters of credit, if all brokered signature loans defaulted and none was collected, was $24.4 million. At that date, our maximum exposure for losses on letters of credit, if all brokered auto title loans defaulted and none was collected, was $7.2 million. Auto title loans are secured by customers automobiles. These amounts include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operating lease obligations in the table above, we are responsible for the maintenance, property taxes and insurance at most of our locations. In the fiscal year ended September 30, 2010, these collectively amounted to $14.9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operating lease obligations in the table above include expected rent for all our store locations for the full expected lease terms. Of the 450 U.S. EZMONEY short-term consumer loan stores, 158 adjoin an EZPAWN store. The lease agreements at approximately 93% of the remaining 292 free-standing U.S. EZMONEY stores contain provisions that limit our exposure for additional rent to only a few months if laws were enacted that had a significant </w:t>
      </w:r>
    </w:p>
    <w:p>
      <w:pPr>
        <w:pStyle w:val="TextBody"/>
        <w:jc w:val="center"/>
        <w:rPr>
          <w:rFonts w:ascii="Times New Roman;Times;serif" w:hAnsi="Times New Roman;Times;serif"/>
          <w:sz w:val="17"/>
        </w:rPr>
      </w:pPr>
      <w:r>
        <w:rPr>
          <w:rFonts w:ascii="Times New Roman;Times;serif" w:hAnsi="Times New Roman;Times;serif"/>
          <w:sz w:val="17"/>
        </w:rPr>
        <w:t xml:space="preserve">46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negative effect on our operations at these stores. If such laws were passed, the space currently utilized by stores adjoining EZPAWN stores could be re-incorporated into the EZPAWN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fiscal 2011, we plan to open 55 to 60 Empeño Fácil pawn locations in Mexico, 35 to 40 CASHMAX payday loan locations in Canada and 10 pawn stores in the United States for an expected capital expenditure of approximately $10.7 million, plus the funding of working capital and start-up losses at these stores. We believe new stores will create a drag on earnings and liquidity until their second year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syndicated credit agreement provides for, among other things, (i) an $80 million revolving credit facility, expiring December 31, 2011, that we may, under the terms of the agreement, request to be increased to a total of $110 million and (ii) a $40 million term loan, maturing December 31, 2012. Our term loan requires $2.5 million quarterly principal payments. At September 30, 2010, $25 million was outstanding under the term loan and bank letters of credit totaling $5 million were outstanding, leaving $75 million available on our revolving credit facility. The outstanding bank letter of credit secures our obligations under letters of credit we issue to unaffiliated lenders as part of our credit service operations. Terms of the credit agreement require, among other things, that we meet certain financial covenants. We were in compliance with all covenants at September 30, 2010 and expect to remain in compliance based on our expected future performance. The payment of dividends and additional debt are restricted under our credit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anticipate that cash flow from operations, cash on hand and availability under our revolving credit facility will be adequate to fund our contractual obligations, planned store growth, capital expenditures and working capital requirements during the coming year.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Off-Balance Sheet Arrangements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 or late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include an allowance for Expected LOC Losses in Accounts payable and other accrued expenses on our balance sheet. At September 30, 2010, the allowance for Expected LOC Losses was $1.7 million. At that date, our maximum exposure for losses on LOCs, if all brokered loans defaulted and none was collected, was $31.6 million. This amount includes principal, interest, insufficient funds fees and late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no other off-balance sheet arrangements.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Seasonality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quarters and lowest in the second quarter due primarily to the impact of tax refunds. </w:t>
      </w:r>
    </w:p>
    <w:p>
      <w:pPr>
        <w:pStyle w:val="TextBody"/>
        <w:jc w:val="center"/>
        <w:rPr>
          <w:rFonts w:ascii="Times New Roman;Times;serif" w:hAnsi="Times New Roman;Times;serif"/>
          <w:sz w:val="17"/>
        </w:rPr>
      </w:pPr>
      <w:r>
        <w:rPr>
          <w:rFonts w:ascii="Times New Roman;Times;serif" w:hAnsi="Times New Roman;Times;serif"/>
          <w:sz w:val="17"/>
        </w:rPr>
        <w:t xml:space="preserve">47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income tax refund season. </w:t>
      </w:r>
    </w:p>
    <w:p>
      <w:pPr>
        <w:pStyle w:val="TextBody"/>
        <w:spacing w:before="120" w:after="283"/>
        <w:jc w:val="left"/>
        <w:rPr>
          <w:rFonts w:ascii="Times New Roman;Times;serif" w:hAnsi="Times New Roman;Times;serif"/>
          <w:sz w:val="17"/>
        </w:rPr>
      </w:pPr>
      <w:r>
        <w:rPr>
          <w:rFonts w:ascii="Times New Roman;Times;serif" w:hAnsi="Times New Roman;Times;serif"/>
          <w:b/>
          <w:smallCaps/>
          <w:sz w:val="17"/>
        </w:rPr>
        <w:t>Cautionary Statement Regarding Risks and Uncertainties That May Affect Future Results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Forward-Looking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 Item 1A  Risk Factors of this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specifically disclaim any responsibility to publicly update any information contained in a forward-looking statement except as required by law. All forward-looking statements attributable to us are expressly qualified in their entirety by this cautionary statement. </w:t>
      </w:r>
    </w:p>
    <w:p>
      <w:pPr>
        <w:pStyle w:val="TextBody"/>
        <w:jc w:val="center"/>
        <w:rPr>
          <w:rFonts w:ascii="Times New Roman;Times;serif" w:hAnsi="Times New Roman;Times;serif"/>
          <w:sz w:val="17"/>
        </w:rPr>
      </w:pPr>
      <w:r>
        <w:rPr>
          <w:rFonts w:ascii="Times New Roman;Times;serif" w:hAnsi="Times New Roman;Times;serif"/>
          <w:sz w:val="17"/>
        </w:rPr>
        <w:t xml:space="preserve">48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bookmarkStart w:id="14" w:name="112"/>
      <w:bookmarkEnd w:id="14"/>
      <w:r>
        <w:rPr>
          <w:rFonts w:ascii="Times New Roman;Times;serif" w:hAnsi="Times New Roman;Times;serif"/>
          <w:b/>
          <w:smallCaps/>
          <w:sz w:val="17"/>
        </w:rPr>
        <w:t>Item 7A. Quantitative and Qualitative Disclosures about Market Risk</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Market Risk Disclosures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exposed to market risk related to interest rates, gold values and changes in foreign currency exchange rates. We do not use derivative financial instruments.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are affected by changes in interest rates as our debt has a variable rate. If interest rates average 50 basis points more than our current rate in the fiscal year ending September 30, 2011, our interest expense during the year would increase by approximately $95,000. This amount is determined by considering the impact of the hypothetical interest rate change on our variable-rate term debt at September 30, 2010, including mandatory quarterly principal repayments of $2.5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For further discussion, you should read Part I, Item 1A  Risk Factors of this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foreign exchange rate fluctuations related to our equity investments in Albemarle &amp; Bond and Cash Converters, our Empeño Fácil pawn operations in Mexico, and our Canadian CASHMAX stores. Albemarle &amp; Bonds functional currency is the British pound, Cash Converters functional currency is the Australian dollar, Empeño Fácils functional currency is the Mexican peso and CASHMAXs functional currency is the Canadian dollar. The impact on our results of operations and financial position of hypothetical changes in foreign currency exchange rates cannot be reasonably estimated due to the interrelationship of operating results and exchange rates. Separate discussion regarding the Canadian dollar is not presented as our Canadian operations are not yet material.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Albemarle &amp; Bond representing the weakening in the British pound during the year ended June 30, 2010 (included in our September 30, 2010 results on a three-month lag) was a $1.6 million decrease to stockholders equity. On September 30, 2010, the British pound strengthened to £1.00 to $1.58090 U.S. from $1.5071 at June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Cash Converters representing the weakening in the Australian dollar from our investment dates to June 30, 2010 (included in our September 30, 2010 results on a three-month lag) was a $1.9 million decrease to stockholders equity. On September 30, 2010, the Australian dollar strengthened to $1.00 Australian dollar to $0.97010 U.S. from $0.8567 at June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translation adjustment from Empeño Fácil representing the strengthening of the Mexican peso during the year ended September 30, 2010 was a $1.8 million increase to stockholders equity. We have currently assumed permanent reinvestment of earnings and capital in Mexico. Accumulated translation gains or losses related to any future repatriation of earnings or capital would impact our earnings in the period of repatriation. On September 30, 2010, the peso further strengthened to $1.00 Mexican peso to $0.0799 U.S. from $0.0790 at June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cannot predict the future valuation of foreign currencies or how further movements in them could affect our future earnings or financial position. </w:t>
      </w:r>
    </w:p>
    <w:p>
      <w:pPr>
        <w:pStyle w:val="TextBody"/>
        <w:jc w:val="center"/>
        <w:rPr>
          <w:rFonts w:ascii="Times New Roman;Times;serif" w:hAnsi="Times New Roman;Times;serif"/>
          <w:sz w:val="17"/>
        </w:rPr>
      </w:pPr>
      <w:r>
        <w:rPr>
          <w:rFonts w:ascii="Times New Roman;Times;serif" w:hAnsi="Times New Roman;Times;serif"/>
          <w:sz w:val="17"/>
        </w:rPr>
        <w:t xml:space="preserve">49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bookmarkStart w:id="15" w:name="113"/>
      <w:bookmarkEnd w:id="15"/>
      <w:r>
        <w:rPr>
          <w:rFonts w:ascii="Times New Roman;Times;serif" w:hAnsi="Times New Roman;Times;serif"/>
          <w:b/>
          <w:smallCaps/>
          <w:sz w:val="17"/>
        </w:rPr>
        <w:t>Item 8. Financial Statements and Supplementary Data</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 to Financial Statements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82"/>
        <w:gridCol w:w="510"/>
        <w:gridCol w:w="101"/>
        <w:gridCol w:w="510"/>
        <w:gridCol w:w="102"/>
      </w:tblGrid>
      <w:tr>
        <w:trPr/>
        <w:tc>
          <w:tcPr>
            <w:tcW w:w="898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hyperlink w:anchor="301">
              <w:r>
                <w:rPr>
                  <w:rStyle w:val="InternetLink"/>
                </w:rPr>
                <w:t>Report of Independent Registered Public Accounting Firm</w:t>
              </w:r>
            </w:hyperlink>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51</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Consolidated Financial Statements: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450" w:right="0" w:hanging="225"/>
              <w:rPr/>
            </w:pPr>
            <w:hyperlink w:anchor="302">
              <w:r>
                <w:rPr>
                  <w:rStyle w:val="InternetLink"/>
                </w:rPr>
                <w:t>Consolidated Balance Sheets as of September 30, 2010 and 2009</w:t>
              </w:r>
            </w:hyperlink>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52</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450" w:right="0" w:hanging="225"/>
              <w:rPr/>
            </w:pPr>
            <w:hyperlink w:anchor="303">
              <w:r>
                <w:rPr>
                  <w:rStyle w:val="InternetLink"/>
                </w:rPr>
                <w:t>Consolidated Statements of Operations for each of the Three Years Ended September 30, 2010</w:t>
              </w:r>
            </w:hyperlink>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53</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450" w:right="0" w:hanging="225"/>
              <w:rPr/>
            </w:pPr>
            <w:hyperlink w:anchor="304">
              <w:r>
                <w:rPr>
                  <w:rStyle w:val="InternetLink"/>
                </w:rPr>
                <w:t>Consolidated Statements of Cash Flows for each of the Three Years Ended September 30, 2010</w:t>
              </w:r>
            </w:hyperlink>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54</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450" w:right="0" w:hanging="225"/>
              <w:rPr/>
            </w:pPr>
            <w:hyperlink w:anchor="305">
              <w:r>
                <w:rPr>
                  <w:rStyle w:val="InternetLink"/>
                </w:rPr>
                <w:t>Consolidated Statements of Stockholders Equity for each of the Three Years Ended September 30, 2010</w:t>
              </w:r>
            </w:hyperlink>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55</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450" w:right="0" w:hanging="225"/>
              <w:rPr/>
            </w:pPr>
            <w:hyperlink w:anchor="306">
              <w:r>
                <w:rPr>
                  <w:rStyle w:val="InternetLink"/>
                </w:rPr>
                <w:t>Notes to Consolidated Financial Statements</w:t>
              </w:r>
            </w:hyperlink>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56</w:t>
            </w:r>
          </w:p>
        </w:tc>
        <w:tc>
          <w:tcPr>
            <w:tcW w:w="102"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6" w:name="301"/>
      <w:bookmarkEnd w:id="16"/>
      <w:r>
        <w:rPr>
          <w:rFonts w:ascii="Times New Roman;Times;serif" w:hAnsi="Times New Roman;Times;serif"/>
          <w:b/>
          <w:sz w:val="17"/>
        </w:rPr>
        <w:t>Report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Board of Directors and Stockholders</w:t>
        <w:br/>
        <w:t>EZCORP, Inc.</w:t>
        <w:br/>
        <w:t xml:space="preserve">Austin,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audited the accompanying consolidated balance sheets of EZCORP, Inc. (the Company) as of September 30, 2010 and 2009 and the related consolidated statements of operations, stockholders equity, and cash flows for each of the three years in the period ended September 30, 2010. Our audits also include the financial statement schedule listed in the index at Item 15(a)(2). These financial statements and schedule are the responsibility of the Companys management. Our responsibility is to express an opinion on these financial statements and schedule based on our audits.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conducted our audits in accordance with the standards of the Public Company Accounting Oversight Board (United States). Those standards require that we plan and perform the audit to obtain reasonable assurance about whether the financial statements and schedule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opinion, the consolidated financial statements referred to above present fairly, in all material respects, the financial position of EZCORP, Inc. at September 30, 2010 and 2009, and the results of its operations and its cash flows for each of the three years in the period ended September 30, 2010,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more fully described in Note J to the consolidated financial statements, effective October 1, 2007, the Company adopted the provisions of the Financial Accounting Standards Board Accounting Standards Codification 740-10-25 (formerly Financial Interpretation No. 48, Accounting for Uncertainty in Income Taxes).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have audited, in accordance with the standards of the Public Company Accounting Oversight Board (United States), the effectiveness of EZCORP, Inc.s internal control over financial reporting as of September 30, 2010, based on criteria established in Internal Control  Integrated Framework issued by the Committee of Sponsoring Organizations of the Treadway Commission (COSO) and our report dated November 24, 2010 expressed an unqualified opinion thereon.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BDO USA,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Dallas, Texas</w:t>
        <w:br/>
        <w:t xml:space="preserve">November 24, 2010 </w:t>
      </w:r>
    </w:p>
    <w:p>
      <w:pPr>
        <w:pStyle w:val="TextBody"/>
        <w:jc w:val="center"/>
        <w:rPr>
          <w:rFonts w:ascii="Times New Roman;Times;serif" w:hAnsi="Times New Roman;Times;serif"/>
          <w:sz w:val="17"/>
        </w:rPr>
      </w:pPr>
      <w:r>
        <w:rPr>
          <w:rFonts w:ascii="Times New Roman;Times;serif" w:hAnsi="Times New Roman;Times;serif"/>
          <w:sz w:val="17"/>
        </w:rPr>
        <w:t xml:space="preserve">51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mallCaps/>
          <w:sz w:val="17"/>
        </w:rPr>
        <w:t>EZCORP,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mallCaps/>
          <w:sz w:val="17"/>
        </w:rPr>
      </w:pPr>
      <w:bookmarkStart w:id="17" w:name="302"/>
      <w:bookmarkEnd w:id="17"/>
      <w:r>
        <w:rPr>
          <w:rFonts w:ascii="Times New Roman;Times;serif" w:hAnsi="Times New Roman;Times;serif"/>
          <w:b/>
          <w:smallCaps/>
          <w:sz w:val="17"/>
        </w:rPr>
        <w:t>Consolidated Balance Sheets</w:t>
      </w:r>
    </w:p>
    <w:tbl>
      <w:tblPr>
        <w:tblW w:w="5000" w:type="pct"/>
        <w:jc w:val="center"/>
        <w:tblInd w:w="0" w:type="dxa"/>
        <w:tblCellMar>
          <w:top w:w="0" w:type="dxa"/>
          <w:left w:w="0" w:type="dxa"/>
          <w:bottom w:w="0" w:type="dxa"/>
          <w:right w:w="0" w:type="dxa"/>
        </w:tblCellMar>
      </w:tblPr>
      <w:tblGrid>
        <w:gridCol w:w="7112"/>
        <w:gridCol w:w="457"/>
        <w:gridCol w:w="151"/>
        <w:gridCol w:w="805"/>
        <w:gridCol w:w="130"/>
        <w:gridCol w:w="457"/>
        <w:gridCol w:w="151"/>
        <w:gridCol w:w="805"/>
        <w:gridCol w:w="137"/>
      </w:tblGrid>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2499"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2499" w:type="dxa"/>
            <w:gridSpan w:val="6"/>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225" w:right="0" w:hanging="225"/>
              <w:rPr/>
            </w:pPr>
            <w:r>
              <w:rPr/>
              <w:t>Assets: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Current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Cash and cash equivalents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25,854</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44,764</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Pawn loans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121,201</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101,684</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Signature loans,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10,775</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8,357</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Auto title loans,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3,145</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1,663</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Pawn service charges receivable,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21,626</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18,187</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Signature loan fees receivable,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5,818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5,599</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Auto title loan fees receivable,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1,616</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529</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Inventory,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71,502</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64,001</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Deferred tax asset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23,208</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15,670</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Prepaid expenses and other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17,427</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16,927</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current assets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302,172</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277,381</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Investments in unconsolidated affiliates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101,386</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38,851</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Property and equipment,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62,293</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51,154</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Deferred tax asset, non-current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6,311</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Goodwill</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117,305</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100,719</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Other assets,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23,196</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18,101</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Total assets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606,412</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492,517</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Liabilities and stockholders equity:</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Current liabilities: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Current maturities of long-term debt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10,000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10,000</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Accounts payable and other accrued expenses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49,663</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33,838</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Customer layaway deposits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6,109</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4,175</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Federal income taxes payable</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3,687</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572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Total current liabilities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69,459</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48,585</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Long-term debt, less current maturities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15,000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25,000</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Deferred gains and other long-term liabilities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2,525</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3,247</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liabilities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86,984</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76,832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Commitments and contingencies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Class A Non-voting Common Stock, par value $.01 per share; authorized 54 million shares; 46,256,051 issued and outstanding in 2010; 45,732,998 issued and outstanding in 2009</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463</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457</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Class B Voting Common Stock, convertible, par value $.01 per share; 3 million shares authorized; 2,970,171 issued and outstanding</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Additional paid-in capital</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225,374</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217,176</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Retained earnings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299,936</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202,642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Accumulated other comprehensive loss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(6,375</w:t>
            </w:r>
          </w:p>
        </w:tc>
        <w:tc>
          <w:tcPr>
            <w:tcW w:w="130"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(4,620</w:t>
            </w:r>
          </w:p>
        </w:tc>
        <w:tc>
          <w:tcPr>
            <w:tcW w:w="137" w:type="dxa"/>
            <w:tcBorders/>
            <w:shd w:fill="auto" w:val="clear"/>
            <w:vAlign w:val="bottom"/>
          </w:tcPr>
          <w:p>
            <w:pPr>
              <w:pStyle w:val="TableContents"/>
              <w:spacing w:before="0" w:after="283"/>
              <w:rPr/>
            </w:pPr>
            <w:r>
              <w:rPr/>
              <w:t>)</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Total 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519,428</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415,685</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450" w:right="0" w:hanging="225"/>
              <w:rPr/>
            </w:pPr>
            <w:r>
              <w:rPr/>
              <w:t>Total liabilities and stockholders equity</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606,412</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492,517</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mallCaps/>
          <w:sz w:val="17"/>
        </w:rPr>
        <w:t>EZCORP,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18" w:name="303"/>
      <w:bookmarkEnd w:id="18"/>
      <w:r>
        <w:rPr>
          <w:rFonts w:ascii="Times New Roman;Times;serif" w:hAnsi="Times New Roman;Times;serif"/>
          <w:b/>
          <w:sz w:val="17"/>
        </w:rPr>
        <w:t>Consolidated Statements of Operations</w:t>
      </w:r>
    </w:p>
    <w:tbl>
      <w:tblPr>
        <w:tblW w:w="5000" w:type="pct"/>
        <w:jc w:val="center"/>
        <w:tblInd w:w="0" w:type="dxa"/>
        <w:tblCellMar>
          <w:top w:w="0" w:type="dxa"/>
          <w:left w:w="0" w:type="dxa"/>
          <w:bottom w:w="0" w:type="dxa"/>
          <w:right w:w="0" w:type="dxa"/>
        </w:tblCellMar>
      </w:tblPr>
      <w:tblGrid>
        <w:gridCol w:w="5057"/>
        <w:gridCol w:w="371"/>
        <w:gridCol w:w="185"/>
        <w:gridCol w:w="1010"/>
        <w:gridCol w:w="146"/>
        <w:gridCol w:w="381"/>
        <w:gridCol w:w="185"/>
        <w:gridCol w:w="1010"/>
        <w:gridCol w:w="146"/>
        <w:gridCol w:w="381"/>
        <w:gridCol w:w="185"/>
        <w:gridCol w:w="1012"/>
        <w:gridCol w:w="136"/>
      </w:tblGrid>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641"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95"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19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1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641" w:type="dxa"/>
            <w:gridSpan w:val="10"/>
            <w:tcBorders/>
            <w:shd w:fill="auto" w:val="clear"/>
            <w:vAlign w:val="bottom"/>
          </w:tcPr>
          <w:p>
            <w:pPr>
              <w:pStyle w:val="TableContents"/>
              <w:spacing w:before="0" w:after="283"/>
              <w:jc w:val="center"/>
              <w:rPr>
                <w:i/>
              </w:rPr>
            </w:pPr>
            <w:r>
              <w:rPr>
                <w:i/>
              </w:rPr>
              <w:t>(In thousands, except per share amounts)</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Revenues: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Sales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399,531</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323,596</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232,560</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Pawn service charges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163,695</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130,169</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94,244</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Signature loan fees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139,315</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133,344</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128,478</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Auto title loan fees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17,707</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3,589</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Other</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12,797</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6,758</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2,121</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675" w:right="0" w:hanging="225"/>
              <w:rPr/>
            </w:pPr>
            <w:r>
              <w:rPr/>
              <w:t>Total revenues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733,045</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597,456</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457,403</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Cost of goods sold</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251,122</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203,589</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139,402</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Signature loan bad debt</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31,709</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33,553</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37,150</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Auto title loan bad debt</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2,735</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380</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675" w:right="0" w:hanging="225"/>
              <w:rPr/>
            </w:pPr>
            <w:r>
              <w:rPr/>
              <w:t>Net revenues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447,479</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359,934</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280,851</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Operating expenses: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Operations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236,664</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206,237</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158,927</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Administrative</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52,740</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40,497</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34,951</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Depreciation</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14,030</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12,261</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11,794</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Amortization</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631</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485</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560</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(Gain) loss on sale / disposal of assets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1,528</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(1,024</w:t>
            </w:r>
          </w:p>
        </w:tc>
        <w:tc>
          <w:tcPr>
            <w:tcW w:w="146"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939</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675" w:right="0" w:hanging="225"/>
              <w:rPr/>
            </w:pPr>
            <w:r>
              <w:rPr/>
              <w:t>Total operating expenses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305,593</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258,456</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207,171</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Operating income</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141,886</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101,478</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73,680</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Interest income</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1010" w:type="dxa"/>
            <w:tcBorders/>
            <w:shd w:fill="auto" w:val="clear"/>
            <w:vAlign w:val="bottom"/>
          </w:tcPr>
          <w:p>
            <w:pPr>
              <w:pStyle w:val="TableContents"/>
              <w:spacing w:before="0" w:after="283"/>
              <w:jc w:val="right"/>
              <w:rPr/>
            </w:pPr>
            <w:r>
              <w:rPr/>
              <w:t>(186</w:t>
            </w:r>
          </w:p>
        </w:tc>
        <w:tc>
          <w:tcPr>
            <w:tcW w:w="146"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1010" w:type="dxa"/>
            <w:tcBorders/>
            <w:shd w:fill="auto" w:val="clear"/>
            <w:vAlign w:val="bottom"/>
          </w:tcPr>
          <w:p>
            <w:pPr>
              <w:pStyle w:val="TableContents"/>
              <w:spacing w:before="0" w:after="283"/>
              <w:jc w:val="right"/>
              <w:rPr/>
            </w:pPr>
            <w:r>
              <w:rPr/>
              <w:t>(281</w:t>
            </w:r>
          </w:p>
        </w:tc>
        <w:tc>
          <w:tcPr>
            <w:tcW w:w="146"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1012" w:type="dxa"/>
            <w:tcBorders/>
            <w:shd w:fill="auto" w:val="clear"/>
            <w:vAlign w:val="bottom"/>
          </w:tcPr>
          <w:p>
            <w:pPr>
              <w:pStyle w:val="TableContents"/>
              <w:spacing w:before="0" w:after="283"/>
              <w:jc w:val="right"/>
              <w:rPr/>
            </w:pPr>
            <w:r>
              <w:rPr/>
              <w:t>(477</w:t>
            </w:r>
          </w:p>
        </w:tc>
        <w:tc>
          <w:tcPr>
            <w:tcW w:w="136" w:type="dxa"/>
            <w:tcBorders/>
            <w:shd w:fill="auto" w:val="clear"/>
            <w:vAlign w:val="bottom"/>
          </w:tcPr>
          <w:p>
            <w:pPr>
              <w:pStyle w:val="TableContents"/>
              <w:spacing w:before="0" w:after="283"/>
              <w:rPr/>
            </w:pPr>
            <w:r>
              <w:rPr/>
              <w:t>)</w:t>
            </w:r>
          </w:p>
        </w:tc>
      </w:tr>
      <w:tr>
        <w:trPr/>
        <w:tc>
          <w:tcPr>
            <w:tcW w:w="5057" w:type="dxa"/>
            <w:tcBorders/>
            <w:shd w:fill="CCEEFF" w:val="clear"/>
            <w:vAlign w:val="bottom"/>
          </w:tcPr>
          <w:p>
            <w:pPr>
              <w:pStyle w:val="TableContents"/>
              <w:spacing w:before="0" w:after="0"/>
              <w:ind w:left="225" w:right="0" w:hanging="225"/>
              <w:rPr/>
            </w:pPr>
            <w:r>
              <w:rPr/>
              <w:t>Interest expense</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1,385</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1,425</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420</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Equity in net income of unconsolidated affiliates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1010" w:type="dxa"/>
            <w:tcBorders/>
            <w:shd w:fill="auto" w:val="clear"/>
            <w:vAlign w:val="bottom"/>
          </w:tcPr>
          <w:p>
            <w:pPr>
              <w:pStyle w:val="TableContents"/>
              <w:spacing w:before="0" w:after="283"/>
              <w:jc w:val="right"/>
              <w:rPr/>
            </w:pPr>
            <w:r>
              <w:rPr/>
              <w:t>(10,750</w:t>
            </w:r>
          </w:p>
        </w:tc>
        <w:tc>
          <w:tcPr>
            <w:tcW w:w="146"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1010" w:type="dxa"/>
            <w:tcBorders/>
            <w:shd w:fill="auto" w:val="clear"/>
            <w:vAlign w:val="bottom"/>
          </w:tcPr>
          <w:p>
            <w:pPr>
              <w:pStyle w:val="TableContents"/>
              <w:spacing w:before="0" w:after="283"/>
              <w:jc w:val="right"/>
              <w:rPr/>
            </w:pPr>
            <w:r>
              <w:rPr/>
              <w:t>(5,016</w:t>
            </w:r>
          </w:p>
        </w:tc>
        <w:tc>
          <w:tcPr>
            <w:tcW w:w="146"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1012" w:type="dxa"/>
            <w:tcBorders/>
            <w:shd w:fill="auto" w:val="clear"/>
            <w:vAlign w:val="bottom"/>
          </w:tcPr>
          <w:p>
            <w:pPr>
              <w:pStyle w:val="TableContents"/>
              <w:spacing w:before="0" w:after="283"/>
              <w:jc w:val="right"/>
              <w:rPr/>
            </w:pPr>
            <w:r>
              <w:rPr/>
              <w:t>(4,342</w:t>
            </w:r>
          </w:p>
        </w:tc>
        <w:tc>
          <w:tcPr>
            <w:tcW w:w="136" w:type="dxa"/>
            <w:tcBorders/>
            <w:shd w:fill="auto" w:val="clear"/>
            <w:vAlign w:val="bottom"/>
          </w:tcPr>
          <w:p>
            <w:pPr>
              <w:pStyle w:val="TableContents"/>
              <w:spacing w:before="0" w:after="283"/>
              <w:rPr/>
            </w:pPr>
            <w:r>
              <w:rPr/>
              <w:t>)</w:t>
            </w:r>
          </w:p>
        </w:tc>
      </w:tr>
      <w:tr>
        <w:trPr/>
        <w:tc>
          <w:tcPr>
            <w:tcW w:w="5057" w:type="dxa"/>
            <w:tcBorders/>
            <w:shd w:fill="CCEEFF" w:val="clear"/>
            <w:vAlign w:val="bottom"/>
          </w:tcPr>
          <w:p>
            <w:pPr>
              <w:pStyle w:val="TableContents"/>
              <w:spacing w:before="0" w:after="0"/>
              <w:ind w:left="225" w:right="0" w:hanging="225"/>
              <w:rPr/>
            </w:pPr>
            <w:r>
              <w:rPr/>
              <w:t>Other</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(93</w:t>
            </w:r>
          </w:p>
        </w:tc>
        <w:tc>
          <w:tcPr>
            <w:tcW w:w="146"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38</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8</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Income before income taxes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151,530</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105,312</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78,071</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Income tax expense</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54,236</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36,840</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25,642</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Net income</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97,294</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68,472</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52,429</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Net income per common share:</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Basic</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1.98</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1.45</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1.27</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Diluted</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10" w:type="dxa"/>
            <w:tcBorders/>
            <w:shd w:fill="CCEEFF" w:val="clear"/>
            <w:vAlign w:val="bottom"/>
          </w:tcPr>
          <w:p>
            <w:pPr>
              <w:pStyle w:val="TableContents"/>
              <w:spacing w:before="0" w:after="283"/>
              <w:jc w:val="right"/>
              <w:rPr/>
            </w:pPr>
            <w:r>
              <w:rPr/>
              <w:t>1.96</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10" w:type="dxa"/>
            <w:tcBorders/>
            <w:shd w:fill="CCEEFF" w:val="clear"/>
            <w:vAlign w:val="bottom"/>
          </w:tcPr>
          <w:p>
            <w:pPr>
              <w:pStyle w:val="TableContents"/>
              <w:spacing w:before="0" w:after="283"/>
              <w:jc w:val="right"/>
              <w:rPr/>
            </w:pPr>
            <w:r>
              <w:rPr/>
              <w:t>1.42</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12" w:type="dxa"/>
            <w:tcBorders/>
            <w:shd w:fill="CCEEFF" w:val="clear"/>
            <w:vAlign w:val="bottom"/>
          </w:tcPr>
          <w:p>
            <w:pPr>
              <w:pStyle w:val="TableContents"/>
              <w:spacing w:before="0" w:after="283"/>
              <w:jc w:val="right"/>
              <w:rPr/>
            </w:pPr>
            <w:r>
              <w:rPr/>
              <w:t>1.21</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Weighted average shares outstanding:</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Basic</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49,033</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47,372</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41,396</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Diluted</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49,576</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48,076</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43,327</w:t>
            </w:r>
          </w:p>
        </w:tc>
        <w:tc>
          <w:tcPr>
            <w:tcW w:w="136"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mallCaps/>
          <w:sz w:val="17"/>
        </w:rPr>
      </w:pPr>
      <w:bookmarkStart w:id="19" w:name="304"/>
      <w:bookmarkEnd w:id="19"/>
      <w:r>
        <w:rPr>
          <w:rFonts w:ascii="Times New Roman;Times;serif" w:hAnsi="Times New Roman;Times;serif"/>
          <w:b/>
          <w:smallCaps/>
          <w:sz w:val="17"/>
        </w:rPr>
        <w:t>Consolidated Statements of Cash Flows</w:t>
      </w:r>
    </w:p>
    <w:tbl>
      <w:tblPr>
        <w:tblW w:w="5000" w:type="pct"/>
        <w:jc w:val="center"/>
        <w:tblInd w:w="0" w:type="dxa"/>
        <w:tblCellMar>
          <w:top w:w="0" w:type="dxa"/>
          <w:left w:w="0" w:type="dxa"/>
          <w:bottom w:w="0" w:type="dxa"/>
          <w:right w:w="0" w:type="dxa"/>
        </w:tblCellMar>
      </w:tblPr>
      <w:tblGrid>
        <w:gridCol w:w="5087"/>
        <w:gridCol w:w="348"/>
        <w:gridCol w:w="166"/>
        <w:gridCol w:w="964"/>
        <w:gridCol w:w="132"/>
        <w:gridCol w:w="348"/>
        <w:gridCol w:w="204"/>
        <w:gridCol w:w="1206"/>
        <w:gridCol w:w="132"/>
        <w:gridCol w:w="348"/>
        <w:gridCol w:w="166"/>
        <w:gridCol w:w="964"/>
        <w:gridCol w:w="140"/>
      </w:tblGrid>
      <w:tr>
        <w:trPr/>
        <w:tc>
          <w:tcPr>
            <w:tcW w:w="508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4630"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10" w:type="dxa"/>
            <w:gridSpan w:val="2"/>
            <w:tcBorders/>
            <w:shd w:fill="auto" w:val="clear"/>
            <w:vAlign w:val="bottom"/>
          </w:tcPr>
          <w:p>
            <w:pPr>
              <w:pStyle w:val="TableContents"/>
              <w:spacing w:before="0" w:after="283"/>
              <w:jc w:val="center"/>
              <w:rPr/>
            </w:pPr>
            <w:r>
              <w:rPr/>
              <w:t>(</w:t>
            </w:r>
            <w:r>
              <w:rPr>
                <w:i/>
              </w:rPr>
              <w:t>In thousands)</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225" w:right="0" w:hanging="225"/>
              <w:rPr/>
            </w:pPr>
            <w:r>
              <w:rPr/>
              <w:t>Operating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Net income</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97,294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68,472</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52,429</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675" w:right="0" w:hanging="225"/>
              <w:rPr/>
            </w:pPr>
            <w:r>
              <w:rPr/>
              <w:t>Depreciation and amortization</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14,661</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12,746</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12,354</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675" w:right="0" w:hanging="225"/>
              <w:rPr/>
            </w:pPr>
            <w:r>
              <w:rPr/>
              <w:t>Signature loan and auto title loan loss provisions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11,588</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9,023</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8,691</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675" w:right="0" w:hanging="225"/>
              <w:rPr/>
            </w:pPr>
            <w:r>
              <w:rPr/>
              <w:t>Deferred taxes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(1,287</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2,493</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(5,291</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675" w:right="0" w:hanging="225"/>
              <w:rPr/>
            </w:pPr>
            <w:r>
              <w:rPr/>
              <w:t>Net (gain) loss on sale or disposal of assets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1,528</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(1,024</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939</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675" w:right="0" w:hanging="225"/>
              <w:rPr/>
            </w:pPr>
            <w:r>
              <w:rPr/>
              <w:t>Stock compensation</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4,512</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3,701</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3,719</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675" w:right="0" w:hanging="225"/>
              <w:rPr/>
            </w:pPr>
            <w:r>
              <w:rPr/>
              <w:t>Income from investments in unconsolidated affiliates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(10,750</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(5,016</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(4,342</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675" w:right="0" w:hanging="225"/>
              <w:rPr/>
            </w:pPr>
            <w:r>
              <w:rPr/>
              <w:t>Service charges and fees receivable, net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(4,312</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(1,408</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(1,835</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675" w:right="0" w:hanging="225"/>
              <w:rPr/>
            </w:pPr>
            <w:r>
              <w:rPr/>
              <w:t>Inventory, net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(2,144</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(783</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(874</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675" w:right="0" w:hanging="225"/>
              <w:rPr/>
            </w:pPr>
            <w:r>
              <w:rPr/>
              <w:t>Prepaid expenses, other current assets, and other assets, net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(6,277</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(4,767</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(3,885</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675" w:right="0" w:hanging="225"/>
              <w:rPr/>
            </w:pPr>
            <w:r>
              <w:rPr/>
              <w:t>Accounts payable and accrued expenses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15,592</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(3,649</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4,088</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675" w:right="0" w:hanging="225"/>
              <w:rPr/>
            </w:pPr>
            <w:r>
              <w:rPr/>
              <w:t>Customer layaway deposits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1,824</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861</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275</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675" w:right="0" w:hanging="225"/>
              <w:rPr/>
            </w:pPr>
            <w:r>
              <w:rPr/>
              <w:t>Deferred gains and other long-term liabilities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(736</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(363</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731</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675" w:right="0" w:hanging="225"/>
              <w:rPr/>
            </w:pPr>
            <w:r>
              <w:rPr/>
              <w:t>Excess tax benefit from stock compensation</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(1,861</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(1,789</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(552</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675" w:right="0" w:hanging="225"/>
              <w:rPr/>
            </w:pPr>
            <w:r>
              <w:rPr/>
              <w:t>Federal income taxes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5,093</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2,120</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(4,103</w:t>
            </w:r>
          </w:p>
        </w:tc>
        <w:tc>
          <w:tcPr>
            <w:tcW w:w="140" w:type="dxa"/>
            <w:tcBorders/>
            <w:shd w:fill="auto" w:val="clear"/>
            <w:vAlign w:val="bottom"/>
          </w:tcPr>
          <w:p>
            <w:pPr>
              <w:pStyle w:val="TableContents"/>
              <w:spacing w:before="0" w:after="283"/>
              <w:rPr/>
            </w:pPr>
            <w:r>
              <w:rPr/>
              <w:t>)</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900" w:right="0" w:hanging="225"/>
              <w:rPr/>
            </w:pPr>
            <w:r>
              <w:rPr/>
              <w:t>Net cash provided by operating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124,725</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80,617</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62,344</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Investing Activities: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Loans made</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(545,579</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(446,023</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(344,450</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450" w:right="0" w:hanging="225"/>
              <w:rPr/>
            </w:pPr>
            <w:r>
              <w:rPr/>
              <w:t>Loans repaid</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335,832</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276,255</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207,718</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Recovery of pawn loan principal through sale of forfeited collateral</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174,224</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154,235</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110,211</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Additions to property and equipment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(25,741</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(19,264</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(18,159</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450" w:right="0" w:hanging="225"/>
              <w:rPr/>
            </w:pPr>
            <w:r>
              <w:rPr/>
              <w:t>Acquisitions, net of cash acquired</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(21,837</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(40,922</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(15,467</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450" w:right="0" w:hanging="225"/>
              <w:rPr/>
            </w:pPr>
            <w:r>
              <w:rPr/>
              <w:t>Investments in unconsolidated affiliates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(59,188</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(15</w:t>
            </w:r>
          </w:p>
        </w:tc>
        <w:tc>
          <w:tcPr>
            <w:tcW w:w="140" w:type="dxa"/>
            <w:tcBorders/>
            <w:shd w:fill="auto" w:val="clear"/>
            <w:vAlign w:val="bottom"/>
          </w:tcPr>
          <w:p>
            <w:pPr>
              <w:pStyle w:val="TableContents"/>
              <w:spacing w:before="0" w:after="283"/>
              <w:rPr/>
            </w:pPr>
            <w:r>
              <w:rPr/>
              <w:t>)</w:t>
            </w:r>
          </w:p>
        </w:tc>
      </w:tr>
      <w:tr>
        <w:trPr/>
        <w:tc>
          <w:tcPr>
            <w:tcW w:w="5087" w:type="dxa"/>
            <w:tcBorders/>
            <w:shd w:fill="CCEEFF" w:val="clear"/>
            <w:vAlign w:val="bottom"/>
          </w:tcPr>
          <w:p>
            <w:pPr>
              <w:pStyle w:val="TableContents"/>
              <w:spacing w:before="0" w:after="0"/>
              <w:ind w:left="450" w:right="0" w:hanging="225"/>
              <w:rPr/>
            </w:pPr>
            <w:r>
              <w:rPr/>
              <w:t>Dividends from unconsolidated affiliates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3,841</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1,634</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1,760</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Proceeds from disposal of assets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1,347</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1,062</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900" w:right="0" w:hanging="225"/>
              <w:rPr/>
            </w:pPr>
            <w:r>
              <w:rPr/>
              <w:t>Net cash used in investing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(137,101</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06" w:type="dxa"/>
            <w:tcBorders/>
            <w:shd w:fill="CCEEFF" w:val="clear"/>
            <w:vAlign w:val="bottom"/>
          </w:tcPr>
          <w:p>
            <w:pPr>
              <w:pStyle w:val="TableContents"/>
              <w:spacing w:before="0" w:after="283"/>
              <w:jc w:val="right"/>
              <w:rPr/>
            </w:pPr>
            <w:r>
              <w:rPr/>
              <w:t>(73,023</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(58,402</w:t>
            </w:r>
          </w:p>
        </w:tc>
        <w:tc>
          <w:tcPr>
            <w:tcW w:w="140" w:type="dxa"/>
            <w:tcBorders/>
            <w:shd w:fill="CCEEFF" w:val="clear"/>
            <w:vAlign w:val="bottom"/>
          </w:tcPr>
          <w:p>
            <w:pPr>
              <w:pStyle w:val="TableContents"/>
              <w:spacing w:before="0" w:after="283"/>
              <w:rPr/>
            </w:pPr>
            <w:r>
              <w:rPr/>
              <w:t>)</w:t>
            </w:r>
          </w:p>
        </w:tc>
      </w:tr>
      <w:tr>
        <w:trPr/>
        <w:tc>
          <w:tcPr>
            <w:tcW w:w="5087"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Financing Activities: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Proceeds from exercise of stock options and warrants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1,602</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4,943</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417</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Stock issuance costs related to acquisitions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(442</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Excess tax benefit from stock compensation</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1,861</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1,789</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552</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Debt issuance costs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3</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(1,179</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Proceeds from bank borrowings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40,000</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Payments on bank borrowings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(10,000</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right"/>
              <w:rPr/>
            </w:pPr>
            <w:r>
              <w:rPr/>
              <w:t>(35,385</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900" w:right="0" w:hanging="225"/>
              <w:rPr/>
            </w:pPr>
            <w:r>
              <w:rPr/>
              <w:t>Net cash provided by (used in) financing activities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pPr>
            <w:r>
              <w:rPr/>
              <w:t>(6,534</w:t>
            </w:r>
          </w:p>
        </w:tc>
        <w:tc>
          <w:tcPr>
            <w:tcW w:w="132" w:type="dxa"/>
            <w:tcBorders/>
            <w:shd w:fill="CCEEFF" w:val="clear"/>
            <w:vAlign w:val="bottom"/>
          </w:tcPr>
          <w:p>
            <w:pPr>
              <w:pStyle w:val="TableContents"/>
              <w:spacing w:before="0" w:after="283"/>
              <w:rPr/>
            </w:pPr>
            <w:r>
              <w:rPr/>
              <w:t>)</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9,726</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969</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Change in cash and equivalents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964" w:type="dxa"/>
            <w:tcBorders/>
            <w:shd w:fill="auto" w:val="clear"/>
            <w:vAlign w:val="bottom"/>
          </w:tcPr>
          <w:p>
            <w:pPr>
              <w:pStyle w:val="TableContents"/>
              <w:spacing w:before="0" w:after="283"/>
              <w:jc w:val="right"/>
              <w:rPr/>
            </w:pPr>
            <w:r>
              <w:rPr/>
              <w:t>(18,910</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17,320</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4,911</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Cash and equivalents at beginning of period</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44,764</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jc w:val="right"/>
              <w:rPr/>
            </w:pPr>
            <w:r>
              <w:rPr/>
              <w:t>27,444</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22,533</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Cash and equivalents at end of period</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25,854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44,764</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27,444</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4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087" w:type="dxa"/>
            <w:tcBorders/>
            <w:shd w:fill="auto" w:val="clear"/>
            <w:vAlign w:val="center"/>
          </w:tcPr>
          <w:p>
            <w:pPr>
              <w:pStyle w:val="TableContents"/>
              <w:spacing w:before="0" w:after="283"/>
              <w:rPr/>
            </w:pPr>
            <w:r>
              <w:rPr/>
              <w:t> </w:t>
            </w:r>
          </w:p>
        </w:tc>
        <w:tc>
          <w:tcPr>
            <w:tcW w:w="5118" w:type="dxa"/>
            <w:gridSpan w:val="12"/>
            <w:tcBorders/>
            <w:shd w:fill="auto" w:val="clear"/>
          </w:tcPr>
          <w:p>
            <w:pPr>
              <w:pStyle w:val="TableContents"/>
              <w:spacing w:before="0" w:after="283"/>
              <w:rPr>
                <w:sz w:val="4"/>
                <w:szCs w:val="4"/>
              </w:rPr>
            </w:pPr>
            <w:r>
              <w:rPr>
                <w:sz w:val="4"/>
                <w:szCs w:val="4"/>
              </w:rPr>
            </w:r>
          </w:p>
        </w:tc>
      </w:tr>
      <w:tr>
        <w:trPr/>
        <w:tc>
          <w:tcPr>
            <w:tcW w:w="5087" w:type="dxa"/>
            <w:tcBorders/>
            <w:shd w:fill="CCEEFF" w:val="clear"/>
            <w:vAlign w:val="bottom"/>
          </w:tcPr>
          <w:p>
            <w:pPr>
              <w:pStyle w:val="TableContents"/>
              <w:spacing w:before="0" w:after="0"/>
              <w:ind w:left="225" w:right="0" w:hanging="225"/>
              <w:rPr/>
            </w:pPr>
            <w:r>
              <w:rPr/>
              <w:t>Cash paid during the period for:</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06"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675" w:right="0" w:hanging="225"/>
              <w:rPr/>
            </w:pPr>
            <w:r>
              <w:rPr/>
              <w:t>Interest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913</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1,181</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150</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675" w:right="0" w:hanging="225"/>
              <w:rPr/>
            </w:pPr>
            <w:r>
              <w:rPr/>
              <w:t>Income taxes</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50,631</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32,231</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35,034</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225" w:right="0" w:hanging="225"/>
              <w:rPr/>
            </w:pPr>
            <w:r>
              <w:rPr/>
              <w:t>Non-cash Investing and Financing Activities:</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Pawn loans forfeited and transferred to inventory</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177,821</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155,690</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113,718</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Foreign currency translation adjustment</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1,755</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7,201</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21</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Cumulative effect of adopting a new accounting principle</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106</w:t>
            </w:r>
          </w:p>
        </w:tc>
        <w:tc>
          <w:tcPr>
            <w:tcW w:w="140" w:type="dxa"/>
            <w:tcBorders/>
            <w:shd w:fill="CCEEFF" w:val="clear"/>
            <w:vAlign w:val="bottom"/>
          </w:tcPr>
          <w:p>
            <w:pPr>
              <w:pStyle w:val="TableContents"/>
              <w:spacing w:before="0" w:after="283"/>
              <w:rPr/>
            </w:pPr>
            <w:r>
              <w:rPr/>
              <w:t> </w:t>
            </w:r>
          </w:p>
        </w:tc>
      </w:tr>
      <w:tr>
        <w:trPr/>
        <w:tc>
          <w:tcPr>
            <w:tcW w:w="5087" w:type="dxa"/>
            <w:tcBorders/>
            <w:shd w:fill="auto" w:val="clear"/>
            <w:vAlign w:val="bottom"/>
          </w:tcPr>
          <w:p>
            <w:pPr>
              <w:pStyle w:val="TableContents"/>
              <w:spacing w:before="0" w:after="0"/>
              <w:ind w:left="450" w:right="0" w:hanging="225"/>
              <w:rPr/>
            </w:pPr>
            <w:r>
              <w:rPr/>
              <w:t>Acquisition-related stock issuance</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(31</w:t>
            </w:r>
          </w:p>
        </w:tc>
        <w:tc>
          <w:tcPr>
            <w:tcW w:w="132" w:type="dxa"/>
            <w:tcBorders/>
            <w:shd w:fill="auto" w:val="clear"/>
            <w:vAlign w:val="bottom"/>
          </w:tcPr>
          <w:p>
            <w:pPr>
              <w:pStyle w:val="TableContents"/>
              <w:spacing w:before="0" w:after="283"/>
              <w:rPr/>
            </w:pPr>
            <w:r>
              <w:rPr/>
              <w:t>)</w:t>
            </w:r>
          </w:p>
        </w:tc>
        <w:tc>
          <w:tcPr>
            <w:tcW w:w="34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06" w:type="dxa"/>
            <w:tcBorders/>
            <w:shd w:fill="auto" w:val="clear"/>
            <w:vAlign w:val="bottom"/>
          </w:tcPr>
          <w:p>
            <w:pPr>
              <w:pStyle w:val="TableContents"/>
              <w:spacing w:before="0" w:after="283"/>
              <w:jc w:val="right"/>
              <w:rPr/>
            </w:pPr>
            <w:r>
              <w:rPr/>
              <w:t>71,197</w:t>
            </w:r>
          </w:p>
        </w:tc>
        <w:tc>
          <w:tcPr>
            <w:tcW w:w="13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64"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5087" w:type="dxa"/>
            <w:tcBorders/>
            <w:shd w:fill="CCEEFF" w:val="clear"/>
            <w:vAlign w:val="bottom"/>
          </w:tcPr>
          <w:p>
            <w:pPr>
              <w:pStyle w:val="TableContents"/>
              <w:spacing w:before="0" w:after="0"/>
              <w:ind w:left="450" w:right="0" w:hanging="225"/>
              <w:rPr/>
            </w:pPr>
            <w:r>
              <w:rPr/>
              <w:t>Issuance of common stock to 401(k) plan</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260</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178</w:t>
            </w:r>
          </w:p>
        </w:tc>
        <w:tc>
          <w:tcPr>
            <w:tcW w:w="13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64" w:type="dxa"/>
            <w:tcBorders/>
            <w:shd w:fill="CCEEFF" w:val="clear"/>
            <w:vAlign w:val="bottom"/>
          </w:tcPr>
          <w:p>
            <w:pPr>
              <w:pStyle w:val="TableContents"/>
              <w:spacing w:before="0" w:after="283"/>
              <w:jc w:val="right"/>
              <w:rPr/>
            </w:pPr>
            <w:r>
              <w:rPr/>
              <w:t>135</w:t>
            </w:r>
          </w:p>
        </w:tc>
        <w:tc>
          <w:tcPr>
            <w:tcW w:w="140"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mallCaps/>
          <w:sz w:val="17"/>
        </w:rPr>
        <w:t>EZCORP,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mallCaps/>
          <w:sz w:val="17"/>
        </w:rPr>
      </w:pPr>
      <w:bookmarkStart w:id="20" w:name="305"/>
      <w:bookmarkEnd w:id="20"/>
      <w:r>
        <w:rPr>
          <w:rFonts w:ascii="Times New Roman;Times;serif" w:hAnsi="Times New Roman;Times;serif"/>
          <w:b/>
          <w:smallCaps/>
          <w:sz w:val="17"/>
        </w:rPr>
        <w:t>Consolidated Statements of Stockholders Equity</w:t>
      </w:r>
    </w:p>
    <w:tbl>
      <w:tblPr>
        <w:tblW w:w="5000" w:type="pct"/>
        <w:jc w:val="center"/>
        <w:tblInd w:w="0" w:type="dxa"/>
        <w:tblCellMar>
          <w:top w:w="0" w:type="dxa"/>
          <w:left w:w="0" w:type="dxa"/>
          <w:bottom w:w="0" w:type="dxa"/>
          <w:right w:w="0" w:type="dxa"/>
        </w:tblCellMar>
      </w:tblPr>
      <w:tblGrid>
        <w:gridCol w:w="1285"/>
        <w:gridCol w:w="72"/>
        <w:gridCol w:w="67"/>
        <w:gridCol w:w="751"/>
        <w:gridCol w:w="67"/>
        <w:gridCol w:w="77"/>
        <w:gridCol w:w="158"/>
        <w:gridCol w:w="446"/>
        <w:gridCol w:w="62"/>
        <w:gridCol w:w="72"/>
        <w:gridCol w:w="154"/>
        <w:gridCol w:w="882"/>
        <w:gridCol w:w="97"/>
        <w:gridCol w:w="72"/>
        <w:gridCol w:w="206"/>
        <w:gridCol w:w="1185"/>
        <w:gridCol w:w="97"/>
        <w:gridCol w:w="72"/>
        <w:gridCol w:w="254"/>
        <w:gridCol w:w="618"/>
        <w:gridCol w:w="97"/>
        <w:gridCol w:w="72"/>
        <w:gridCol w:w="379"/>
        <w:gridCol w:w="1727"/>
        <w:gridCol w:w="96"/>
        <w:gridCol w:w="72"/>
        <w:gridCol w:w="142"/>
        <w:gridCol w:w="809"/>
        <w:gridCol w:w="117"/>
      </w:tblGrid>
      <w:tr>
        <w:trPr/>
        <w:tc>
          <w:tcPr>
            <w:tcW w:w="1285"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66" w:type="dxa"/>
            <w:gridSpan w:val="6"/>
            <w:tcBorders>
              <w:bottom w:val="single" w:sz="2" w:space="0" w:color="000000"/>
            </w:tcBorders>
            <w:shd w:fill="auto" w:val="clear"/>
            <w:tcMar>
              <w:bottom w:w="28" w:type="dxa"/>
            </w:tcMar>
            <w:vAlign w:val="bottom"/>
          </w:tcPr>
          <w:p>
            <w:pPr>
              <w:pStyle w:val="TableContents"/>
              <w:spacing w:before="0" w:after="283"/>
              <w:jc w:val="center"/>
              <w:rPr/>
            </w:pPr>
            <w:r>
              <w:rPr/>
              <w:t>Common Stock</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jc w:val="center"/>
              <w:rPr/>
            </w:pPr>
            <w:r>
              <w:rPr/>
              <w:t>Additional</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106" w:type="dxa"/>
            <w:gridSpan w:val="2"/>
            <w:tcBorders/>
            <w:shd w:fill="auto" w:val="clear"/>
            <w:vAlign w:val="bottom"/>
          </w:tcPr>
          <w:p>
            <w:pPr>
              <w:pStyle w:val="TableContents"/>
              <w:spacing w:before="0" w:after="283"/>
              <w:jc w:val="center"/>
              <w:rPr/>
            </w:pPr>
            <w:r>
              <w:rPr/>
              <w:t>Accumulated</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51"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4" w:type="dxa"/>
            <w:gridSpan w:val="2"/>
            <w:tcBorders/>
            <w:shd w:fill="auto" w:val="clear"/>
            <w:vAlign w:val="bottom"/>
          </w:tcPr>
          <w:p>
            <w:pPr>
              <w:pStyle w:val="TableContents"/>
              <w:spacing w:before="0" w:after="283"/>
              <w:jc w:val="center"/>
              <w:rPr/>
            </w:pPr>
            <w:r>
              <w:rPr/>
              <w:t>Par</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jc w:val="center"/>
              <w:rPr/>
            </w:pPr>
            <w:r>
              <w:rPr/>
              <w:t>Paid In</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jc w:val="center"/>
              <w:rPr/>
            </w:pPr>
            <w:r>
              <w:rPr/>
              <w:t>Retained</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spacing w:before="0" w:after="283"/>
              <w:jc w:val="center"/>
              <w:rPr/>
            </w:pPr>
            <w:r>
              <w:rPr/>
              <w:t>Treasury</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106" w:type="dxa"/>
            <w:gridSpan w:val="2"/>
            <w:tcBorders/>
            <w:shd w:fill="auto" w:val="clear"/>
            <w:vAlign w:val="bottom"/>
          </w:tcPr>
          <w:p>
            <w:pPr>
              <w:pStyle w:val="TableContents"/>
              <w:spacing w:before="0" w:after="283"/>
              <w:jc w:val="center"/>
              <w:rPr/>
            </w:pPr>
            <w:r>
              <w:rPr/>
              <w:t>Other Comprehensive</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51"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18"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4"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036" w:type="dxa"/>
            <w:gridSpan w:val="2"/>
            <w:tcBorders>
              <w:bottom w:val="single" w:sz="2" w:space="0" w:color="000000"/>
            </w:tcBorders>
            <w:shd w:fill="auto" w:val="clear"/>
            <w:tcMar>
              <w:bottom w:w="28" w:type="dxa"/>
            </w:tcMar>
            <w:vAlign w:val="bottom"/>
          </w:tcPr>
          <w:p>
            <w:pPr>
              <w:pStyle w:val="TableContents"/>
              <w:spacing w:before="0" w:after="283"/>
              <w:jc w:val="center"/>
              <w:rPr/>
            </w:pPr>
            <w:r>
              <w:rPr/>
              <w:t>Capital</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91" w:type="dxa"/>
            <w:gridSpan w:val="2"/>
            <w:tcBorders>
              <w:bottom w:val="single" w:sz="2" w:space="0" w:color="000000"/>
            </w:tcBorders>
            <w:shd w:fill="auto" w:val="clear"/>
            <w:tcMar>
              <w:bottom w:w="28" w:type="dxa"/>
            </w:tcMar>
            <w:vAlign w:val="bottom"/>
          </w:tcPr>
          <w:p>
            <w:pPr>
              <w:pStyle w:val="TableContents"/>
              <w:spacing w:before="0" w:after="283"/>
              <w:jc w:val="center"/>
              <w:rPr/>
            </w:pPr>
            <w:r>
              <w:rPr/>
              <w:t>Earnings</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872" w:type="dxa"/>
            <w:gridSpan w:val="2"/>
            <w:tcBorders>
              <w:bottom w:val="single" w:sz="2" w:space="0" w:color="000000"/>
            </w:tcBorders>
            <w:shd w:fill="auto" w:val="clear"/>
            <w:tcMar>
              <w:bottom w:w="28" w:type="dxa"/>
            </w:tcMar>
            <w:vAlign w:val="bottom"/>
          </w:tcPr>
          <w:p>
            <w:pPr>
              <w:pStyle w:val="TableContents"/>
              <w:spacing w:before="0" w:after="283"/>
              <w:jc w:val="center"/>
              <w:rPr/>
            </w:pPr>
            <w:r>
              <w:rPr/>
              <w:t>Stock</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106" w:type="dxa"/>
            <w:gridSpan w:val="2"/>
            <w:tcBorders>
              <w:bottom w:val="single" w:sz="2" w:space="0" w:color="000000"/>
            </w:tcBorders>
            <w:shd w:fill="auto" w:val="clear"/>
            <w:tcMar>
              <w:bottom w:w="28" w:type="dxa"/>
            </w:tcMar>
            <w:vAlign w:val="bottom"/>
          </w:tcPr>
          <w:p>
            <w:pPr>
              <w:pStyle w:val="TableContents"/>
              <w:spacing w:before="0" w:after="283"/>
              <w:jc w:val="center"/>
              <w:rPr/>
            </w:pPr>
            <w:r>
              <w:rPr/>
              <w:t>Income (Loss)</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jc w:val="center"/>
              <w:rPr>
                <w:i/>
              </w:rPr>
            </w:pPr>
            <w:r>
              <w:rPr>
                <w:i/>
              </w:rPr>
              <w:t>(In thousands)</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225" w:right="0" w:hanging="225"/>
              <w:rPr/>
            </w:pPr>
            <w:r>
              <w:rPr/>
              <w:t>Balances at Sept. 30, 2007</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41,333</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446" w:type="dxa"/>
            <w:tcBorders/>
            <w:shd w:fill="CCEEFF" w:val="clear"/>
            <w:vAlign w:val="bottom"/>
          </w:tcPr>
          <w:p>
            <w:pPr>
              <w:pStyle w:val="TableContents"/>
              <w:spacing w:before="0" w:after="283"/>
              <w:jc w:val="right"/>
              <w:rPr/>
            </w:pPr>
            <w:r>
              <w:rPr/>
              <w:t>413</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82" w:type="dxa"/>
            <w:tcBorders/>
            <w:shd w:fill="CCEEFF" w:val="clear"/>
            <w:vAlign w:val="bottom"/>
          </w:tcPr>
          <w:p>
            <w:pPr>
              <w:pStyle w:val="TableContents"/>
              <w:spacing w:before="0" w:after="283"/>
              <w:jc w:val="right"/>
              <w:rPr/>
            </w:pPr>
            <w:r>
              <w:rPr/>
              <w:t>131,098</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85" w:type="dxa"/>
            <w:tcBorders/>
            <w:shd w:fill="CCEEFF" w:val="clear"/>
            <w:vAlign w:val="bottom"/>
          </w:tcPr>
          <w:p>
            <w:pPr>
              <w:pStyle w:val="TableContents"/>
              <w:spacing w:before="0" w:after="283"/>
              <w:jc w:val="right"/>
              <w:rPr/>
            </w:pPr>
            <w:r>
              <w:rPr/>
              <w:t>81,847</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w:t>
            </w:r>
          </w:p>
        </w:tc>
        <w:tc>
          <w:tcPr>
            <w:tcW w:w="618" w:type="dxa"/>
            <w:tcBorders/>
            <w:shd w:fill="CCEEFF" w:val="clear"/>
            <w:vAlign w:val="bottom"/>
          </w:tcPr>
          <w:p>
            <w:pPr>
              <w:pStyle w:val="TableContents"/>
              <w:spacing w:before="0" w:after="283"/>
              <w:jc w:val="right"/>
              <w:rPr/>
            </w:pPr>
            <w:r>
              <w:rPr/>
              <w:t>(35</w:t>
            </w:r>
          </w:p>
        </w:tc>
        <w:tc>
          <w:tcPr>
            <w:tcW w:w="97" w:type="dxa"/>
            <w:tcBorders/>
            <w:shd w:fill="CCEEFF" w:val="clear"/>
            <w:vAlign w:val="bottom"/>
          </w:tcPr>
          <w:p>
            <w:pPr>
              <w:pStyle w:val="TableContents"/>
              <w:spacing w:before="0" w:after="283"/>
              <w:rPr/>
            </w:pPr>
            <w:r>
              <w:rPr/>
              <w:t>)</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w:t>
            </w:r>
          </w:p>
        </w:tc>
        <w:tc>
          <w:tcPr>
            <w:tcW w:w="1727" w:type="dxa"/>
            <w:tcBorders/>
            <w:shd w:fill="CCEEFF" w:val="clear"/>
            <w:vAlign w:val="bottom"/>
          </w:tcPr>
          <w:p>
            <w:pPr>
              <w:pStyle w:val="TableContents"/>
              <w:spacing w:before="0" w:after="283"/>
              <w:jc w:val="right"/>
              <w:rPr/>
            </w:pPr>
            <w:r>
              <w:rPr/>
              <w:t>2,602</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215,925</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225" w:right="0" w:hanging="225"/>
              <w:rPr/>
            </w:pPr>
            <w:r>
              <w:rPr/>
              <w:t> </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450" w:right="0" w:hanging="225"/>
              <w:rPr/>
            </w:pPr>
            <w:r>
              <w:rPr/>
              <w:t>Issuance of Common Stock to 401(k) plan</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12</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135</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135</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Stock compensation</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3,719</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3,719</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450" w:right="0" w:hanging="225"/>
              <w:rPr/>
            </w:pPr>
            <w:r>
              <w:rPr/>
              <w:t>Stock options and warrants exercised</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190</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391</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23</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417</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Excess tax benefit from stock compensation</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552</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552</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450" w:right="0" w:hanging="225"/>
              <w:rPr/>
            </w:pPr>
            <w:r>
              <w:rPr/>
              <w:t>Adoption of FIN48</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1185" w:type="dxa"/>
            <w:tcBorders/>
            <w:shd w:fill="auto" w:val="clear"/>
            <w:vAlign w:val="bottom"/>
          </w:tcPr>
          <w:p>
            <w:pPr>
              <w:pStyle w:val="TableContents"/>
              <w:spacing w:before="0" w:after="283"/>
              <w:jc w:val="right"/>
              <w:rPr/>
            </w:pPr>
            <w:r>
              <w:rPr/>
              <w:t>(106</w:t>
            </w:r>
          </w:p>
        </w:tc>
        <w:tc>
          <w:tcPr>
            <w:tcW w:w="97" w:type="dxa"/>
            <w:tcBorders/>
            <w:shd w:fill="auto" w:val="clear"/>
            <w:vAlign w:val="bottom"/>
          </w:tcPr>
          <w:p>
            <w:pPr>
              <w:pStyle w:val="TableContents"/>
              <w:spacing w:before="0" w:after="283"/>
              <w:rPr/>
            </w:pPr>
            <w:r>
              <w:rPr/>
              <w:t>)</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(106</w:t>
            </w:r>
          </w:p>
        </w:tc>
        <w:tc>
          <w:tcPr>
            <w:tcW w:w="117" w:type="dxa"/>
            <w:tcBorders/>
            <w:shd w:fill="auto" w:val="clear"/>
            <w:vAlign w:val="bottom"/>
          </w:tcPr>
          <w:p>
            <w:pPr>
              <w:pStyle w:val="TableContents"/>
              <w:spacing w:before="0" w:after="283"/>
              <w:rPr/>
            </w:pPr>
            <w:r>
              <w:rPr/>
              <w:t>)</w:t>
            </w:r>
          </w:p>
        </w:tc>
      </w:tr>
      <w:tr>
        <w:trPr/>
        <w:tc>
          <w:tcPr>
            <w:tcW w:w="1285" w:type="dxa"/>
            <w:tcBorders/>
            <w:shd w:fill="CCEEFF" w:val="clear"/>
            <w:vAlign w:val="bottom"/>
          </w:tcPr>
          <w:p>
            <w:pPr>
              <w:pStyle w:val="TableContents"/>
              <w:spacing w:before="0" w:after="0"/>
              <w:ind w:left="450" w:right="0" w:hanging="225"/>
              <w:rPr/>
            </w:pPr>
            <w:r>
              <w:rPr/>
              <w:t>Foreign currency translation adjustment</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 </w:t>
            </w:r>
          </w:p>
        </w:tc>
        <w:tc>
          <w:tcPr>
            <w:tcW w:w="1727" w:type="dxa"/>
            <w:tcBorders/>
            <w:shd w:fill="CCEEFF" w:val="clear"/>
            <w:vAlign w:val="bottom"/>
          </w:tcPr>
          <w:p>
            <w:pPr>
              <w:pStyle w:val="TableContents"/>
              <w:spacing w:before="0" w:after="283"/>
              <w:jc w:val="right"/>
              <w:rPr/>
            </w:pPr>
            <w:r>
              <w:rPr/>
              <w:t>(21</w:t>
            </w:r>
          </w:p>
        </w:tc>
        <w:tc>
          <w:tcPr>
            <w:tcW w:w="96" w:type="dxa"/>
            <w:tcBorders/>
            <w:shd w:fill="CCEEFF" w:val="clear"/>
            <w:vAlign w:val="bottom"/>
          </w:tcPr>
          <w:p>
            <w:pPr>
              <w:pStyle w:val="TableContents"/>
              <w:spacing w:before="0" w:after="283"/>
              <w:rPr/>
            </w:pPr>
            <w:r>
              <w:rPr/>
              <w:t>)</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(21</w:t>
            </w:r>
          </w:p>
        </w:tc>
        <w:tc>
          <w:tcPr>
            <w:tcW w:w="117" w:type="dxa"/>
            <w:tcBorders/>
            <w:shd w:fill="CCEEFF" w:val="clear"/>
            <w:vAlign w:val="bottom"/>
          </w:tcPr>
          <w:p>
            <w:pPr>
              <w:pStyle w:val="TableContents"/>
              <w:spacing w:before="0" w:after="283"/>
              <w:rPr/>
            </w:pPr>
            <w:r>
              <w:rPr/>
              <w:t>)</w:t>
            </w:r>
          </w:p>
        </w:tc>
      </w:tr>
      <w:tr>
        <w:trPr/>
        <w:tc>
          <w:tcPr>
            <w:tcW w:w="1285" w:type="dxa"/>
            <w:tcBorders/>
            <w:shd w:fill="auto" w:val="clear"/>
            <w:vAlign w:val="bottom"/>
          </w:tcPr>
          <w:p>
            <w:pPr>
              <w:pStyle w:val="TableContents"/>
              <w:spacing w:before="0" w:after="0"/>
              <w:ind w:left="450" w:right="0" w:hanging="225"/>
              <w:rPr/>
            </w:pPr>
            <w:r>
              <w:rPr/>
              <w:t>Net income</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52,429</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52,429</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center"/>
          </w:tcPr>
          <w:p>
            <w:pPr>
              <w:pStyle w:val="TableContents"/>
              <w:spacing w:before="0" w:after="0"/>
              <w:ind w:left="225" w:right="0" w:hanging="225"/>
              <w:rPr/>
            </w:pPr>
            <w:r>
              <w:rPr/>
              <w:t> </w:t>
            </w:r>
          </w:p>
        </w:tc>
        <w:tc>
          <w:tcPr>
            <w:tcW w:w="72"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51"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18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618"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1727"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Total comprehensive income</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52,408</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center"/>
          </w:tcPr>
          <w:p>
            <w:pPr>
              <w:pStyle w:val="TableContents"/>
              <w:spacing w:before="0" w:after="0"/>
              <w:ind w:left="225" w:right="0" w:hanging="225"/>
              <w:rPr/>
            </w:pPr>
            <w:r>
              <w:rPr/>
              <w:t> </w:t>
            </w:r>
          </w:p>
        </w:tc>
        <w:tc>
          <w:tcPr>
            <w:tcW w:w="72" w:type="dxa"/>
            <w:tcBorders/>
            <w:shd w:fill="auto" w:val="clear"/>
            <w:vAlign w:val="center"/>
          </w:tcPr>
          <w:p>
            <w:pPr>
              <w:pStyle w:val="TableContents"/>
              <w:spacing w:before="0" w:after="283"/>
              <w:rPr/>
            </w:pPr>
            <w:r>
              <w:rPr/>
              <w:t> </w:t>
            </w:r>
          </w:p>
        </w:tc>
        <w:tc>
          <w:tcPr>
            <w:tcW w:w="8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1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285" w:type="dxa"/>
            <w:tcBorders/>
            <w:shd w:fill="auto" w:val="clear"/>
            <w:vAlign w:val="bottom"/>
          </w:tcPr>
          <w:p>
            <w:pPr>
              <w:pStyle w:val="TableContents"/>
              <w:spacing w:before="0" w:after="0"/>
              <w:ind w:left="225" w:right="0" w:hanging="225"/>
              <w:rPr/>
            </w:pPr>
            <w:r>
              <w:rPr/>
              <w:t>Balances at September 30, 2008</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41,535</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416</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135,895</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134,170</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left"/>
              <w:rPr/>
            </w:pPr>
            <w:r>
              <w:rPr/>
              <w:t> </w:t>
            </w:r>
          </w:p>
        </w:tc>
        <w:tc>
          <w:tcPr>
            <w:tcW w:w="618" w:type="dxa"/>
            <w:tcBorders/>
            <w:shd w:fill="auto" w:val="clear"/>
            <w:vAlign w:val="bottom"/>
          </w:tcPr>
          <w:p>
            <w:pPr>
              <w:pStyle w:val="TableContents"/>
              <w:spacing w:before="0" w:after="283"/>
              <w:jc w:val="right"/>
              <w:rPr/>
            </w:pPr>
            <w:r>
              <w:rPr/>
              <w:t>(12</w:t>
            </w:r>
          </w:p>
        </w:tc>
        <w:tc>
          <w:tcPr>
            <w:tcW w:w="97" w:type="dxa"/>
            <w:tcBorders/>
            <w:shd w:fill="auto" w:val="clear"/>
            <w:vAlign w:val="bottom"/>
          </w:tcPr>
          <w:p>
            <w:pPr>
              <w:pStyle w:val="TableContents"/>
              <w:spacing w:before="0" w:after="283"/>
              <w:rPr/>
            </w:pPr>
            <w:r>
              <w:rPr/>
              <w:t>)</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2,581</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273,050</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225" w:right="0" w:hanging="225"/>
              <w:rPr/>
            </w:pPr>
            <w:r>
              <w:rPr/>
              <w:t> </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Issuance of Common Stock to 401(k) plan</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17</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178</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178</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450" w:right="0" w:hanging="225"/>
              <w:rPr/>
            </w:pPr>
            <w:r>
              <w:rPr/>
              <w:t>Stock compensation</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3,701</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3,701</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Stock options and warrants exercised</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1,517</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16</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4,915</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12</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4,943</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450" w:right="0" w:hanging="225"/>
              <w:rPr/>
            </w:pPr>
            <w:r>
              <w:rPr/>
              <w:t>Issuance of Common Stock due to acquisitions</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5,175</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70,702</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70,753</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Release of Restricted Stock</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459</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4</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283"/>
              <w:jc w:val="right"/>
              <w:rPr/>
            </w:pPr>
            <w:r>
              <w:rPr/>
              <w:t>(4</w:t>
            </w:r>
          </w:p>
        </w:tc>
        <w:tc>
          <w:tcPr>
            <w:tcW w:w="97" w:type="dxa"/>
            <w:tcBorders/>
            <w:shd w:fill="CCEEFF" w:val="clear"/>
            <w:vAlign w:val="bottom"/>
          </w:tcPr>
          <w:p>
            <w:pPr>
              <w:pStyle w:val="TableContents"/>
              <w:spacing w:before="0" w:after="283"/>
              <w:rPr/>
            </w:pPr>
            <w:r>
              <w:rPr/>
              <w:t>)</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450" w:right="0" w:hanging="225"/>
              <w:rPr/>
            </w:pPr>
            <w:r>
              <w:rPr/>
              <w:t>Excess tax benefit from stock compensation</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1,789</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1,789</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Foreign currency translation adjustment</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 </w:t>
            </w:r>
          </w:p>
        </w:tc>
        <w:tc>
          <w:tcPr>
            <w:tcW w:w="1727" w:type="dxa"/>
            <w:tcBorders/>
            <w:shd w:fill="CCEEFF" w:val="clear"/>
            <w:vAlign w:val="bottom"/>
          </w:tcPr>
          <w:p>
            <w:pPr>
              <w:pStyle w:val="TableContents"/>
              <w:spacing w:before="0" w:after="283"/>
              <w:jc w:val="right"/>
              <w:rPr/>
            </w:pPr>
            <w:r>
              <w:rPr/>
              <w:t>(7,201</w:t>
            </w:r>
          </w:p>
        </w:tc>
        <w:tc>
          <w:tcPr>
            <w:tcW w:w="96" w:type="dxa"/>
            <w:tcBorders/>
            <w:shd w:fill="CCEEFF" w:val="clear"/>
            <w:vAlign w:val="bottom"/>
          </w:tcPr>
          <w:p>
            <w:pPr>
              <w:pStyle w:val="TableContents"/>
              <w:spacing w:before="0" w:after="283"/>
              <w:rPr/>
            </w:pPr>
            <w:r>
              <w:rPr/>
              <w:t>)</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(7,201</w:t>
            </w:r>
          </w:p>
        </w:tc>
        <w:tc>
          <w:tcPr>
            <w:tcW w:w="117" w:type="dxa"/>
            <w:tcBorders/>
            <w:shd w:fill="CCEEFF" w:val="clear"/>
            <w:vAlign w:val="bottom"/>
          </w:tcPr>
          <w:p>
            <w:pPr>
              <w:pStyle w:val="TableContents"/>
              <w:spacing w:before="0" w:after="283"/>
              <w:rPr/>
            </w:pPr>
            <w:r>
              <w:rPr/>
              <w:t>)</w:t>
            </w:r>
          </w:p>
        </w:tc>
      </w:tr>
      <w:tr>
        <w:trPr/>
        <w:tc>
          <w:tcPr>
            <w:tcW w:w="1285" w:type="dxa"/>
            <w:tcBorders/>
            <w:shd w:fill="auto" w:val="clear"/>
            <w:vAlign w:val="bottom"/>
          </w:tcPr>
          <w:p>
            <w:pPr>
              <w:pStyle w:val="TableContents"/>
              <w:spacing w:before="0" w:after="0"/>
              <w:ind w:left="450" w:right="0" w:hanging="225"/>
              <w:rPr/>
            </w:pPr>
            <w:r>
              <w:rPr/>
              <w:t>Net income</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68,472</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68,472</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center"/>
          </w:tcPr>
          <w:p>
            <w:pPr>
              <w:pStyle w:val="TableContents"/>
              <w:spacing w:before="0" w:after="0"/>
              <w:ind w:left="225" w:right="0" w:hanging="225"/>
              <w:rPr/>
            </w:pPr>
            <w:r>
              <w:rPr/>
              <w:t> </w:t>
            </w:r>
          </w:p>
        </w:tc>
        <w:tc>
          <w:tcPr>
            <w:tcW w:w="72"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51"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18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618"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1727"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Total comprehensive income</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61,271</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center"/>
          </w:tcPr>
          <w:p>
            <w:pPr>
              <w:pStyle w:val="TableContents"/>
              <w:spacing w:before="0" w:after="0"/>
              <w:ind w:left="225" w:right="0" w:hanging="225"/>
              <w:rPr/>
            </w:pPr>
            <w:r>
              <w:rPr/>
              <w:t> </w:t>
            </w:r>
          </w:p>
        </w:tc>
        <w:tc>
          <w:tcPr>
            <w:tcW w:w="72" w:type="dxa"/>
            <w:tcBorders/>
            <w:shd w:fill="auto" w:val="clear"/>
            <w:vAlign w:val="center"/>
          </w:tcPr>
          <w:p>
            <w:pPr>
              <w:pStyle w:val="TableContents"/>
              <w:spacing w:before="0" w:after="283"/>
              <w:rPr/>
            </w:pPr>
            <w:r>
              <w:rPr/>
              <w:t> </w:t>
            </w:r>
          </w:p>
        </w:tc>
        <w:tc>
          <w:tcPr>
            <w:tcW w:w="8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1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285" w:type="dxa"/>
            <w:tcBorders/>
            <w:shd w:fill="auto" w:val="clear"/>
            <w:vAlign w:val="bottom"/>
          </w:tcPr>
          <w:p>
            <w:pPr>
              <w:pStyle w:val="TableContents"/>
              <w:spacing w:before="0" w:after="0"/>
              <w:ind w:left="225" w:right="0" w:hanging="225"/>
              <w:rPr/>
            </w:pPr>
            <w:r>
              <w:rPr/>
              <w:t>Balances at September 30, 2009</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48,703</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487</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217,176</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202,642</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jc w:val="left"/>
              <w:rPr/>
            </w:pPr>
            <w:r>
              <w:rPr/>
              <w:t> </w:t>
            </w:r>
          </w:p>
        </w:tc>
        <w:tc>
          <w:tcPr>
            <w:tcW w:w="1727" w:type="dxa"/>
            <w:tcBorders/>
            <w:shd w:fill="auto" w:val="clear"/>
            <w:vAlign w:val="bottom"/>
          </w:tcPr>
          <w:p>
            <w:pPr>
              <w:pStyle w:val="TableContents"/>
              <w:spacing w:before="0" w:after="283"/>
              <w:jc w:val="right"/>
              <w:rPr/>
            </w:pPr>
            <w:r>
              <w:rPr/>
              <w:t>(4,620</w:t>
            </w:r>
          </w:p>
        </w:tc>
        <w:tc>
          <w:tcPr>
            <w:tcW w:w="96" w:type="dxa"/>
            <w:tcBorders/>
            <w:shd w:fill="auto" w:val="clear"/>
            <w:vAlign w:val="bottom"/>
          </w:tcPr>
          <w:p>
            <w:pPr>
              <w:pStyle w:val="TableContents"/>
              <w:spacing w:before="0" w:after="283"/>
              <w:rPr/>
            </w:pPr>
            <w:r>
              <w:rPr/>
              <w:t>)</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415,685</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225" w:right="0" w:hanging="225"/>
              <w:rPr/>
            </w:pPr>
            <w:r>
              <w:rPr/>
              <w:t> </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Issuance of Common Stock to 401(k) plan</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13</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260</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260</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450" w:right="0" w:hanging="225"/>
              <w:rPr/>
            </w:pPr>
            <w:r>
              <w:rPr/>
              <w:t>Stock compensation</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4,512</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4,512</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Stock options exercised</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494</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6</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1,596</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1,602</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bottom"/>
          </w:tcPr>
          <w:p>
            <w:pPr>
              <w:pStyle w:val="TableContents"/>
              <w:spacing w:before="0" w:after="0"/>
              <w:ind w:left="450" w:right="0" w:hanging="225"/>
              <w:rPr/>
            </w:pPr>
            <w:r>
              <w:rPr/>
              <w:t>Issuance of Common Stock due to acquisitions</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82" w:type="dxa"/>
            <w:tcBorders/>
            <w:shd w:fill="auto" w:val="clear"/>
            <w:vAlign w:val="bottom"/>
          </w:tcPr>
          <w:p>
            <w:pPr>
              <w:pStyle w:val="TableContents"/>
              <w:spacing w:before="0" w:after="283"/>
              <w:jc w:val="right"/>
              <w:rPr/>
            </w:pPr>
            <w:r>
              <w:rPr/>
              <w:t>(31</w:t>
            </w:r>
          </w:p>
        </w:tc>
        <w:tc>
          <w:tcPr>
            <w:tcW w:w="97" w:type="dxa"/>
            <w:tcBorders/>
            <w:shd w:fill="auto" w:val="clear"/>
            <w:vAlign w:val="bottom"/>
          </w:tcPr>
          <w:p>
            <w:pPr>
              <w:pStyle w:val="TableContents"/>
              <w:spacing w:before="0" w:after="283"/>
              <w:rPr/>
            </w:pPr>
            <w:r>
              <w:rPr/>
              <w:t>)</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(31</w:t>
            </w:r>
          </w:p>
        </w:tc>
        <w:tc>
          <w:tcPr>
            <w:tcW w:w="117" w:type="dxa"/>
            <w:tcBorders/>
            <w:shd w:fill="auto" w:val="clear"/>
            <w:vAlign w:val="bottom"/>
          </w:tcPr>
          <w:p>
            <w:pPr>
              <w:pStyle w:val="TableContents"/>
              <w:spacing w:before="0" w:after="283"/>
              <w:rPr/>
            </w:pPr>
            <w:r>
              <w:rPr/>
              <w:t>)</w:t>
            </w:r>
          </w:p>
        </w:tc>
      </w:tr>
      <w:tr>
        <w:trPr/>
        <w:tc>
          <w:tcPr>
            <w:tcW w:w="1285" w:type="dxa"/>
            <w:tcBorders/>
            <w:shd w:fill="CCEEFF" w:val="clear"/>
            <w:vAlign w:val="bottom"/>
          </w:tcPr>
          <w:p>
            <w:pPr>
              <w:pStyle w:val="TableContents"/>
              <w:spacing w:before="0" w:after="0"/>
              <w:ind w:left="450" w:right="0" w:hanging="225"/>
              <w:rPr/>
            </w:pPr>
            <w:r>
              <w:rPr/>
              <w:t>Release of Restricted Stock</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16</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82" w:type="dxa"/>
            <w:tcBorders/>
            <w:shd w:fill="CCEEFF" w:val="clear"/>
            <w:vAlign w:val="bottom"/>
          </w:tcPr>
          <w:p>
            <w:pPr>
              <w:pStyle w:val="TableContents"/>
              <w:spacing w:before="0" w:after="283"/>
              <w:jc w:val="right"/>
              <w:rPr/>
            </w:pPr>
            <w:r>
              <w:rPr/>
              <w:t>(23</w:t>
            </w:r>
          </w:p>
        </w:tc>
        <w:tc>
          <w:tcPr>
            <w:tcW w:w="97" w:type="dxa"/>
            <w:tcBorders/>
            <w:shd w:fill="CCEEFF" w:val="clear"/>
            <w:vAlign w:val="bottom"/>
          </w:tcPr>
          <w:p>
            <w:pPr>
              <w:pStyle w:val="TableContents"/>
              <w:spacing w:before="0" w:after="283"/>
              <w:rPr/>
            </w:pPr>
            <w:r>
              <w:rPr/>
              <w:t>)</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(23</w:t>
            </w:r>
          </w:p>
        </w:tc>
        <w:tc>
          <w:tcPr>
            <w:tcW w:w="117" w:type="dxa"/>
            <w:tcBorders/>
            <w:shd w:fill="CCEEFF" w:val="clear"/>
            <w:vAlign w:val="bottom"/>
          </w:tcPr>
          <w:p>
            <w:pPr>
              <w:pStyle w:val="TableContents"/>
              <w:spacing w:before="0" w:after="283"/>
              <w:rPr/>
            </w:pPr>
            <w:r>
              <w:rPr/>
              <w:t>)</w:t>
            </w:r>
          </w:p>
        </w:tc>
      </w:tr>
      <w:tr>
        <w:trPr/>
        <w:tc>
          <w:tcPr>
            <w:tcW w:w="1285" w:type="dxa"/>
            <w:tcBorders/>
            <w:shd w:fill="auto" w:val="clear"/>
            <w:vAlign w:val="bottom"/>
          </w:tcPr>
          <w:p>
            <w:pPr>
              <w:pStyle w:val="TableContents"/>
              <w:spacing w:before="0" w:after="0"/>
              <w:ind w:left="450" w:right="0" w:hanging="225"/>
              <w:rPr/>
            </w:pPr>
            <w:r>
              <w:rPr/>
              <w:t>Excess tax benefit from stock compensation</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1,884</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1,884</w:t>
            </w:r>
          </w:p>
        </w:tc>
        <w:tc>
          <w:tcPr>
            <w:tcW w:w="117" w:type="dxa"/>
            <w:tcBorders/>
            <w:shd w:fill="auto" w:val="clear"/>
            <w:vAlign w:val="bottom"/>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Foreign currency translation adjustment</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jc w:val="left"/>
              <w:rPr/>
            </w:pPr>
            <w:r>
              <w:rPr/>
              <w:t> </w:t>
            </w:r>
          </w:p>
        </w:tc>
        <w:tc>
          <w:tcPr>
            <w:tcW w:w="1727" w:type="dxa"/>
            <w:tcBorders/>
            <w:shd w:fill="CCEEFF" w:val="clear"/>
            <w:vAlign w:val="bottom"/>
          </w:tcPr>
          <w:p>
            <w:pPr>
              <w:pStyle w:val="TableContents"/>
              <w:spacing w:before="0" w:after="283"/>
              <w:jc w:val="right"/>
              <w:rPr/>
            </w:pPr>
            <w:r>
              <w:rPr/>
              <w:t>(1,755</w:t>
            </w:r>
          </w:p>
        </w:tc>
        <w:tc>
          <w:tcPr>
            <w:tcW w:w="96" w:type="dxa"/>
            <w:tcBorders/>
            <w:shd w:fill="CCEEFF" w:val="clear"/>
            <w:vAlign w:val="bottom"/>
          </w:tcPr>
          <w:p>
            <w:pPr>
              <w:pStyle w:val="TableContents"/>
              <w:spacing w:before="0" w:after="283"/>
              <w:rPr/>
            </w:pPr>
            <w:r>
              <w:rPr/>
              <w:t>)</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(1,755</w:t>
            </w:r>
          </w:p>
        </w:tc>
        <w:tc>
          <w:tcPr>
            <w:tcW w:w="117" w:type="dxa"/>
            <w:tcBorders/>
            <w:shd w:fill="CCEEFF" w:val="clear"/>
            <w:vAlign w:val="bottom"/>
          </w:tcPr>
          <w:p>
            <w:pPr>
              <w:pStyle w:val="TableContents"/>
              <w:spacing w:before="0" w:after="283"/>
              <w:rPr/>
            </w:pPr>
            <w:r>
              <w:rPr/>
              <w:t>)</w:t>
            </w:r>
          </w:p>
        </w:tc>
      </w:tr>
      <w:tr>
        <w:trPr/>
        <w:tc>
          <w:tcPr>
            <w:tcW w:w="1285" w:type="dxa"/>
            <w:tcBorders/>
            <w:shd w:fill="auto" w:val="clear"/>
            <w:vAlign w:val="bottom"/>
          </w:tcPr>
          <w:p>
            <w:pPr>
              <w:pStyle w:val="TableContents"/>
              <w:spacing w:before="0" w:after="0"/>
              <w:ind w:left="450" w:right="0" w:hanging="225"/>
              <w:rPr/>
            </w:pPr>
            <w:r>
              <w:rPr/>
              <w:t>Net income</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97,294</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97,294</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center"/>
          </w:tcPr>
          <w:p>
            <w:pPr>
              <w:pStyle w:val="TableContents"/>
              <w:spacing w:before="0" w:after="0"/>
              <w:ind w:left="225" w:right="0" w:hanging="225"/>
              <w:rPr/>
            </w:pPr>
            <w:r>
              <w:rPr/>
              <w:t> </w:t>
            </w:r>
          </w:p>
        </w:tc>
        <w:tc>
          <w:tcPr>
            <w:tcW w:w="72"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51"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18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618"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1727"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285" w:type="dxa"/>
            <w:tcBorders/>
            <w:shd w:fill="CCEEFF" w:val="clear"/>
            <w:vAlign w:val="bottom"/>
          </w:tcPr>
          <w:p>
            <w:pPr>
              <w:pStyle w:val="TableContents"/>
              <w:spacing w:before="0" w:after="0"/>
              <w:ind w:left="450" w:right="0" w:hanging="225"/>
              <w:rPr/>
            </w:pPr>
            <w:r>
              <w:rPr/>
              <w:t>Total comprehensive income</w:t>
            </w:r>
          </w:p>
        </w:tc>
        <w:tc>
          <w:tcPr>
            <w:tcW w:w="7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pPr>
            <w:r>
              <w:rPr/>
              <w:t></w:t>
            </w:r>
          </w:p>
        </w:tc>
        <w:tc>
          <w:tcPr>
            <w:tcW w:w="97"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95,539</w:t>
            </w:r>
          </w:p>
        </w:tc>
        <w:tc>
          <w:tcPr>
            <w:tcW w:w="117" w:type="dxa"/>
            <w:tcBorders/>
            <w:shd w:fill="CCEEFF" w:val="clear"/>
            <w:vAlign w:val="bottom"/>
          </w:tcPr>
          <w:p>
            <w:pPr>
              <w:pStyle w:val="TableContents"/>
              <w:spacing w:before="0" w:after="283"/>
              <w:rPr/>
            </w:pPr>
            <w:r>
              <w:rPr/>
              <w:t> </w:t>
            </w:r>
          </w:p>
        </w:tc>
      </w:tr>
      <w:tr>
        <w:trPr/>
        <w:tc>
          <w:tcPr>
            <w:tcW w:w="1285" w:type="dxa"/>
            <w:tcBorders/>
            <w:shd w:fill="auto" w:val="clear"/>
            <w:vAlign w:val="center"/>
          </w:tcPr>
          <w:p>
            <w:pPr>
              <w:pStyle w:val="TableContents"/>
              <w:spacing w:before="0" w:after="0"/>
              <w:ind w:left="225" w:right="0" w:hanging="225"/>
              <w:rPr/>
            </w:pPr>
            <w:r>
              <w:rPr/>
              <w:t> </w:t>
            </w:r>
          </w:p>
        </w:tc>
        <w:tc>
          <w:tcPr>
            <w:tcW w:w="72" w:type="dxa"/>
            <w:tcBorders/>
            <w:shd w:fill="auto" w:val="clear"/>
            <w:vAlign w:val="center"/>
          </w:tcPr>
          <w:p>
            <w:pPr>
              <w:pStyle w:val="TableContents"/>
              <w:spacing w:before="0" w:after="283"/>
              <w:rPr/>
            </w:pPr>
            <w:r>
              <w:rPr/>
              <w:t> </w:t>
            </w:r>
          </w:p>
        </w:tc>
        <w:tc>
          <w:tcPr>
            <w:tcW w:w="8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1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1285" w:type="dxa"/>
            <w:tcBorders/>
            <w:shd w:fill="auto" w:val="clear"/>
            <w:vAlign w:val="bottom"/>
          </w:tcPr>
          <w:p>
            <w:pPr>
              <w:pStyle w:val="TableContents"/>
              <w:spacing w:before="0" w:after="0"/>
              <w:ind w:left="225" w:right="0" w:hanging="225"/>
              <w:rPr/>
            </w:pPr>
            <w:r>
              <w:rPr/>
              <w:t>Balances at September 30, 2010</w:t>
            </w:r>
          </w:p>
        </w:tc>
        <w:tc>
          <w:tcPr>
            <w:tcW w:w="7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49,226</w:t>
            </w:r>
          </w:p>
        </w:tc>
        <w:tc>
          <w:tcPr>
            <w:tcW w:w="6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446" w:type="dxa"/>
            <w:tcBorders/>
            <w:shd w:fill="auto" w:val="clear"/>
            <w:vAlign w:val="bottom"/>
          </w:tcPr>
          <w:p>
            <w:pPr>
              <w:pStyle w:val="TableContents"/>
              <w:spacing w:before="0" w:after="283"/>
              <w:jc w:val="right"/>
              <w:rPr/>
            </w:pPr>
            <w:r>
              <w:rPr/>
              <w:t>493</w:t>
            </w:r>
          </w:p>
        </w:tc>
        <w:tc>
          <w:tcPr>
            <w:tcW w:w="6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82" w:type="dxa"/>
            <w:tcBorders/>
            <w:shd w:fill="auto" w:val="clear"/>
            <w:vAlign w:val="bottom"/>
          </w:tcPr>
          <w:p>
            <w:pPr>
              <w:pStyle w:val="TableContents"/>
              <w:spacing w:before="0" w:after="283"/>
              <w:jc w:val="right"/>
              <w:rPr/>
            </w:pPr>
            <w:r>
              <w:rPr/>
              <w:t>225,374</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299,936</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left"/>
              <w:rPr/>
            </w:pPr>
            <w:r>
              <w:rPr/>
              <w:t>$</w:t>
            </w:r>
          </w:p>
        </w:tc>
        <w:tc>
          <w:tcPr>
            <w:tcW w:w="618" w:type="dxa"/>
            <w:tcBorders/>
            <w:shd w:fill="auto" w:val="clear"/>
            <w:vAlign w:val="bottom"/>
          </w:tcPr>
          <w:p>
            <w:pPr>
              <w:pStyle w:val="TableContents"/>
              <w:spacing w:before="0" w:after="283"/>
              <w:jc w:val="right"/>
              <w:rPr/>
            </w:pPr>
            <w:r>
              <w:rPr/>
              <w:t></w:t>
            </w:r>
          </w:p>
        </w:tc>
        <w:tc>
          <w:tcPr>
            <w:tcW w:w="97"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jc w:val="left"/>
              <w:rPr/>
            </w:pPr>
            <w:r>
              <w:rPr/>
              <w:t>$</w:t>
            </w:r>
          </w:p>
        </w:tc>
        <w:tc>
          <w:tcPr>
            <w:tcW w:w="1727" w:type="dxa"/>
            <w:tcBorders/>
            <w:shd w:fill="auto" w:val="clear"/>
            <w:vAlign w:val="bottom"/>
          </w:tcPr>
          <w:p>
            <w:pPr>
              <w:pStyle w:val="TableContents"/>
              <w:spacing w:before="0" w:after="283"/>
              <w:jc w:val="right"/>
              <w:rPr/>
            </w:pPr>
            <w:r>
              <w:rPr/>
              <w:t>(6,375</w:t>
            </w:r>
          </w:p>
        </w:tc>
        <w:tc>
          <w:tcPr>
            <w:tcW w:w="96" w:type="dxa"/>
            <w:tcBorders/>
            <w:shd w:fill="auto" w:val="clear"/>
            <w:vAlign w:val="bottom"/>
          </w:tcPr>
          <w:p>
            <w:pPr>
              <w:pStyle w:val="TableContents"/>
              <w:spacing w:before="0" w:after="283"/>
              <w:rPr/>
            </w:pPr>
            <w:r>
              <w:rPr/>
              <w:t>)</w:t>
            </w:r>
          </w:p>
        </w:tc>
        <w:tc>
          <w:tcPr>
            <w:tcW w:w="7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519,428</w:t>
            </w:r>
          </w:p>
        </w:tc>
        <w:tc>
          <w:tcPr>
            <w:tcW w:w="117" w:type="dxa"/>
            <w:tcBorders/>
            <w:shd w:fill="auto" w:val="clear"/>
            <w:vAlign w:val="bottom"/>
          </w:tcPr>
          <w:p>
            <w:pPr>
              <w:pStyle w:val="TableContents"/>
              <w:spacing w:before="0" w:after="283"/>
              <w:rPr/>
            </w:pPr>
            <w:r>
              <w:rPr/>
              <w:t> </w:t>
            </w:r>
          </w:p>
        </w:tc>
      </w:tr>
      <w:tr>
        <w:trPr/>
        <w:tc>
          <w:tcPr>
            <w:tcW w:w="1285" w:type="dxa"/>
            <w:tcBorders/>
            <w:shd w:fill="auto" w:val="clear"/>
            <w:vAlign w:val="center"/>
          </w:tcPr>
          <w:p>
            <w:pPr>
              <w:pStyle w:val="TableContents"/>
              <w:spacing w:before="0" w:after="0"/>
              <w:ind w:left="225" w:right="0" w:hanging="225"/>
              <w:rPr/>
            </w:pPr>
            <w:r>
              <w:rPr/>
              <w:t> </w:t>
            </w:r>
          </w:p>
        </w:tc>
        <w:tc>
          <w:tcPr>
            <w:tcW w:w="72" w:type="dxa"/>
            <w:tcBorders/>
            <w:shd w:fill="auto" w:val="clear"/>
            <w:vAlign w:val="center"/>
          </w:tcPr>
          <w:p>
            <w:pPr>
              <w:pStyle w:val="TableContents"/>
              <w:spacing w:before="0" w:after="283"/>
              <w:rPr/>
            </w:pPr>
            <w:r>
              <w:rPr/>
              <w:t> </w:t>
            </w:r>
          </w:p>
        </w:tc>
        <w:tc>
          <w:tcPr>
            <w:tcW w:w="8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3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1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i/>
          <w:sz w:val="17"/>
        </w:rPr>
        <w:t>See accompanying notes to consolidated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mallCaps/>
          <w:sz w:val="17"/>
        </w:rPr>
        <w:t>EZCORP,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mallCaps/>
          <w:sz w:val="17"/>
        </w:rPr>
      </w:pPr>
      <w:bookmarkStart w:id="21" w:name="306"/>
      <w:bookmarkEnd w:id="21"/>
      <w:r>
        <w:rPr>
          <w:rFonts w:ascii="Times New Roman;Times;serif" w:hAnsi="Times New Roman;Times;serif"/>
          <w:b/>
          <w:smallCaps/>
          <w:sz w:val="17"/>
        </w:rPr>
        <w:t>Notes to Consolidated Financial Statements</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A: Organization and Summary of Significant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Organization</w:t>
      </w:r>
      <w:r>
        <w:rPr>
          <w:rFonts w:ascii="Times New Roman;Times;serif" w:hAnsi="Times New Roman;Times;serif"/>
          <w:sz w:val="17"/>
        </w:rPr>
        <w:t xml:space="preserve">: We are a leading provider of specialty consumer financial services. We provide collateralized, non-recourse loans, commonly known as pawn loans, and a variety of short-term consumer loans including payday loans, installment loans and auto title loans, or fee-based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2010, we operated a total of 1,006 locations, consisting of 390 U.S. pawn stores (operating as EZPAWN or Value Pawn), 115 pawn stores in Mexico (operating as Empeño Fácil or Empeñe su Oro), 450 U.S. short-term consumer loan stores (operating primarily as EZMONEY) and 51 short-term consumer loan stores in Canada (operating as CASHMAX). We also own almost 30% of Albemarle &amp; Bond Holdings PLC, one of the U.K.s largest pawnbroking businesses with over 130 stores, and almost 33% of Cash Converters International Limited, which franchises and operates a worldwide network of over 500 financial services and second-hand retail stores.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Consolidation: </w:t>
      </w:r>
      <w:r>
        <w:rPr>
          <w:rFonts w:ascii="Times New Roman;Times;serif" w:hAnsi="Times New Roman;Times;serif"/>
          <w:sz w:val="17"/>
        </w:rPr>
        <w:t xml:space="preserve">The consolidated financial statements include the accounts of EZCORP, Inc. and its wholly owned subsidiaries. All significant inter-company accounts and transactions have been eliminated in consolidation. We account for our investments in Albemarle &amp; Bond Holdings, PLC and Cash Converters International Limited using the equity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Pawn Loan and Sales Revenue Recognition: </w:t>
      </w:r>
      <w:r>
        <w:rPr>
          <w:rFonts w:ascii="Times New Roman;Times;serif" w:hAnsi="Times New Roman;Times;serif"/>
          <w:sz w:val="17"/>
        </w:rPr>
        <w:t xml:space="preserve">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upon the sale of inventory is excluded from the amount recognized as sales and instead recorded as a liability in Accounts payable and other accrued expenses on our balance sheets until remitted to the appropriate governmental authorities.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Fee Revenue Recognition: </w:t>
      </w:r>
      <w:r>
        <w:rPr>
          <w:rFonts w:ascii="Times New Roman;Times;serif" w:hAnsi="Times New Roman;Times;serif"/>
          <w:sz w:val="17"/>
        </w:rPr>
        <w:t xml:space="preserve">We earn credit service fees when we assist customers in obtaining signature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Signature loan credit service fee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Credit Service Bad Debt: </w:t>
      </w:r>
      <w:r>
        <w:rPr>
          <w:rFonts w:ascii="Times New Roman;Times;serif" w:hAnsi="Times New Roman;Times;serif"/>
          <w:sz w:val="17"/>
        </w:rPr>
        <w:t xml:space="preserve">We issue letters of credit to enhance the creditworthiness of our customers seeking signature 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majority of our credit service customers obtain short-term signature loans with a single maturity date. These short-term loans, with maturity dates averaging about 16 days, are considered defaulted if they have not been repaid or renewed by the maturity date. Other credit service customers obtain installment loans with a series of payments due over as much as a five-month period. If one payment of an installment loan is delinquent, that one payment is considered defaulted. If more than one installment payment is delinquent at any time, the entire loan is considered defaulted. </w:t>
      </w:r>
    </w:p>
    <w:p>
      <w:pPr>
        <w:pStyle w:val="TextBody"/>
        <w:jc w:val="center"/>
        <w:rPr>
          <w:rFonts w:ascii="Times New Roman;Times;serif" w:hAnsi="Times New Roman;Times;serif"/>
          <w:sz w:val="17"/>
        </w:rPr>
      </w:pPr>
      <w:r>
        <w:rPr>
          <w:rFonts w:ascii="Times New Roman;Times;serif" w:hAnsi="Times New Roman;Times;serif"/>
          <w:sz w:val="17"/>
        </w:rPr>
        <w:t xml:space="preserve">56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Allowance for Losses on Signature Loan Credit Services: </w:t>
      </w:r>
      <w:r>
        <w:rPr>
          <w:rFonts w:ascii="Times New Roman;Times;serif" w:hAnsi="Times New Roman;Times;serif"/>
          <w:sz w:val="17"/>
        </w:rPr>
        <w:t xml:space="preserve">We provide an allowance for losses we expect to incur under letters of credit for brokered signature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(collectively, Expected LOC Losses). Changes in the allowance are charged to signature loan bad debt. We include the balance of Expected LOC Losses in Accounts payable and other accrued expenses on our balance sheets. At September 30, 2010, the allowance for Expected LOC Losses on signature loans was $1.3 million and our maximum exposure for losses on letters of credit, if all brokered signature loans defaulted and none was collected, was $24.4 million. This amount includes principal, interest and insufficient funds fees. Based on the expected loss and collection percentages, we also provide an allowance for the signature loan credit service fees we expect not to collect, and charge changes in this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Revenue Recognition: </w:t>
      </w:r>
      <w:r>
        <w:rPr>
          <w:rFonts w:ascii="Times New Roman;Times;serif" w:hAnsi="Times New Roman;Times;serif"/>
          <w:sz w:val="17"/>
        </w:rPr>
        <w:t xml:space="preserve">We accrue fees in accordance with state and provincial laws on the percentage of signature loans (payday loans and installment loans) we have made that we believe to be collectible. Accrued fees related to defaulted loans reduce fee revenue upon loan default, and increase fee revenue upon collection.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Bad Debt: </w:t>
      </w:r>
      <w:r>
        <w:rPr>
          <w:rFonts w:ascii="Times New Roman;Times;serif" w:hAnsi="Times New Roman;Times;serif"/>
          <w:sz w:val="17"/>
        </w:rPr>
        <w:t xml:space="preserve">We consider a payday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and record the proceeds from such sales as a reduction of bad debt at the time of sale.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Signature Loan Allowance for Losses: </w:t>
      </w:r>
      <w:r>
        <w:rPr>
          <w:rFonts w:ascii="Times New Roman;Times;serif" w:hAnsi="Times New Roman;Times;serif"/>
          <w:sz w:val="17"/>
        </w:rPr>
        <w:t xml:space="preserve">We provide an allowance for losses on signature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Credit Service Fee Revenue Recognition: </w:t>
      </w:r>
      <w:r>
        <w:rPr>
          <w:rFonts w:ascii="Times New Roman;Times;serif" w:hAnsi="Times New Roman;Times;serif"/>
          <w:sz w:val="17"/>
        </w:rPr>
        <w:t xml:space="preserve">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Auto title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Bad Debt and Allowance for Losses on Auto Title Loan Credit Services: </w:t>
      </w:r>
      <w:r>
        <w:rPr>
          <w:rFonts w:ascii="Times New Roman;Times;serif" w:hAnsi="Times New Roman;Times;serif"/>
          <w:sz w:val="17"/>
        </w:rPr>
        <w:t xml:space="preserve">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late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late fees, net of the amounts we expect to collect from borrowers or through the sale of repossessed vehicles. We include the allowance for expected losses in Accounts payable and other accrued expenses on our balance sheets. At September 30, 2010, the allowance was $0.4 million and our maximum exposure for losses on letters of credit, if all brokered auto title loans defaulted and none was collected, was $7.2 million.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Revenue Recognition: </w:t>
      </w:r>
      <w:r>
        <w:rPr>
          <w:rFonts w:ascii="Times New Roman;Times;serif" w:hAnsi="Times New Roman;Times;serif"/>
          <w:sz w:val="17"/>
        </w:rPr>
        <w:t xml:space="preserve">We accrue fees in accordance with state laws on the percentage of auto title loans we have made that we believe to be collectible. We recognize the fee revenue ratably over the life of the loan.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Auto Title Loan Bad Debt and Allowance for Losses: </w:t>
      </w:r>
      <w:r>
        <w:rPr>
          <w:rFonts w:ascii="Times New Roman;Times;serif" w:hAnsi="Times New Roman;Times;serif"/>
          <w:sz w:val="17"/>
        </w:rPr>
        <w:t xml:space="preserve">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auto title loan bad debt and charge uncollectable loans against this allowance. We record changes in the fee receivable valuation allowance to auto title loan fee revenue. </w:t>
      </w:r>
    </w:p>
    <w:p>
      <w:pPr>
        <w:pStyle w:val="TextBody"/>
        <w:jc w:val="center"/>
        <w:rPr>
          <w:rFonts w:ascii="Times New Roman;Times;serif" w:hAnsi="Times New Roman;Times;serif"/>
          <w:sz w:val="17"/>
        </w:rPr>
      </w:pPr>
      <w:r>
        <w:rPr>
          <w:rFonts w:ascii="Times New Roman;Times;serif" w:hAnsi="Times New Roman;Times;serif"/>
          <w:sz w:val="17"/>
        </w:rPr>
        <w:t xml:space="preserve">57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Cash and Cash Equivalents and Cash Concentrations: </w:t>
      </w:r>
      <w:r>
        <w:rPr>
          <w:rFonts w:ascii="Times New Roman;Times;serif" w:hAnsi="Times New Roman;Times;serif"/>
          <w:sz w:val="17"/>
        </w:rPr>
        <w:t xml:space="preserve">Cash and cash equivalents consist primarily of cash on deposit or highly liquid investments or mutual funds with original contractual maturities of three months or less.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Inventory: </w:t>
      </w:r>
      <w:r>
        <w:rPr>
          <w:rFonts w:ascii="Times New Roman;Times;serif" w:hAnsi="Times New Roman;Times;serif"/>
          <w:sz w:val="17"/>
        </w:rPr>
        <w:t xml:space="preserve">If a pawn loan is not redeemed, we record the forfeited collateral at cost (the principal amount of the pawn loan). We do not record loan loss allowances or charge-offs on the principal portion of pawn loans, as they are fully collateralized. In order to state inventory at the lower of cost (specific identification) or market value, we record an allowance for excess, obsolete or slow moving inventory based on the type and age of merchandise. At September 30, 2010, the inventory valuation allowance was $5.7 million, or 7.4% of gross inventory. At September 30, 2009 the inventory valuation allowance was $5.7 million, or 8.2% of gross inventory. We record changes in the inventory valuation allowance as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Software Development Costs: </w:t>
      </w:r>
      <w:r>
        <w:rPr>
          <w:rFonts w:ascii="Times New Roman;Times;serif" w:hAnsi="Times New Roman;Times;serif"/>
          <w:sz w:val="17"/>
        </w:rPr>
        <w:t xml:space="preserve">We capitalize certain costs incurred in connection with developing or obtaining software for internal use, and amortize the costs by the straight-line method over the estimated useful lives of each system, typically five years. During 2010, 2009 and 2008 approximately $2.1 million, $0.6 million and $1.6 million was capitalized in connection with the development and acquisition of internal software systems. No interest was capitalized in 2010, 2009 or 2008.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Customer Layaway Deposits: </w:t>
      </w:r>
      <w:r>
        <w:rPr>
          <w:rFonts w:ascii="Times New Roman;Times;serif" w:hAnsi="Times New Roman;Times;serif"/>
          <w:sz w:val="17"/>
        </w:rPr>
        <w:t xml:space="preserve">Customer layaway deposits are recorded as deferred revenue until we collect the entire related sales price and deliver the related merchandise to the customer.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Intangible Assets: </w:t>
      </w:r>
      <w:r>
        <w:rPr>
          <w:rFonts w:ascii="Times New Roman;Times;serif" w:hAnsi="Times New Roman;Times;serif"/>
          <w:sz w:val="17"/>
        </w:rPr>
        <w:t xml:space="preserve">Goodwill and other intangible assets having indefinite lives are not subject to amortization. They are tested for impairment each July 1st, or more frequently if events or changes in circumstances indicate that they might be impaired, based on cash flows and other market valuation methods. We recognized no impairment of our intangible assets in fiscal 2010, 2009, or 2008. We amortize intangible assets with definite lives over their estimated useful lives using the straight-line method.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Property and Equipment: </w:t>
      </w:r>
      <w:r>
        <w:rPr>
          <w:rFonts w:ascii="Times New Roman;Times;serif" w:hAnsi="Times New Roman;Times;serif"/>
          <w:sz w:val="17"/>
        </w:rPr>
        <w:t xml:space="preserve">We record property and equipment at cost. We depreciate these assets on a straight-line basis using estimated useful lives of 30 years for buildings and 2 to 7 years for furniture, equipment, and software development costs. We depreciate leasehold improvements over the shorter of their estimated useful life (typically 10 years) or the reasonably assured lease term at the inception of the lease.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Valuation of Tangible Long-Lived Assets: </w:t>
      </w:r>
      <w:r>
        <w:rPr>
          <w:rFonts w:ascii="Times New Roman;Times;serif" w:hAnsi="Times New Roman;Times;serif"/>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or significant negative industry trends. When we determine that the net recorded amount of tangible long-lived assets may not be recoverable, we measure impairment based on the excess of the assets net recorded amount over the estimated fair value. No impairment of tangible long-lived assets was recognized in fiscal 2010, 2009 or 2008.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Fair Value of Financial Instruments: </w:t>
      </w:r>
      <w:r>
        <w:rPr>
          <w:rFonts w:ascii="Times New Roman;Times;serif" w:hAnsi="Times New Roman;Times;serif"/>
          <w:sz w:val="17"/>
        </w:rPr>
        <w:t xml:space="preserve">We adopted FASB ASC 820-10 (Fair Value Measurements and Disclosures) and ASC 825-10 (Financial Instruments) on October 1, 2008, resulting in no impact on our financial position, results of operations or cash flows. Among other requirements, FASB ASC 820-10 defines fair value, establishes a framework for measuring fair value and expands disclosure about the use of fair value to measure assets and liabilities. FASB ASC 825-10 permits entities to choose, at specified election dates, to measure eligible items at fair value (the fair value option) and requires an entity to report in earnings at each subsequent reporting date those unrealized gains and losses on items for which the fair value option has been elected. Upfront costs and fees related to items for which the fair value option is elected must be recognized in earnings as incurred and not deferred. We have elected not to measure at fair value any eligible items for which fair value measurement is optional. </w:t>
      </w:r>
    </w:p>
    <w:p>
      <w:pPr>
        <w:pStyle w:val="TextBody"/>
        <w:jc w:val="center"/>
        <w:rPr>
          <w:rFonts w:ascii="Times New Roman;Times;serif" w:hAnsi="Times New Roman;Times;serif"/>
          <w:sz w:val="17"/>
        </w:rPr>
      </w:pPr>
      <w:r>
        <w:rPr>
          <w:rFonts w:ascii="Times New Roman;Times;serif" w:hAnsi="Times New Roman;Times;serif"/>
          <w:sz w:val="17"/>
        </w:rPr>
        <w:t xml:space="preserve">58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 Included in Other Assets, net on our balance sheet are available for sale securities with a fair value at September 30, 2010 of $4.9 million. This is considered to be a level one measurement of fair value as it is based on the ending quoted market price for the securities at that date, as quoted on an active public securities exchange.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Acquisitions: </w:t>
      </w:r>
      <w:r>
        <w:rPr>
          <w:rFonts w:ascii="Times New Roman;Times;serif" w:hAnsi="Times New Roman;Times;serif"/>
          <w:sz w:val="17"/>
        </w:rPr>
        <w:t xml:space="preserve">We adopted FASB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now immediately expense transaction costs that would have been included in the purchase price allocation under previous accounting standards.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Foreign Currency Translation: </w:t>
      </w:r>
      <w:r>
        <w:rPr>
          <w:rFonts w:ascii="Times New Roman;Times;serif" w:hAnsi="Times New Roman;Times;serif"/>
          <w:sz w:val="17"/>
        </w:rPr>
        <w:t xml:space="preserve">Our equity investments in Albemarle &amp; Bond and Cash Converters are translated from British pounds and Australian dollars, respectively, into U.S. dollars at the exchange rates as of the investees balance sheet date of June 30. The related interest in the investees net income is translated at the average exchange rates for each six-month period reported by the investees. The functional currency of our wholly-owned Empeño Fácil pawn segment is the Mexican peso and the functional currency of our wholly-owned foreign subsidiary CASHMAX is the Canadian dollar. Empeño Fácils and CASHMAXs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from Albemarle &amp; Bond, Cash Converts, Empeño Fácil and CASHMAX as a separate component of stockholders equity. Foreign currency transaction gains and losses have not been significant, and are reported as Other expense in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Cost of Goods Sold: </w:t>
      </w:r>
      <w:r>
        <w:rPr>
          <w:rFonts w:ascii="Times New Roman;Times;serif" w:hAnsi="Times New Roman;Times;serif"/>
          <w:sz w:val="17"/>
        </w:rPr>
        <w:t xml:space="preserve">We include in cost of goods sold the historical cost of inventory sold, inventory shrinkage and any change in the allowance for inventory shrinkage and valuation. We also include the cost of operating our central jewelry processing unit, as it relates directly to sales of precious metals to refiners.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Operations Expense: </w:t>
      </w:r>
      <w:r>
        <w:rPr>
          <w:rFonts w:ascii="Times New Roman;Times;serif" w:hAnsi="Times New Roman;Times;serif"/>
          <w:sz w:val="17"/>
        </w:rPr>
        <w:t xml:space="preserve">Included in operations expense are costs related to operating our stores. These costs include labor, other direct expenses such as utilities, supplies and banking fees, and indirect expenses such as store rent, building repairs and maintenance, advertising, store property taxes and insurance, regional and area management expenses and the costs of our bad debt collection center.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Administrative Expense: </w:t>
      </w:r>
      <w:r>
        <w:rPr>
          <w:rFonts w:ascii="Times New Roman;Times;serif" w:hAnsi="Times New Roman;Times;serif"/>
          <w:sz w:val="17"/>
        </w:rPr>
        <w:t xml:space="preserve">Included in administrative expense are costs related to our executive and administrative offices. This includes executive and administrative salaries, wages, stock and incentive compensation, professional fees, license fees and costs related to the operation of our administrative offices such as rent, property taxes, insurance, and information technology.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Advertising</w:t>
      </w:r>
      <w:r>
        <w:rPr>
          <w:rFonts w:ascii="Times New Roman;Times;serif" w:hAnsi="Times New Roman;Times;serif"/>
          <w:b/>
          <w:sz w:val="17"/>
        </w:rPr>
        <w:t xml:space="preserve">: </w:t>
      </w:r>
      <w:r>
        <w:rPr>
          <w:rFonts w:ascii="Times New Roman;Times;serif" w:hAnsi="Times New Roman;Times;serif"/>
          <w:sz w:val="17"/>
        </w:rPr>
        <w:t xml:space="preserve">We expense advertising costs as incurred. Advertising expense was approximately $2.2 million, $2.0 million and $2.2 million for fiscal 2010, 2009 and 2008, respectively.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Income Taxes: </w:t>
      </w:r>
      <w:r>
        <w:rPr>
          <w:rFonts w:ascii="Times New Roman;Times;serif" w:hAnsi="Times New Roman;Times;serif"/>
          <w:sz w:val="17"/>
        </w:rPr>
        <w:t xml:space="preserve">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Stock Compensation</w:t>
      </w:r>
      <w:r>
        <w:rPr>
          <w:rFonts w:ascii="Times New Roman;Times;serif" w:hAnsi="Times New Roman;Times;serif"/>
          <w:b/>
          <w:sz w:val="17"/>
        </w:rPr>
        <w:t xml:space="preserve">: </w:t>
      </w:r>
      <w:r>
        <w:rPr>
          <w:rFonts w:ascii="Times New Roman;Times;serif" w:hAnsi="Times New Roman;Times;serif"/>
          <w:sz w:val="17"/>
        </w:rPr>
        <w:t xml:space="preserve">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We have not granted any stock options since fiscal 2007. When granted, our policy is to estimate the grant-date fair value of options using the Black-Scholes-Merton option-pricing model and amortize that fair value to compensation expense on a ratable basis over the options vesting periods. </w:t>
      </w:r>
    </w:p>
    <w:p>
      <w:pPr>
        <w:pStyle w:val="TextBody"/>
        <w:jc w:val="center"/>
        <w:rPr>
          <w:rFonts w:ascii="Times New Roman;Times;serif" w:hAnsi="Times New Roman;Times;serif"/>
          <w:sz w:val="17"/>
        </w:rPr>
      </w:pPr>
      <w:r>
        <w:rPr>
          <w:rFonts w:ascii="Times New Roman;Times;serif" w:hAnsi="Times New Roman;Times;serif"/>
          <w:sz w:val="17"/>
        </w:rPr>
        <w:t xml:space="preserve">59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Use of Estimates</w:t>
      </w:r>
      <w:r>
        <w:rPr>
          <w:rFonts w:ascii="Times New Roman;Times;serif" w:hAnsi="Times New Roman;Times;serif"/>
          <w:b/>
          <w:sz w:val="17"/>
        </w:rPr>
        <w:t xml:space="preserve">: </w:t>
      </w:r>
      <w:r>
        <w:rPr>
          <w:rFonts w:ascii="Times New Roman;Times;serif" w:hAnsi="Times New Roman;Times;serif"/>
          <w:sz w:val="17"/>
        </w:rPr>
        <w:t xml:space="preserve">Generally accepted accounting principles require us to make estimates and assumptions that affect the amounts reported in the financial statements and accompanying notes. Actual results could differ materially from those estimates.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Reclassifications: </w:t>
      </w:r>
      <w:r>
        <w:rPr>
          <w:rFonts w:ascii="Times New Roman;Times;serif" w:hAnsi="Times New Roman;Times;serif"/>
          <w:sz w:val="17"/>
        </w:rPr>
        <w:t xml:space="preserve">Certain prior year balances have been reclassified to conform to the current year presentation.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 xml:space="preserve">Recently Issued Accounting Pronouncements: </w:t>
      </w:r>
      <w:r>
        <w:rPr>
          <w:rFonts w:ascii="Times New Roman;Times;serif" w:hAnsi="Times New Roman;Times;serif"/>
          <w:sz w:val="17"/>
        </w:rPr>
        <w:t xml:space="preserve">We adopted FASB ASC 805-10-65 (Business Combinations  Revised) on October 1, 2009, and have applied it prospectively to all business acquisitions completed since that date. FASB ASC 805-10-65 established principles and requirements for how an acquirer in a business combination: (1) recognizes and measures in its financial statements the identifiable assets acquired, the liabilities assumed, and any non-controlling interest in an acquiree, (2) recognizes and measures the goodwill acquired in the business combination or a gain from a bargain purchase price, and (3) determines what information to disclose to enable users of the consolidated financial statements to evaluate the nature and financial effects of the business combination. Among other changes, FASB ASC 805-10-65 requires us to immediately expense transaction costs that have historically been included in the purchase price allocation under previous accounting standards.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adopted FASB ASC 350-30-65 (Intangibles-Goodwill and Other) on October 1, 2009, resulting in no effect on our financial position, results of operations, or cash flows. FASB ASC 350-30-65 amends the list of factors an entity should consider in developing renewal or extension assumptions used in determining the useful life of recognized intangible assets. The new guidance applies to (1) intangible assets that are acquired individually or with a group of other assets and (2) intangible assets acquired in both business combinations and asset acquisitions. Under FASB ASC 350-30-65,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August 2009, the FASB issued Accounting Standards Update (ASU) 2009-05, Fair Value Measurements and Disclosures, Measuring Liabilities at Fair Value, which amends FASB ASC 820-10, Fair Value Measurements and Disclosures  Overall, for the fair value measurement of liabilities. This update provides clarification that in circumstances in which a quoted price in an active market for the identical liability is not available, an entity is required to measure fair value using a valuation technique that uses a quoted price of the identical liability when traded as an asset, a quoted price for similar liabilities or similar liabilities when traded as an asset, or another valuation technique that is consistent with the principles of FASB ASC 820. We adopted this ASU on October 1, 2009, resulting in no effect on our financial position, results of operations or cash flows.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June 2009, FASB amended ASC 810-10-65 (Consolidation). Amended ASC 810-10-65 relates to the consolidation of variable interest entities. It eliminates the quantitative approach previously required for determining the primary beneficiary of a variable interest entity and requires ongoing qualitative reassessments of whether an enterprise is the primary beneficiary of a variable interest entity. This guidance also requires additional disclosures about an enterprises involvement in variable interest entities. We must adopt this amended standard in our fiscal year beginning October 1, 2010. We expect adoption of amended ASC 810-10 will have no effect on our financial position, results of operations or cash flows.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July 2010, FASB issued Accounting Standards Update (ASU) 2010-20, Disclosures about the Credit Quality of Financing Receivables and the Allowance for Credit Losses. This update amends FASB ASC 310 (Receivables) to improve the disclosures that an entity provides about the credit quality of its financing receivables and the related allowance for credit losses. As a result of these amendments, an entity is required to disaggregate by portfolio segment or class certain existing disclosures and provide new disclosures about its financing receivables and related allowance for credit losses. The new disclosures are required for interim and annual reporting periods ending on or after December 15, 2010. We must adopt this ASU in our fiscal year beginning October 1, 2010 and expect no effect on our financial position, results of operations or cash flows.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B: 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October 22, 2007, we completed the acquisition of 20 Mexico pawnshops from MMFS Intl., S.A. de C.V, a subsidiary of Mister Money Holdings, Inc. for $15.5 million cash and direct transaction costs. We recorded </w:t>
      </w:r>
    </w:p>
    <w:p>
      <w:pPr>
        <w:pStyle w:val="TextBody"/>
        <w:jc w:val="center"/>
        <w:rPr>
          <w:rFonts w:ascii="Times New Roman;Times;serif" w:hAnsi="Times New Roman;Times;serif"/>
          <w:sz w:val="17"/>
        </w:rPr>
      </w:pPr>
      <w:r>
        <w:rPr>
          <w:rFonts w:ascii="Times New Roman;Times;serif" w:hAnsi="Times New Roman;Times;serif"/>
          <w:sz w:val="17"/>
        </w:rPr>
        <w:t xml:space="preserve">60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approximately $5.3 million of net tangible assets and $2.0 million of an intangible asset attributable to a non-compete agreement. Goodwill of $8.2 million, which is expected to be fully tax deductible over the fifteen years following the acquisition, was recorded in the Empeño Fácil Mexico pawn segment. The goodwill arises from our greatly enhanced presence in Mexico and the ability to leverage this store base to enhance our store growth and expense structure in Mexico to gain efficiencies and synergies. The results of the acquired stores have been consolidated with our results since their acquisition. Pro forma results of operations have not been presented because the acquisition was not material to our consolidated financial position or results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November 13, 2008, we acquired the operating assets of 11 pawn stores in the Las Vegas, Nevada area that operated under the Pawn Plus, Pawn Place and ASAP Pawn brands for approximately $34.4 million. The purchase price was paid by issuing approximately 1.1 million shares of our Class A Non-voting Common Stock valued at $17.3 million, paying $17.0 million to the seller and incurring $0.1 million in transaction costs. We estimated the fair value of the stock issued in the asset purchase at $15.45 per share, based on the market price of our stock surrounding the closing date of the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purchase price was allocated as follows (in thousands): </w:t>
      </w:r>
    </w:p>
    <w:tbl>
      <w:tblPr>
        <w:tblW w:w="5000" w:type="pct"/>
        <w:jc w:val="center"/>
        <w:tblInd w:w="0" w:type="dxa"/>
        <w:tblCellMar>
          <w:top w:w="0" w:type="dxa"/>
          <w:left w:w="0" w:type="dxa"/>
          <w:bottom w:w="0" w:type="dxa"/>
          <w:right w:w="0" w:type="dxa"/>
        </w:tblCellMar>
      </w:tblPr>
      <w:tblGrid>
        <w:gridCol w:w="8716"/>
        <w:gridCol w:w="500"/>
        <w:gridCol w:w="143"/>
        <w:gridCol w:w="714"/>
        <w:gridCol w:w="132"/>
      </w:tblGrid>
      <w:tr>
        <w:trPr/>
        <w:tc>
          <w:tcPr>
            <w:tcW w:w="871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225" w:right="0" w:hanging="225"/>
              <w:rPr/>
            </w:pPr>
            <w:r>
              <w:rPr/>
              <w:t>Current assets:</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450" w:right="0" w:hanging="225"/>
              <w:rPr/>
            </w:pPr>
            <w:r>
              <w:rPr/>
              <w:t>Pawn loans</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14" w:type="dxa"/>
            <w:tcBorders/>
            <w:shd w:fill="auto" w:val="clear"/>
            <w:vAlign w:val="bottom"/>
          </w:tcPr>
          <w:p>
            <w:pPr>
              <w:pStyle w:val="TableContents"/>
              <w:spacing w:before="0" w:after="283"/>
              <w:jc w:val="right"/>
              <w:rPr/>
            </w:pPr>
            <w:r>
              <w:rPr/>
              <w:t>5,442</w:t>
            </w:r>
          </w:p>
        </w:tc>
        <w:tc>
          <w:tcPr>
            <w:tcW w:w="132" w:type="dxa"/>
            <w:tcBorders/>
            <w:shd w:fill="auto" w:val="clear"/>
            <w:vAlign w:val="bottom"/>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450" w:right="0" w:hanging="225"/>
              <w:rPr/>
            </w:pPr>
            <w:r>
              <w:rPr/>
              <w:t>Payday loans</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55</w:t>
            </w:r>
          </w:p>
        </w:tc>
        <w:tc>
          <w:tcPr>
            <w:tcW w:w="132" w:type="dxa"/>
            <w:tcBorders/>
            <w:shd w:fill="CCEEFF"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450" w:right="0" w:hanging="225"/>
              <w:rPr/>
            </w:pPr>
            <w:r>
              <w:rPr/>
              <w:t>Auto title loans</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1,105</w:t>
            </w:r>
          </w:p>
        </w:tc>
        <w:tc>
          <w:tcPr>
            <w:tcW w:w="132" w:type="dxa"/>
            <w:tcBorders/>
            <w:shd w:fill="auto" w:val="clear"/>
            <w:vAlign w:val="bottom"/>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450" w:right="0" w:hanging="225"/>
              <w:rPr/>
            </w:pPr>
            <w:r>
              <w:rPr/>
              <w:t>Pawn service charges receivable</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1,231</w:t>
            </w:r>
          </w:p>
        </w:tc>
        <w:tc>
          <w:tcPr>
            <w:tcW w:w="132" w:type="dxa"/>
            <w:tcBorders/>
            <w:shd w:fill="CCEEFF"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450" w:right="0" w:hanging="225"/>
              <w:rPr/>
            </w:pPr>
            <w:r>
              <w:rPr/>
              <w:t>Signature loan fees receivable</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7</w:t>
            </w:r>
          </w:p>
        </w:tc>
        <w:tc>
          <w:tcPr>
            <w:tcW w:w="132" w:type="dxa"/>
            <w:tcBorders/>
            <w:shd w:fill="auto" w:val="clear"/>
            <w:vAlign w:val="bottom"/>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450" w:right="0" w:hanging="225"/>
              <w:rPr/>
            </w:pPr>
            <w:r>
              <w:rPr/>
              <w:t>Auto title loan fees receivable</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84</w:t>
            </w:r>
          </w:p>
        </w:tc>
        <w:tc>
          <w:tcPr>
            <w:tcW w:w="132" w:type="dxa"/>
            <w:tcBorders/>
            <w:shd w:fill="CCEEFF"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450" w:right="0" w:hanging="225"/>
              <w:rPr/>
            </w:pPr>
            <w:r>
              <w:rPr/>
              <w:t>Inventory</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2,860</w:t>
            </w:r>
          </w:p>
        </w:tc>
        <w:tc>
          <w:tcPr>
            <w:tcW w:w="132" w:type="dxa"/>
            <w:tcBorders/>
            <w:shd w:fill="auto" w:val="clear"/>
            <w:vAlign w:val="bottom"/>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450" w:right="0" w:hanging="225"/>
              <w:rPr/>
            </w:pPr>
            <w:r>
              <w:rPr/>
              <w:t>Deferred tax asset</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334</w:t>
            </w:r>
          </w:p>
        </w:tc>
        <w:tc>
          <w:tcPr>
            <w:tcW w:w="132" w:type="dxa"/>
            <w:tcBorders/>
            <w:shd w:fill="CCEEFF"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450" w:right="0" w:hanging="225"/>
              <w:rPr/>
            </w:pPr>
            <w:r>
              <w:rPr/>
              <w:t>Prepaid expenses and other assets</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79</w:t>
            </w:r>
          </w:p>
        </w:tc>
        <w:tc>
          <w:tcPr>
            <w:tcW w:w="132" w:type="dxa"/>
            <w:tcBorders/>
            <w:shd w:fill="auto" w:val="clear"/>
            <w:vAlign w:val="bottom"/>
          </w:tcPr>
          <w:p>
            <w:pPr>
              <w:pStyle w:val="TableContents"/>
              <w:spacing w:before="0" w:after="283"/>
              <w:rPr/>
            </w:pPr>
            <w:r>
              <w:rPr/>
              <w:t> </w:t>
            </w:r>
          </w:p>
        </w:tc>
      </w:tr>
      <w:tr>
        <w:trPr/>
        <w:tc>
          <w:tcPr>
            <w:tcW w:w="8716" w:type="dxa"/>
            <w:tcBorders/>
            <w:shd w:fill="auto" w:val="clear"/>
            <w:vAlign w:val="center"/>
          </w:tcPr>
          <w:p>
            <w:pPr>
              <w:pStyle w:val="TableContents"/>
              <w:spacing w:before="0" w:after="0"/>
              <w:ind w:left="225" w:right="0" w:hanging="225"/>
              <w:rPr/>
            </w:pPr>
            <w:r>
              <w:rPr/>
              <w:t> </w:t>
            </w:r>
          </w:p>
        </w:tc>
        <w:tc>
          <w:tcPr>
            <w:tcW w:w="500" w:type="dxa"/>
            <w:tcBorders/>
            <w:shd w:fill="auto" w:val="clear"/>
            <w:vAlign w:val="center"/>
          </w:tcPr>
          <w:p>
            <w:pPr>
              <w:pStyle w:val="TableContents"/>
              <w:spacing w:before="0" w:after="283"/>
              <w:rPr/>
            </w:pPr>
            <w:r>
              <w:rPr/>
              <w:t> </w:t>
            </w:r>
          </w:p>
        </w:tc>
        <w:tc>
          <w:tcPr>
            <w:tcW w:w="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225" w:right="0" w:hanging="225"/>
              <w:rPr/>
            </w:pPr>
            <w:r>
              <w:rPr/>
              <w:t>Total current assets</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11,197</w:t>
            </w:r>
          </w:p>
        </w:tc>
        <w:tc>
          <w:tcPr>
            <w:tcW w:w="132" w:type="dxa"/>
            <w:tcBorders/>
            <w:shd w:fill="CCEEFF"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225" w:right="0" w:hanging="225"/>
              <w:rPr/>
            </w:pPr>
            <w:r>
              <w:rPr/>
              <w:t> </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450" w:right="0" w:hanging="225"/>
              <w:rPr/>
            </w:pPr>
            <w:r>
              <w:rPr/>
              <w:t>Property and equipment</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392</w:t>
            </w:r>
          </w:p>
        </w:tc>
        <w:tc>
          <w:tcPr>
            <w:tcW w:w="132" w:type="dxa"/>
            <w:tcBorders/>
            <w:shd w:fill="auto" w:val="clear"/>
            <w:vAlign w:val="bottom"/>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450" w:right="0" w:hanging="225"/>
              <w:rPr/>
            </w:pPr>
            <w:r>
              <w:rPr/>
              <w:t>Goodwill</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16,297</w:t>
            </w:r>
          </w:p>
        </w:tc>
        <w:tc>
          <w:tcPr>
            <w:tcW w:w="132" w:type="dxa"/>
            <w:tcBorders/>
            <w:shd w:fill="CCEEFF"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450" w:right="0" w:hanging="225"/>
              <w:rPr/>
            </w:pPr>
            <w:r>
              <w:rPr/>
              <w:t>Other assets</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6,711</w:t>
            </w:r>
          </w:p>
        </w:tc>
        <w:tc>
          <w:tcPr>
            <w:tcW w:w="132" w:type="dxa"/>
            <w:tcBorders/>
            <w:shd w:fill="auto" w:val="clear"/>
            <w:vAlign w:val="bottom"/>
          </w:tcPr>
          <w:p>
            <w:pPr>
              <w:pStyle w:val="TableContents"/>
              <w:spacing w:before="0" w:after="283"/>
              <w:rPr/>
            </w:pPr>
            <w:r>
              <w:rPr/>
              <w:t> </w:t>
            </w:r>
          </w:p>
        </w:tc>
      </w:tr>
      <w:tr>
        <w:trPr/>
        <w:tc>
          <w:tcPr>
            <w:tcW w:w="8716" w:type="dxa"/>
            <w:tcBorders/>
            <w:shd w:fill="auto" w:val="clear"/>
            <w:vAlign w:val="center"/>
          </w:tcPr>
          <w:p>
            <w:pPr>
              <w:pStyle w:val="TableContents"/>
              <w:spacing w:before="0" w:after="0"/>
              <w:ind w:left="225" w:right="0" w:hanging="225"/>
              <w:rPr/>
            </w:pPr>
            <w:r>
              <w:rPr/>
              <w:t> </w:t>
            </w:r>
          </w:p>
        </w:tc>
        <w:tc>
          <w:tcPr>
            <w:tcW w:w="500" w:type="dxa"/>
            <w:tcBorders/>
            <w:shd w:fill="auto" w:val="clear"/>
            <w:vAlign w:val="center"/>
          </w:tcPr>
          <w:p>
            <w:pPr>
              <w:pStyle w:val="TableContents"/>
              <w:spacing w:before="0" w:after="283"/>
              <w:rPr/>
            </w:pPr>
            <w:r>
              <w:rPr/>
              <w:t> </w:t>
            </w:r>
          </w:p>
        </w:tc>
        <w:tc>
          <w:tcPr>
            <w:tcW w:w="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225" w:right="0" w:hanging="225"/>
              <w:rPr/>
            </w:pPr>
            <w:r>
              <w:rPr/>
              <w:t>Total assets</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14" w:type="dxa"/>
            <w:tcBorders/>
            <w:shd w:fill="CCEEFF" w:val="clear"/>
            <w:vAlign w:val="bottom"/>
          </w:tcPr>
          <w:p>
            <w:pPr>
              <w:pStyle w:val="TableContents"/>
              <w:spacing w:before="0" w:after="283"/>
              <w:jc w:val="right"/>
              <w:rPr/>
            </w:pPr>
            <w:r>
              <w:rPr/>
              <w:t>34,597</w:t>
            </w:r>
          </w:p>
        </w:tc>
        <w:tc>
          <w:tcPr>
            <w:tcW w:w="132" w:type="dxa"/>
            <w:tcBorders/>
            <w:shd w:fill="CCEEFF"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225" w:right="0" w:hanging="225"/>
              <w:rPr/>
            </w:pPr>
            <w:r>
              <w:rPr/>
              <w:t> </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8716" w:type="dxa"/>
            <w:tcBorders/>
            <w:shd w:fill="auto" w:val="clear"/>
            <w:vAlign w:val="bottom"/>
          </w:tcPr>
          <w:p>
            <w:pPr>
              <w:pStyle w:val="TableContents"/>
              <w:spacing w:before="0" w:after="0"/>
              <w:ind w:left="225" w:right="0" w:hanging="225"/>
              <w:rPr/>
            </w:pPr>
            <w:r>
              <w:rPr/>
              <w:t>Liabilities:</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450" w:right="0" w:hanging="225"/>
              <w:rPr/>
            </w:pPr>
            <w:r>
              <w:rPr/>
              <w:t>Accounts payable and other accrued expenses</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14" w:type="dxa"/>
            <w:tcBorders/>
            <w:shd w:fill="CCEEFF" w:val="clear"/>
            <w:vAlign w:val="bottom"/>
          </w:tcPr>
          <w:p>
            <w:pPr>
              <w:pStyle w:val="TableContents"/>
              <w:spacing w:before="0" w:after="283"/>
              <w:jc w:val="right"/>
              <w:rPr/>
            </w:pPr>
            <w:r>
              <w:rPr/>
              <w:t>(27</w:t>
            </w:r>
          </w:p>
        </w:tc>
        <w:tc>
          <w:tcPr>
            <w:tcW w:w="132" w:type="dxa"/>
            <w:tcBorders/>
            <w:shd w:fill="CCEEFF" w:val="clear"/>
            <w:vAlign w:val="bottom"/>
          </w:tcPr>
          <w:p>
            <w:pPr>
              <w:pStyle w:val="TableContents"/>
              <w:spacing w:before="0" w:after="283"/>
              <w:rPr/>
            </w:pPr>
            <w:r>
              <w:rPr/>
              <w:t>)</w:t>
            </w:r>
          </w:p>
        </w:tc>
      </w:tr>
      <w:tr>
        <w:trPr/>
        <w:tc>
          <w:tcPr>
            <w:tcW w:w="8716" w:type="dxa"/>
            <w:tcBorders/>
            <w:shd w:fill="auto" w:val="clear"/>
            <w:vAlign w:val="bottom"/>
          </w:tcPr>
          <w:p>
            <w:pPr>
              <w:pStyle w:val="TableContents"/>
              <w:spacing w:before="0" w:after="0"/>
              <w:ind w:left="450" w:right="0" w:hanging="225"/>
              <w:rPr/>
            </w:pPr>
            <w:r>
              <w:rPr/>
              <w:t>Customer layaway deposits</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(135</w:t>
            </w:r>
          </w:p>
        </w:tc>
        <w:tc>
          <w:tcPr>
            <w:tcW w:w="132" w:type="dxa"/>
            <w:tcBorders/>
            <w:shd w:fill="auto" w:val="clear"/>
            <w:vAlign w:val="bottom"/>
          </w:tcPr>
          <w:p>
            <w:pPr>
              <w:pStyle w:val="TableContents"/>
              <w:spacing w:before="0" w:after="283"/>
              <w:rPr/>
            </w:pPr>
            <w:r>
              <w:rPr/>
              <w:t>)</w:t>
            </w:r>
          </w:p>
        </w:tc>
      </w:tr>
      <w:tr>
        <w:trPr/>
        <w:tc>
          <w:tcPr>
            <w:tcW w:w="8716" w:type="dxa"/>
            <w:tcBorders/>
            <w:shd w:fill="auto" w:val="clear"/>
            <w:vAlign w:val="center"/>
          </w:tcPr>
          <w:p>
            <w:pPr>
              <w:pStyle w:val="TableContents"/>
              <w:spacing w:before="0" w:after="0"/>
              <w:ind w:left="225" w:right="0" w:hanging="225"/>
              <w:rPr/>
            </w:pPr>
            <w:r>
              <w:rPr/>
              <w:t> </w:t>
            </w:r>
          </w:p>
        </w:tc>
        <w:tc>
          <w:tcPr>
            <w:tcW w:w="500" w:type="dxa"/>
            <w:tcBorders/>
            <w:shd w:fill="auto" w:val="clear"/>
            <w:vAlign w:val="center"/>
          </w:tcPr>
          <w:p>
            <w:pPr>
              <w:pStyle w:val="TableContents"/>
              <w:spacing w:before="0" w:after="283"/>
              <w:rPr/>
            </w:pPr>
            <w:r>
              <w:rPr/>
              <w:t> </w:t>
            </w:r>
          </w:p>
        </w:tc>
        <w:tc>
          <w:tcPr>
            <w:tcW w:w="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8716" w:type="dxa"/>
            <w:tcBorders/>
            <w:shd w:fill="CCEEFF" w:val="clear"/>
            <w:vAlign w:val="bottom"/>
          </w:tcPr>
          <w:p>
            <w:pPr>
              <w:pStyle w:val="TableContents"/>
              <w:spacing w:before="0" w:after="0"/>
              <w:ind w:left="225" w:right="0" w:hanging="225"/>
              <w:rPr/>
            </w:pPr>
            <w:r>
              <w:rPr/>
              <w:t>Total liabilities</w:t>
            </w:r>
          </w:p>
        </w:tc>
        <w:tc>
          <w:tcPr>
            <w:tcW w:w="5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(162</w:t>
            </w:r>
          </w:p>
        </w:tc>
        <w:tc>
          <w:tcPr>
            <w:tcW w:w="132" w:type="dxa"/>
            <w:tcBorders/>
            <w:shd w:fill="CCEEFF" w:val="clear"/>
            <w:vAlign w:val="bottom"/>
          </w:tcPr>
          <w:p>
            <w:pPr>
              <w:pStyle w:val="TableContents"/>
              <w:spacing w:before="0" w:after="283"/>
              <w:rPr/>
            </w:pPr>
            <w:r>
              <w:rPr/>
              <w:t>)</w:t>
            </w:r>
          </w:p>
        </w:tc>
      </w:tr>
      <w:tr>
        <w:trPr/>
        <w:tc>
          <w:tcPr>
            <w:tcW w:w="8716" w:type="dxa"/>
            <w:tcBorders/>
            <w:shd w:fill="auto" w:val="clear"/>
            <w:vAlign w:val="center"/>
          </w:tcPr>
          <w:p>
            <w:pPr>
              <w:pStyle w:val="TableContents"/>
              <w:spacing w:before="0" w:after="0"/>
              <w:ind w:left="225" w:right="0" w:hanging="225"/>
              <w:rPr/>
            </w:pPr>
            <w:r>
              <w:rPr/>
              <w:t> </w:t>
            </w:r>
          </w:p>
        </w:tc>
        <w:tc>
          <w:tcPr>
            <w:tcW w:w="500" w:type="dxa"/>
            <w:tcBorders/>
            <w:shd w:fill="auto" w:val="clear"/>
            <w:vAlign w:val="center"/>
          </w:tcPr>
          <w:p>
            <w:pPr>
              <w:pStyle w:val="TableContents"/>
              <w:spacing w:before="0" w:after="283"/>
              <w:rPr/>
            </w:pPr>
            <w:r>
              <w:rPr/>
              <w:t> </w:t>
            </w:r>
          </w:p>
        </w:tc>
        <w:tc>
          <w:tcPr>
            <w:tcW w:w="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8716" w:type="dxa"/>
            <w:tcBorders/>
            <w:shd w:fill="auto" w:val="clear"/>
            <w:vAlign w:val="bottom"/>
          </w:tcPr>
          <w:p>
            <w:pPr>
              <w:pStyle w:val="TableContents"/>
              <w:spacing w:before="0" w:after="0"/>
              <w:ind w:left="225" w:right="0" w:hanging="225"/>
              <w:rPr/>
            </w:pPr>
            <w:r>
              <w:rPr/>
              <w:t>Net assets acquired</w:t>
            </w:r>
          </w:p>
        </w:tc>
        <w:tc>
          <w:tcPr>
            <w:tcW w:w="5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14" w:type="dxa"/>
            <w:tcBorders/>
            <w:shd w:fill="auto" w:val="clear"/>
            <w:vAlign w:val="bottom"/>
          </w:tcPr>
          <w:p>
            <w:pPr>
              <w:pStyle w:val="TableContents"/>
              <w:spacing w:before="0" w:after="283"/>
              <w:jc w:val="right"/>
              <w:rPr/>
            </w:pPr>
            <w:r>
              <w:rPr/>
              <w:t>34,435</w:t>
            </w:r>
          </w:p>
        </w:tc>
        <w:tc>
          <w:tcPr>
            <w:tcW w:w="132" w:type="dxa"/>
            <w:tcBorders/>
            <w:shd w:fill="auto" w:val="clear"/>
            <w:vAlign w:val="bottom"/>
          </w:tcPr>
          <w:p>
            <w:pPr>
              <w:pStyle w:val="TableContents"/>
              <w:spacing w:before="0" w:after="283"/>
              <w:rPr/>
            </w:pPr>
            <w:r>
              <w:rPr/>
              <w:t> </w:t>
            </w:r>
          </w:p>
        </w:tc>
      </w:tr>
      <w:tr>
        <w:trPr/>
        <w:tc>
          <w:tcPr>
            <w:tcW w:w="8716" w:type="dxa"/>
            <w:tcBorders/>
            <w:shd w:fill="auto" w:val="clear"/>
            <w:vAlign w:val="center"/>
          </w:tcPr>
          <w:p>
            <w:pPr>
              <w:pStyle w:val="TableContents"/>
              <w:spacing w:before="0" w:after="0"/>
              <w:ind w:left="225" w:right="0" w:hanging="225"/>
              <w:rPr/>
            </w:pPr>
            <w:r>
              <w:rPr/>
              <w:t> </w:t>
            </w:r>
          </w:p>
        </w:tc>
        <w:tc>
          <w:tcPr>
            <w:tcW w:w="500"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the amount allocated above to Other assets is the $6.7 million value of pawn licenses acquired. As these are considered indefinite lived intangible assets, they are not amortized but are tested at least annually for potential impairment.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factors contributing to the recognition of goodwill were based on several strategic and synergistic benefits we expect to realize from the acquisition. These benefits include a greater presence in a prime pawn market, a meaningful entry into the auto title loan business, increased scale and the ability to implement certain processes and practices at the acquired stores in our existing and planned other operations. The goodwill arising from this acquisition was recorded in the U.S. Pawn segment and is expected to be fully deductible for tax purposes over the fifteen years following the acquisition. The results of the acquired stores have been consolidated with our results since their acquisition. Pro forma results of operations have not been presented because the acquisition was not material to our consolidated financial position or results of operations. </w:t>
      </w:r>
    </w:p>
    <w:p>
      <w:pPr>
        <w:pStyle w:val="TextBody"/>
        <w:jc w:val="center"/>
        <w:rPr>
          <w:rFonts w:ascii="Times New Roman;Times;serif" w:hAnsi="Times New Roman;Times;serif"/>
          <w:sz w:val="17"/>
        </w:rPr>
      </w:pPr>
      <w:r>
        <w:rPr>
          <w:rFonts w:ascii="Times New Roman;Times;serif" w:hAnsi="Times New Roman;Times;serif"/>
          <w:sz w:val="17"/>
        </w:rPr>
        <w:t xml:space="preserve">61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December 31, 2008, we acquired through a merger all of the capital stock of Value Financial Services, Inc. (VFS) for a total estimated acquisition price of $77.7 million plus the assumption of VFSs debt of $30.4 million, aggregating to approximately $108.1 million. VFS operated 67 pawn stores, located mostly in Florida.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total purchase price was comprised of the issuance of approximately 4.1 million shares of EZCORPs Class A Non-voting Common Stock originally valued at $64.6 million, $13.6 million of cash paid to VFS shareholders, and transaction costs of $0.9 million, less $1.4 million of cash acquired. We estimated the fair value of the stock issued in the acquisition at $15.92 per share, based on the average daily closing market price of our stock from two days before to two days after the announcement of the merger agreement. Since the date of acquisition, the total purchase price increased approximately $0.3 million due to additional transaction related costs identified after the point of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Other assets recorded include the $4.9 million fair value of the acquired trademark and trade names and $0.6 million of favorable lease assets. As we expect to use the trademark and trade names indefinitely, they are not amortized but are tested at least annually for potential impairment. We are amortizing the favorable lease assets over the related lease terms used for straight-line rent purposes.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factors contributing to the recognition of goodwill were based on several strategic and synergistic benefits we expect to realize from the acquisition. These benefits include a greater presence in prime pawn markets including making us the largest pawn store operator in Florida, expected administrative savings, increased scale and the ability to implement certain processes and practices at the acquired company in our existing and future operations. The goodwill arising from this acquisition was recorded in the U.S. Pawn segment and is not expected to be deductible for tax purposes due to the acquisition being a stock acquisition rather than an asset acquisition.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allocated the purchase price as follows (in thousands): </w:t>
      </w:r>
    </w:p>
    <w:tbl>
      <w:tblPr>
        <w:tblW w:w="5000" w:type="pct"/>
        <w:jc w:val="center"/>
        <w:tblInd w:w="0" w:type="dxa"/>
        <w:tblCellMar>
          <w:top w:w="0" w:type="dxa"/>
          <w:left w:w="0" w:type="dxa"/>
          <w:bottom w:w="0" w:type="dxa"/>
          <w:right w:w="0" w:type="dxa"/>
        </w:tblCellMar>
      </w:tblPr>
      <w:tblGrid>
        <w:gridCol w:w="8582"/>
        <w:gridCol w:w="494"/>
        <w:gridCol w:w="157"/>
        <w:gridCol w:w="833"/>
        <w:gridCol w:w="139"/>
      </w:tblGrid>
      <w:tr>
        <w:trPr/>
        <w:tc>
          <w:tcPr>
            <w:tcW w:w="8582"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8582" w:type="dxa"/>
            <w:tcBorders/>
            <w:shd w:fill="CCEEFF" w:val="clear"/>
            <w:vAlign w:val="bottom"/>
          </w:tcPr>
          <w:p>
            <w:pPr>
              <w:pStyle w:val="TableContents"/>
              <w:spacing w:before="0" w:after="0"/>
              <w:ind w:left="225" w:right="0" w:hanging="225"/>
              <w:rPr/>
            </w:pPr>
            <w:r>
              <w:rPr/>
              <w:t>Current assets:</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8582" w:type="dxa"/>
            <w:tcBorders/>
            <w:shd w:fill="auto" w:val="clear"/>
            <w:vAlign w:val="bottom"/>
          </w:tcPr>
          <w:p>
            <w:pPr>
              <w:pStyle w:val="TableContents"/>
              <w:spacing w:before="0" w:after="0"/>
              <w:ind w:left="450" w:right="0" w:hanging="225"/>
              <w:rPr/>
            </w:pPr>
            <w:r>
              <w:rPr/>
              <w:t>Pawn loans</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17,886</w:t>
            </w:r>
          </w:p>
        </w:tc>
        <w:tc>
          <w:tcPr>
            <w:tcW w:w="139" w:type="dxa"/>
            <w:tcBorders/>
            <w:shd w:fill="auto" w:val="clear"/>
            <w:vAlign w:val="bottom"/>
          </w:tcPr>
          <w:p>
            <w:pPr>
              <w:pStyle w:val="TableContents"/>
              <w:spacing w:before="0" w:after="283"/>
              <w:rPr/>
            </w:pPr>
            <w:r>
              <w:rPr/>
              <w:t> </w:t>
            </w:r>
          </w:p>
        </w:tc>
      </w:tr>
      <w:tr>
        <w:trPr/>
        <w:tc>
          <w:tcPr>
            <w:tcW w:w="8582" w:type="dxa"/>
            <w:tcBorders/>
            <w:shd w:fill="CCEEFF" w:val="clear"/>
            <w:vAlign w:val="bottom"/>
          </w:tcPr>
          <w:p>
            <w:pPr>
              <w:pStyle w:val="TableContents"/>
              <w:spacing w:before="0" w:after="0"/>
              <w:ind w:left="450" w:right="0" w:hanging="225"/>
              <w:rPr/>
            </w:pPr>
            <w:r>
              <w:rPr/>
              <w:t>Pawn service charges receivable</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3,491</w:t>
            </w:r>
          </w:p>
        </w:tc>
        <w:tc>
          <w:tcPr>
            <w:tcW w:w="139" w:type="dxa"/>
            <w:tcBorders/>
            <w:shd w:fill="CCEEFF" w:val="clear"/>
            <w:vAlign w:val="bottom"/>
          </w:tcPr>
          <w:p>
            <w:pPr>
              <w:pStyle w:val="TableContents"/>
              <w:spacing w:before="0" w:after="283"/>
              <w:rPr/>
            </w:pPr>
            <w:r>
              <w:rPr/>
              <w:t> </w:t>
            </w:r>
          </w:p>
        </w:tc>
      </w:tr>
      <w:tr>
        <w:trPr/>
        <w:tc>
          <w:tcPr>
            <w:tcW w:w="8582" w:type="dxa"/>
            <w:tcBorders/>
            <w:shd w:fill="auto" w:val="clear"/>
            <w:vAlign w:val="bottom"/>
          </w:tcPr>
          <w:p>
            <w:pPr>
              <w:pStyle w:val="TableContents"/>
              <w:spacing w:before="0" w:after="0"/>
              <w:ind w:left="450" w:right="0" w:hanging="225"/>
              <w:rPr/>
            </w:pPr>
            <w:r>
              <w:rPr/>
              <w:t>Inventory</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16,265</w:t>
            </w:r>
          </w:p>
        </w:tc>
        <w:tc>
          <w:tcPr>
            <w:tcW w:w="139" w:type="dxa"/>
            <w:tcBorders/>
            <w:shd w:fill="auto" w:val="clear"/>
            <w:vAlign w:val="bottom"/>
          </w:tcPr>
          <w:p>
            <w:pPr>
              <w:pStyle w:val="TableContents"/>
              <w:spacing w:before="0" w:after="283"/>
              <w:rPr/>
            </w:pPr>
            <w:r>
              <w:rPr/>
              <w:t> </w:t>
            </w:r>
          </w:p>
        </w:tc>
      </w:tr>
      <w:tr>
        <w:trPr/>
        <w:tc>
          <w:tcPr>
            <w:tcW w:w="8582" w:type="dxa"/>
            <w:tcBorders/>
            <w:shd w:fill="CCEEFF" w:val="clear"/>
            <w:vAlign w:val="bottom"/>
          </w:tcPr>
          <w:p>
            <w:pPr>
              <w:pStyle w:val="TableContents"/>
              <w:spacing w:before="0" w:after="0"/>
              <w:ind w:left="450" w:right="0" w:hanging="225"/>
              <w:rPr/>
            </w:pPr>
            <w:r>
              <w:rPr/>
              <w:t>Deferred tax asset</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4,394</w:t>
            </w:r>
          </w:p>
        </w:tc>
        <w:tc>
          <w:tcPr>
            <w:tcW w:w="139" w:type="dxa"/>
            <w:tcBorders/>
            <w:shd w:fill="CCEEFF" w:val="clear"/>
            <w:vAlign w:val="bottom"/>
          </w:tcPr>
          <w:p>
            <w:pPr>
              <w:pStyle w:val="TableContents"/>
              <w:spacing w:before="0" w:after="283"/>
              <w:rPr/>
            </w:pPr>
            <w:r>
              <w:rPr/>
              <w:t> </w:t>
            </w:r>
          </w:p>
        </w:tc>
      </w:tr>
      <w:tr>
        <w:trPr/>
        <w:tc>
          <w:tcPr>
            <w:tcW w:w="8582" w:type="dxa"/>
            <w:tcBorders/>
            <w:shd w:fill="auto" w:val="clear"/>
            <w:vAlign w:val="bottom"/>
          </w:tcPr>
          <w:p>
            <w:pPr>
              <w:pStyle w:val="TableContents"/>
              <w:spacing w:before="0" w:after="0"/>
              <w:ind w:left="450" w:right="0" w:hanging="225"/>
              <w:rPr/>
            </w:pPr>
            <w:r>
              <w:rPr/>
              <w:t>Prepaid expenses and other assets</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1,438</w:t>
            </w:r>
          </w:p>
        </w:tc>
        <w:tc>
          <w:tcPr>
            <w:tcW w:w="139" w:type="dxa"/>
            <w:tcBorders/>
            <w:shd w:fill="auto" w:val="clear"/>
            <w:vAlign w:val="bottom"/>
          </w:tcPr>
          <w:p>
            <w:pPr>
              <w:pStyle w:val="TableContents"/>
              <w:spacing w:before="0" w:after="283"/>
              <w:rPr/>
            </w:pPr>
            <w:r>
              <w:rPr/>
              <w:t> </w:t>
            </w:r>
          </w:p>
        </w:tc>
      </w:tr>
      <w:tr>
        <w:trPr/>
        <w:tc>
          <w:tcPr>
            <w:tcW w:w="8582"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8582" w:type="dxa"/>
            <w:tcBorders/>
            <w:shd w:fill="CCEEFF" w:val="clear"/>
            <w:vAlign w:val="bottom"/>
          </w:tcPr>
          <w:p>
            <w:pPr>
              <w:pStyle w:val="TableContents"/>
              <w:spacing w:before="0" w:after="0"/>
              <w:ind w:left="225" w:right="0" w:hanging="225"/>
              <w:rPr/>
            </w:pPr>
            <w:r>
              <w:rPr/>
              <w:t>Total current assets</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43,474</w:t>
            </w:r>
          </w:p>
        </w:tc>
        <w:tc>
          <w:tcPr>
            <w:tcW w:w="139" w:type="dxa"/>
            <w:tcBorders/>
            <w:shd w:fill="CCEEFF" w:val="clear"/>
            <w:vAlign w:val="bottom"/>
          </w:tcPr>
          <w:p>
            <w:pPr>
              <w:pStyle w:val="TableContents"/>
              <w:spacing w:before="0" w:after="283"/>
              <w:rPr/>
            </w:pPr>
            <w:r>
              <w:rPr/>
              <w:t> </w:t>
            </w:r>
          </w:p>
        </w:tc>
      </w:tr>
      <w:tr>
        <w:trPr/>
        <w:tc>
          <w:tcPr>
            <w:tcW w:w="8582" w:type="dxa"/>
            <w:tcBorders/>
            <w:shd w:fill="auto" w:val="clear"/>
            <w:vAlign w:val="bottom"/>
          </w:tcPr>
          <w:p>
            <w:pPr>
              <w:pStyle w:val="TableContents"/>
              <w:spacing w:before="0" w:after="0"/>
              <w:ind w:left="225" w:right="0" w:hanging="225"/>
              <w:rPr/>
            </w:pPr>
            <w:r>
              <w:rPr/>
              <w:t> </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8582" w:type="dxa"/>
            <w:tcBorders/>
            <w:shd w:fill="auto" w:val="clear"/>
            <w:vAlign w:val="bottom"/>
          </w:tcPr>
          <w:p>
            <w:pPr>
              <w:pStyle w:val="TableContents"/>
              <w:spacing w:before="0" w:after="0"/>
              <w:ind w:left="450" w:right="0" w:hanging="225"/>
              <w:rPr/>
            </w:pPr>
            <w:r>
              <w:rPr/>
              <w:t>Property and equipment</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5,584</w:t>
            </w:r>
          </w:p>
        </w:tc>
        <w:tc>
          <w:tcPr>
            <w:tcW w:w="139" w:type="dxa"/>
            <w:tcBorders/>
            <w:shd w:fill="auto" w:val="clear"/>
            <w:vAlign w:val="bottom"/>
          </w:tcPr>
          <w:p>
            <w:pPr>
              <w:pStyle w:val="TableContents"/>
              <w:spacing w:before="0" w:after="283"/>
              <w:rPr/>
            </w:pPr>
            <w:r>
              <w:rPr/>
              <w:t> </w:t>
            </w:r>
          </w:p>
        </w:tc>
      </w:tr>
      <w:tr>
        <w:trPr/>
        <w:tc>
          <w:tcPr>
            <w:tcW w:w="8582" w:type="dxa"/>
            <w:tcBorders/>
            <w:shd w:fill="CCEEFF" w:val="clear"/>
            <w:vAlign w:val="bottom"/>
          </w:tcPr>
          <w:p>
            <w:pPr>
              <w:pStyle w:val="TableContents"/>
              <w:spacing w:before="0" w:after="0"/>
              <w:ind w:left="450" w:right="0" w:hanging="225"/>
              <w:rPr/>
            </w:pPr>
            <w:r>
              <w:rPr/>
              <w:t>Deferred tax asset, non-current</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690</w:t>
            </w:r>
          </w:p>
        </w:tc>
        <w:tc>
          <w:tcPr>
            <w:tcW w:w="139" w:type="dxa"/>
            <w:tcBorders/>
            <w:shd w:fill="CCEEFF" w:val="clear"/>
            <w:vAlign w:val="bottom"/>
          </w:tcPr>
          <w:p>
            <w:pPr>
              <w:pStyle w:val="TableContents"/>
              <w:spacing w:before="0" w:after="283"/>
              <w:rPr/>
            </w:pPr>
            <w:r>
              <w:rPr/>
              <w:t> </w:t>
            </w:r>
          </w:p>
        </w:tc>
      </w:tr>
      <w:tr>
        <w:trPr/>
        <w:tc>
          <w:tcPr>
            <w:tcW w:w="8582" w:type="dxa"/>
            <w:tcBorders/>
            <w:shd w:fill="auto" w:val="clear"/>
            <w:vAlign w:val="bottom"/>
          </w:tcPr>
          <w:p>
            <w:pPr>
              <w:pStyle w:val="TableContents"/>
              <w:spacing w:before="0" w:after="0"/>
              <w:ind w:left="450" w:right="0" w:hanging="225"/>
              <w:rPr/>
            </w:pPr>
            <w:r>
              <w:rPr/>
              <w:t>Goodwill</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61,877</w:t>
            </w:r>
          </w:p>
        </w:tc>
        <w:tc>
          <w:tcPr>
            <w:tcW w:w="139" w:type="dxa"/>
            <w:tcBorders/>
            <w:shd w:fill="auto" w:val="clear"/>
            <w:vAlign w:val="bottom"/>
          </w:tcPr>
          <w:p>
            <w:pPr>
              <w:pStyle w:val="TableContents"/>
              <w:spacing w:before="0" w:after="283"/>
              <w:rPr/>
            </w:pPr>
            <w:r>
              <w:rPr/>
              <w:t> </w:t>
            </w:r>
          </w:p>
        </w:tc>
      </w:tr>
      <w:tr>
        <w:trPr/>
        <w:tc>
          <w:tcPr>
            <w:tcW w:w="8582" w:type="dxa"/>
            <w:tcBorders/>
            <w:shd w:fill="CCEEFF" w:val="clear"/>
            <w:vAlign w:val="bottom"/>
          </w:tcPr>
          <w:p>
            <w:pPr>
              <w:pStyle w:val="TableContents"/>
              <w:spacing w:before="0" w:after="0"/>
              <w:ind w:left="450" w:right="0" w:hanging="225"/>
              <w:rPr/>
            </w:pPr>
            <w:r>
              <w:rPr/>
              <w:t>Other assets</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5,719</w:t>
            </w:r>
          </w:p>
        </w:tc>
        <w:tc>
          <w:tcPr>
            <w:tcW w:w="139" w:type="dxa"/>
            <w:tcBorders/>
            <w:shd w:fill="CCEEFF" w:val="clear"/>
            <w:vAlign w:val="bottom"/>
          </w:tcPr>
          <w:p>
            <w:pPr>
              <w:pStyle w:val="TableContents"/>
              <w:spacing w:before="0" w:after="283"/>
              <w:rPr/>
            </w:pPr>
            <w:r>
              <w:rPr/>
              <w:t> </w:t>
            </w:r>
          </w:p>
        </w:tc>
      </w:tr>
      <w:tr>
        <w:trPr/>
        <w:tc>
          <w:tcPr>
            <w:tcW w:w="8582"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8582" w:type="dxa"/>
            <w:tcBorders/>
            <w:shd w:fill="auto" w:val="clear"/>
            <w:vAlign w:val="bottom"/>
          </w:tcPr>
          <w:p>
            <w:pPr>
              <w:pStyle w:val="TableContents"/>
              <w:spacing w:before="0" w:after="0"/>
              <w:ind w:left="225" w:right="0" w:hanging="225"/>
              <w:rPr/>
            </w:pPr>
            <w:r>
              <w:rPr/>
              <w:t>Total assets</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117,344</w:t>
            </w:r>
          </w:p>
        </w:tc>
        <w:tc>
          <w:tcPr>
            <w:tcW w:w="139" w:type="dxa"/>
            <w:tcBorders/>
            <w:shd w:fill="auto" w:val="clear"/>
            <w:vAlign w:val="bottom"/>
          </w:tcPr>
          <w:p>
            <w:pPr>
              <w:pStyle w:val="TableContents"/>
              <w:spacing w:before="0" w:after="283"/>
              <w:rPr/>
            </w:pPr>
            <w:r>
              <w:rPr/>
              <w:t> </w:t>
            </w:r>
          </w:p>
        </w:tc>
      </w:tr>
      <w:tr>
        <w:trPr/>
        <w:tc>
          <w:tcPr>
            <w:tcW w:w="8582" w:type="dxa"/>
            <w:tcBorders/>
            <w:shd w:fill="auto" w:val="clear"/>
            <w:vAlign w:val="bottom"/>
          </w:tcPr>
          <w:p>
            <w:pPr>
              <w:pStyle w:val="TableContents"/>
              <w:spacing w:before="0" w:after="0"/>
              <w:ind w:left="225" w:right="0" w:hanging="225"/>
              <w:rPr/>
            </w:pPr>
            <w:r>
              <w:rPr/>
              <w:t> </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8582" w:type="dxa"/>
            <w:tcBorders/>
            <w:shd w:fill="CCEEFF" w:val="clear"/>
            <w:vAlign w:val="bottom"/>
          </w:tcPr>
          <w:p>
            <w:pPr>
              <w:pStyle w:val="TableContents"/>
              <w:spacing w:before="0" w:after="0"/>
              <w:ind w:left="225" w:right="0" w:hanging="225"/>
              <w:rPr/>
            </w:pPr>
            <w:r>
              <w:rPr/>
              <w:t>Current liabilities:</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8582" w:type="dxa"/>
            <w:tcBorders/>
            <w:shd w:fill="auto" w:val="clear"/>
            <w:vAlign w:val="bottom"/>
          </w:tcPr>
          <w:p>
            <w:pPr>
              <w:pStyle w:val="TableContents"/>
              <w:spacing w:before="0" w:after="0"/>
              <w:ind w:left="450" w:right="0" w:hanging="225"/>
              <w:rPr/>
            </w:pPr>
            <w:r>
              <w:rPr/>
              <w:t>Current maturities of long-term debt</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(4,000</w:t>
            </w:r>
          </w:p>
        </w:tc>
        <w:tc>
          <w:tcPr>
            <w:tcW w:w="139" w:type="dxa"/>
            <w:tcBorders/>
            <w:shd w:fill="auto" w:val="clear"/>
            <w:vAlign w:val="bottom"/>
          </w:tcPr>
          <w:p>
            <w:pPr>
              <w:pStyle w:val="TableContents"/>
              <w:spacing w:before="0" w:after="283"/>
              <w:rPr/>
            </w:pPr>
            <w:r>
              <w:rPr/>
              <w:t>)</w:t>
            </w:r>
          </w:p>
        </w:tc>
      </w:tr>
      <w:tr>
        <w:trPr/>
        <w:tc>
          <w:tcPr>
            <w:tcW w:w="8582" w:type="dxa"/>
            <w:tcBorders/>
            <w:shd w:fill="CCEEFF" w:val="clear"/>
            <w:vAlign w:val="bottom"/>
          </w:tcPr>
          <w:p>
            <w:pPr>
              <w:pStyle w:val="TableContents"/>
              <w:spacing w:before="0" w:after="0"/>
              <w:ind w:left="450" w:right="0" w:hanging="225"/>
              <w:rPr/>
            </w:pPr>
            <w:r>
              <w:rPr/>
              <w:t>Accounts payable and other accrued expenses</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33" w:type="dxa"/>
            <w:tcBorders/>
            <w:shd w:fill="CCEEFF" w:val="clear"/>
            <w:vAlign w:val="bottom"/>
          </w:tcPr>
          <w:p>
            <w:pPr>
              <w:pStyle w:val="TableContents"/>
              <w:spacing w:before="0" w:after="283"/>
              <w:jc w:val="right"/>
              <w:rPr/>
            </w:pPr>
            <w:r>
              <w:rPr/>
              <w:t>(8,404</w:t>
            </w:r>
          </w:p>
        </w:tc>
        <w:tc>
          <w:tcPr>
            <w:tcW w:w="139" w:type="dxa"/>
            <w:tcBorders/>
            <w:shd w:fill="CCEEFF" w:val="clear"/>
            <w:vAlign w:val="bottom"/>
          </w:tcPr>
          <w:p>
            <w:pPr>
              <w:pStyle w:val="TableContents"/>
              <w:spacing w:before="0" w:after="283"/>
              <w:rPr/>
            </w:pPr>
            <w:r>
              <w:rPr/>
              <w:t>)</w:t>
            </w:r>
          </w:p>
        </w:tc>
      </w:tr>
      <w:tr>
        <w:trPr/>
        <w:tc>
          <w:tcPr>
            <w:tcW w:w="8582" w:type="dxa"/>
            <w:tcBorders/>
            <w:shd w:fill="auto" w:val="clear"/>
            <w:vAlign w:val="bottom"/>
          </w:tcPr>
          <w:p>
            <w:pPr>
              <w:pStyle w:val="TableContents"/>
              <w:spacing w:before="0" w:after="0"/>
              <w:ind w:left="450" w:right="0" w:hanging="225"/>
              <w:rPr/>
            </w:pPr>
            <w:r>
              <w:rPr/>
              <w:t>Customer layaway deposits</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pPr>
            <w:r>
              <w:rPr/>
              <w:t>(872</w:t>
            </w:r>
          </w:p>
        </w:tc>
        <w:tc>
          <w:tcPr>
            <w:tcW w:w="139" w:type="dxa"/>
            <w:tcBorders/>
            <w:shd w:fill="auto" w:val="clear"/>
            <w:vAlign w:val="bottom"/>
          </w:tcPr>
          <w:p>
            <w:pPr>
              <w:pStyle w:val="TableContents"/>
              <w:spacing w:before="0" w:after="283"/>
              <w:rPr/>
            </w:pPr>
            <w:r>
              <w:rPr/>
              <w:t>)</w:t>
            </w:r>
          </w:p>
        </w:tc>
      </w:tr>
      <w:tr>
        <w:trPr/>
        <w:tc>
          <w:tcPr>
            <w:tcW w:w="8582"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8582" w:type="dxa"/>
            <w:tcBorders/>
            <w:shd w:fill="CCEEFF" w:val="clear"/>
            <w:vAlign w:val="bottom"/>
          </w:tcPr>
          <w:p>
            <w:pPr>
              <w:pStyle w:val="TableContents"/>
              <w:spacing w:before="0" w:after="0"/>
              <w:ind w:left="225" w:right="0" w:hanging="225"/>
              <w:rPr/>
            </w:pPr>
            <w:r>
              <w:rPr/>
              <w:t>Total current liabilities</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33" w:type="dxa"/>
            <w:tcBorders/>
            <w:shd w:fill="CCEEFF" w:val="clear"/>
            <w:vAlign w:val="bottom"/>
          </w:tcPr>
          <w:p>
            <w:pPr>
              <w:pStyle w:val="TableContents"/>
              <w:spacing w:before="0" w:after="283"/>
              <w:jc w:val="right"/>
              <w:rPr/>
            </w:pPr>
            <w:r>
              <w:rPr/>
              <w:t>(13,276</w:t>
            </w:r>
          </w:p>
        </w:tc>
        <w:tc>
          <w:tcPr>
            <w:tcW w:w="139" w:type="dxa"/>
            <w:tcBorders/>
            <w:shd w:fill="CCEEFF" w:val="clear"/>
            <w:vAlign w:val="bottom"/>
          </w:tcPr>
          <w:p>
            <w:pPr>
              <w:pStyle w:val="TableContents"/>
              <w:spacing w:before="0" w:after="283"/>
              <w:rPr/>
            </w:pPr>
            <w:r>
              <w:rPr/>
              <w:t>)</w:t>
            </w:r>
          </w:p>
        </w:tc>
      </w:tr>
      <w:tr>
        <w:trPr/>
        <w:tc>
          <w:tcPr>
            <w:tcW w:w="8582" w:type="dxa"/>
            <w:tcBorders/>
            <w:shd w:fill="auto" w:val="clear"/>
            <w:vAlign w:val="bottom"/>
          </w:tcPr>
          <w:p>
            <w:pPr>
              <w:pStyle w:val="TableContents"/>
              <w:spacing w:before="0" w:after="0"/>
              <w:ind w:left="225" w:right="0" w:hanging="225"/>
              <w:rPr/>
            </w:pPr>
            <w:r>
              <w:rPr/>
              <w:t> </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8582" w:type="dxa"/>
            <w:tcBorders/>
            <w:shd w:fill="auto" w:val="clear"/>
            <w:vAlign w:val="bottom"/>
          </w:tcPr>
          <w:p>
            <w:pPr>
              <w:pStyle w:val="TableContents"/>
              <w:spacing w:before="0" w:after="0"/>
              <w:ind w:left="225" w:right="0" w:hanging="225"/>
              <w:rPr/>
            </w:pPr>
            <w:r>
              <w:rPr/>
              <w:t>Long-term debt</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pPr>
            <w:r>
              <w:rPr/>
              <w:t>(26,385</w:t>
            </w:r>
          </w:p>
        </w:tc>
        <w:tc>
          <w:tcPr>
            <w:tcW w:w="139" w:type="dxa"/>
            <w:tcBorders/>
            <w:shd w:fill="auto" w:val="clear"/>
            <w:vAlign w:val="bottom"/>
          </w:tcPr>
          <w:p>
            <w:pPr>
              <w:pStyle w:val="TableContents"/>
              <w:spacing w:before="0" w:after="283"/>
              <w:rPr/>
            </w:pPr>
            <w:r>
              <w:rPr/>
              <w:t>)</w:t>
            </w:r>
          </w:p>
        </w:tc>
      </w:tr>
      <w:tr>
        <w:trPr/>
        <w:tc>
          <w:tcPr>
            <w:tcW w:w="8582"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8582" w:type="dxa"/>
            <w:tcBorders/>
            <w:shd w:fill="CCEEFF" w:val="clear"/>
            <w:vAlign w:val="bottom"/>
          </w:tcPr>
          <w:p>
            <w:pPr>
              <w:pStyle w:val="TableContents"/>
              <w:spacing w:before="0" w:after="0"/>
              <w:ind w:left="225" w:right="0" w:hanging="225"/>
              <w:rPr/>
            </w:pPr>
            <w:r>
              <w:rPr/>
              <w:t>Total liabilities</w:t>
            </w:r>
          </w:p>
        </w:tc>
        <w:tc>
          <w:tcPr>
            <w:tcW w:w="49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33" w:type="dxa"/>
            <w:tcBorders/>
            <w:shd w:fill="CCEEFF" w:val="clear"/>
            <w:vAlign w:val="bottom"/>
          </w:tcPr>
          <w:p>
            <w:pPr>
              <w:pStyle w:val="TableContents"/>
              <w:spacing w:before="0" w:after="283"/>
              <w:jc w:val="right"/>
              <w:rPr/>
            </w:pPr>
            <w:r>
              <w:rPr/>
              <w:t>(39,661</w:t>
            </w:r>
          </w:p>
        </w:tc>
        <w:tc>
          <w:tcPr>
            <w:tcW w:w="139" w:type="dxa"/>
            <w:tcBorders/>
            <w:shd w:fill="CCEEFF" w:val="clear"/>
            <w:vAlign w:val="bottom"/>
          </w:tcPr>
          <w:p>
            <w:pPr>
              <w:pStyle w:val="TableContents"/>
              <w:spacing w:before="0" w:after="283"/>
              <w:rPr/>
            </w:pPr>
            <w:r>
              <w:rPr/>
              <w:t>)</w:t>
            </w:r>
          </w:p>
        </w:tc>
      </w:tr>
      <w:tr>
        <w:trPr/>
        <w:tc>
          <w:tcPr>
            <w:tcW w:w="8582"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8582" w:type="dxa"/>
            <w:tcBorders/>
            <w:shd w:fill="auto" w:val="clear"/>
            <w:vAlign w:val="bottom"/>
          </w:tcPr>
          <w:p>
            <w:pPr>
              <w:pStyle w:val="TableContents"/>
              <w:spacing w:before="0" w:after="0"/>
              <w:ind w:left="225" w:right="0" w:hanging="225"/>
              <w:rPr/>
            </w:pPr>
            <w:r>
              <w:rPr/>
              <w:t>Net assets acquired</w:t>
            </w:r>
          </w:p>
        </w:tc>
        <w:tc>
          <w:tcPr>
            <w:tcW w:w="49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77,683</w:t>
            </w:r>
          </w:p>
        </w:tc>
        <w:tc>
          <w:tcPr>
            <w:tcW w:w="139" w:type="dxa"/>
            <w:tcBorders/>
            <w:shd w:fill="auto" w:val="clear"/>
            <w:vAlign w:val="bottom"/>
          </w:tcPr>
          <w:p>
            <w:pPr>
              <w:pStyle w:val="TableContents"/>
              <w:spacing w:before="0" w:after="283"/>
              <w:rPr/>
            </w:pPr>
            <w:r>
              <w:rPr/>
              <w:t> </w:t>
            </w:r>
          </w:p>
        </w:tc>
      </w:tr>
      <w:tr>
        <w:trPr/>
        <w:tc>
          <w:tcPr>
            <w:tcW w:w="8582"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9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total purchase price presented above excludes contingent consideration paid under the terms of the acquisition, which depended on the price at which VFS shareholders sold their EZCORP shares. After the closing of the acquisition, we paid $10.7 million of contingent consideration to VFS shareholders related to the sale of approximately 3.9 million EZCORP shares. In accordance with accounting rules for contingent payments based on </w:t>
      </w:r>
    </w:p>
    <w:p>
      <w:pPr>
        <w:pStyle w:val="TextBody"/>
        <w:jc w:val="center"/>
        <w:rPr>
          <w:rFonts w:ascii="Times New Roman;Times;serif" w:hAnsi="Times New Roman;Times;serif"/>
          <w:sz w:val="17"/>
        </w:rPr>
      </w:pPr>
      <w:r>
        <w:rPr>
          <w:rFonts w:ascii="Times New Roman;Times;serif" w:hAnsi="Times New Roman;Times;serif"/>
          <w:sz w:val="17"/>
        </w:rPr>
        <w:t xml:space="preserve">62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acquirers stock price, all contingent consideration paid was recorded as a reduction of the additional paid-in capital recorded with the stock issuance and did not change the total recorded purchase price.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results of the acquired stores have been consolidated with our results since their acquisition. The following table summarizes unaudited pro forma condensed combined statements of operations assuming the acquisition had occurred on the first day of fiscal 2009. Although VFSs historical fiscal year ended on a different date than that of EZCORP, all VFS data included in the pro forma information are actual amounts for the periods indicated.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expect and have realized operating synergies and administrative savings. These come primarily from using the best practices from EZCORP and VFS in each business, economies of scale, reduced administrative support staff and the closure of VFSs corporate offices. The pro forma information does not include any potential operating efficiencies or cost savings from expected synergies. The pro forma information is not necessarily an indication of the results that would have been achieved had the acquisition been completed as of the date indicated or that may be achieved in the future. </w:t>
      </w:r>
    </w:p>
    <w:tbl>
      <w:tblPr>
        <w:tblW w:w="5000" w:type="pct"/>
        <w:jc w:val="center"/>
        <w:tblInd w:w="0" w:type="dxa"/>
        <w:tblCellMar>
          <w:top w:w="0" w:type="dxa"/>
          <w:left w:w="0" w:type="dxa"/>
          <w:bottom w:w="0" w:type="dxa"/>
          <w:right w:w="0" w:type="dxa"/>
        </w:tblCellMar>
      </w:tblPr>
      <w:tblGrid>
        <w:gridCol w:w="7554"/>
        <w:gridCol w:w="421"/>
        <w:gridCol w:w="314"/>
        <w:gridCol w:w="1762"/>
        <w:gridCol w:w="154"/>
      </w:tblGrid>
      <w:tr>
        <w:trPr/>
        <w:tc>
          <w:tcPr>
            <w:tcW w:w="75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076" w:type="dxa"/>
            <w:gridSpan w:val="2"/>
            <w:tcBorders/>
            <w:shd w:fill="auto" w:val="clear"/>
            <w:vAlign w:val="bottom"/>
          </w:tcPr>
          <w:p>
            <w:pPr>
              <w:pStyle w:val="TableContents"/>
              <w:spacing w:before="0" w:after="283"/>
              <w:jc w:val="center"/>
              <w:rPr/>
            </w:pPr>
            <w:r>
              <w:rPr/>
              <w:t>Year Ended</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076" w:type="dxa"/>
            <w:gridSpan w:val="2"/>
            <w:tcBorders/>
            <w:shd w:fill="auto" w:val="clear"/>
            <w:vAlign w:val="bottom"/>
          </w:tcPr>
          <w:p>
            <w:pPr>
              <w:pStyle w:val="TableContents"/>
              <w:spacing w:before="0" w:after="283"/>
              <w:jc w:val="center"/>
              <w:rPr/>
            </w:pPr>
            <w:r>
              <w:rPr/>
              <w:t>September 30,</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07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076" w:type="dxa"/>
            <w:gridSpan w:val="2"/>
            <w:tcBorders/>
            <w:shd w:fill="auto" w:val="clear"/>
            <w:vAlign w:val="bottom"/>
          </w:tcPr>
          <w:p>
            <w:pPr>
              <w:pStyle w:val="TableContents"/>
              <w:spacing w:before="0" w:after="283"/>
              <w:jc w:val="center"/>
              <w:rPr>
                <w:i/>
              </w:rPr>
            </w:pPr>
            <w:r>
              <w:rPr>
                <w:i/>
              </w:rPr>
              <w:t>(Unaudited and</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076" w:type="dxa"/>
            <w:gridSpan w:val="2"/>
            <w:tcBorders/>
            <w:shd w:fill="auto" w:val="clear"/>
            <w:vAlign w:val="bottom"/>
          </w:tcPr>
          <w:p>
            <w:pPr>
              <w:pStyle w:val="TableContents"/>
              <w:spacing w:before="0" w:after="283"/>
              <w:jc w:val="center"/>
              <w:rPr>
                <w:i/>
              </w:rPr>
            </w:pPr>
            <w:r>
              <w:rPr>
                <w:i/>
              </w:rPr>
              <w:t>Pro Forma)</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076" w:type="dxa"/>
            <w:gridSpan w:val="2"/>
            <w:tcBorders/>
            <w:shd w:fill="auto" w:val="clear"/>
            <w:vAlign w:val="bottom"/>
          </w:tcPr>
          <w:p>
            <w:pPr>
              <w:pStyle w:val="TableContents"/>
              <w:spacing w:before="0" w:after="283"/>
              <w:jc w:val="center"/>
              <w:rPr>
                <w:i/>
              </w:rPr>
            </w:pPr>
            <w:r>
              <w:rPr>
                <w:i/>
              </w:rPr>
              <w:t>(In thousands, except</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076" w:type="dxa"/>
            <w:gridSpan w:val="2"/>
            <w:tcBorders/>
            <w:shd w:fill="auto" w:val="clear"/>
            <w:vAlign w:val="bottom"/>
          </w:tcPr>
          <w:p>
            <w:pPr>
              <w:pStyle w:val="TableContents"/>
              <w:spacing w:before="0" w:after="283"/>
              <w:jc w:val="center"/>
              <w:rPr>
                <w:i/>
              </w:rPr>
            </w:pPr>
            <w:r>
              <w:rPr>
                <w:i/>
              </w:rPr>
              <w:t>per share amounts)</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225" w:right="0" w:hanging="225"/>
              <w:rPr/>
            </w:pPr>
            <w:r>
              <w:rPr/>
              <w:t>Revenues:</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450" w:right="0" w:hanging="225"/>
              <w:rPr/>
            </w:pPr>
            <w:r>
              <w:rPr/>
              <w:t>Sales</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62" w:type="dxa"/>
            <w:tcBorders/>
            <w:shd w:fill="auto" w:val="clear"/>
            <w:vAlign w:val="bottom"/>
          </w:tcPr>
          <w:p>
            <w:pPr>
              <w:pStyle w:val="TableContents"/>
              <w:spacing w:before="0" w:after="283"/>
              <w:jc w:val="right"/>
              <w:rPr/>
            </w:pPr>
            <w:r>
              <w:rPr/>
              <w:t>351,511</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450" w:right="0" w:hanging="225"/>
              <w:rPr/>
            </w:pPr>
            <w:r>
              <w:rPr/>
              <w:t>Pawn service charges</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139,019</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450" w:right="0" w:hanging="225"/>
              <w:rPr/>
            </w:pPr>
            <w:r>
              <w:rPr/>
              <w:t>Signature loan fees</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right"/>
              <w:rPr/>
            </w:pPr>
            <w:r>
              <w:rPr/>
              <w:t>133,344</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450" w:right="0" w:hanging="225"/>
              <w:rPr/>
            </w:pPr>
            <w:r>
              <w:rPr/>
              <w:t>Auto title loan fees</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3,589</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450" w:right="0" w:hanging="225"/>
              <w:rPr/>
            </w:pPr>
            <w:r>
              <w:rPr/>
              <w:t>Other</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right"/>
              <w:rPr/>
            </w:pPr>
            <w:r>
              <w:rPr/>
              <w:t>7,230</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20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900" w:right="0" w:hanging="225"/>
              <w:rPr/>
            </w:pPr>
            <w:r>
              <w:rPr/>
              <w:t>Total revenues</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634,693</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Cost of goods sold</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right"/>
              <w:rPr/>
            </w:pPr>
            <w:r>
              <w:rPr/>
              <w:t>220,740</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225" w:right="0" w:hanging="225"/>
              <w:rPr/>
            </w:pPr>
            <w:r>
              <w:rPr/>
              <w:t>Signature loan bad debt</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33,553</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Auto title loan bad debt</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right"/>
              <w:rPr/>
            </w:pPr>
            <w:r>
              <w:rPr/>
              <w:t>380</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20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900" w:right="0" w:hanging="225"/>
              <w:rPr/>
            </w:pPr>
            <w:r>
              <w:rPr/>
              <w:t>Net revenues</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380,020</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Operating expenses:</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450" w:right="0" w:hanging="225"/>
              <w:rPr/>
            </w:pPr>
            <w:r>
              <w:rPr/>
              <w:t>Operations</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217,106</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450" w:right="0" w:hanging="225"/>
              <w:rPr/>
            </w:pPr>
            <w:r>
              <w:rPr/>
              <w:t>Administrative</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right"/>
              <w:rPr/>
            </w:pPr>
            <w:r>
              <w:rPr/>
              <w:t>45,854</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450" w:right="0" w:hanging="225"/>
              <w:rPr/>
            </w:pPr>
            <w:r>
              <w:rPr/>
              <w:t>Depreciation and amortization</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13,019</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450" w:right="0" w:hanging="225"/>
              <w:rPr/>
            </w:pPr>
            <w:r>
              <w:rPr/>
              <w:t>(Gain) loss on disposal of assets</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 </w:t>
            </w:r>
          </w:p>
        </w:tc>
        <w:tc>
          <w:tcPr>
            <w:tcW w:w="1762" w:type="dxa"/>
            <w:tcBorders/>
            <w:shd w:fill="auto" w:val="clear"/>
            <w:vAlign w:val="bottom"/>
          </w:tcPr>
          <w:p>
            <w:pPr>
              <w:pStyle w:val="TableContents"/>
              <w:spacing w:before="0" w:after="283"/>
              <w:jc w:val="right"/>
              <w:rPr/>
            </w:pPr>
            <w:r>
              <w:rPr/>
              <w:t>(995</w:t>
            </w:r>
          </w:p>
        </w:tc>
        <w:tc>
          <w:tcPr>
            <w:tcW w:w="154" w:type="dxa"/>
            <w:tcBorders/>
            <w:shd w:fill="auto" w:val="clear"/>
            <w:vAlign w:val="bottom"/>
          </w:tcPr>
          <w:p>
            <w:pPr>
              <w:pStyle w:val="TableContents"/>
              <w:spacing w:before="0" w:after="283"/>
              <w:rPr/>
            </w:pPr>
            <w:r>
              <w:rPr/>
              <w:t>)</w:t>
            </w:r>
          </w:p>
        </w:tc>
      </w:tr>
      <w:tr>
        <w:trPr/>
        <w:tc>
          <w:tcPr>
            <w:tcW w:w="7554"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20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900" w:right="0" w:hanging="225"/>
              <w:rPr/>
            </w:pPr>
            <w:r>
              <w:rPr/>
              <w:t>Total operating expenses</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274,984</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20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Operating income</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right"/>
              <w:rPr/>
            </w:pPr>
            <w:r>
              <w:rPr/>
              <w:t>105,036</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225" w:right="0" w:hanging="225"/>
              <w:rPr/>
            </w:pPr>
            <w:r>
              <w:rPr/>
              <w:t>Interest expense, net</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1,633</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Equity in net income of unconsolidated affiliates</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 </w:t>
            </w:r>
          </w:p>
        </w:tc>
        <w:tc>
          <w:tcPr>
            <w:tcW w:w="1762" w:type="dxa"/>
            <w:tcBorders/>
            <w:shd w:fill="auto" w:val="clear"/>
            <w:vAlign w:val="bottom"/>
          </w:tcPr>
          <w:p>
            <w:pPr>
              <w:pStyle w:val="TableContents"/>
              <w:spacing w:before="0" w:after="283"/>
              <w:jc w:val="right"/>
              <w:rPr/>
            </w:pPr>
            <w:r>
              <w:rPr/>
              <w:t>(5,016</w:t>
            </w:r>
          </w:p>
        </w:tc>
        <w:tc>
          <w:tcPr>
            <w:tcW w:w="154" w:type="dxa"/>
            <w:tcBorders/>
            <w:shd w:fill="auto" w:val="clear"/>
            <w:vAlign w:val="bottom"/>
          </w:tcPr>
          <w:p>
            <w:pPr>
              <w:pStyle w:val="TableContents"/>
              <w:spacing w:before="0" w:after="283"/>
              <w:rPr/>
            </w:pPr>
            <w:r>
              <w:rPr/>
              <w:t>)</w:t>
            </w:r>
          </w:p>
        </w:tc>
      </w:tr>
      <w:tr>
        <w:trPr/>
        <w:tc>
          <w:tcPr>
            <w:tcW w:w="7554" w:type="dxa"/>
            <w:tcBorders/>
            <w:shd w:fill="CCEEFF" w:val="clear"/>
            <w:vAlign w:val="bottom"/>
          </w:tcPr>
          <w:p>
            <w:pPr>
              <w:pStyle w:val="TableContents"/>
              <w:spacing w:before="0" w:after="0"/>
              <w:ind w:left="225" w:right="0" w:hanging="225"/>
              <w:rPr/>
            </w:pPr>
            <w:r>
              <w:rPr/>
              <w:t>Other</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38</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20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Income before income taxes</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right"/>
              <w:rPr/>
            </w:pPr>
            <w:r>
              <w:rPr/>
              <w:t>108,381</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225" w:right="0" w:hanging="225"/>
              <w:rPr/>
            </w:pPr>
            <w:r>
              <w:rPr/>
              <w:t>Income tax expense</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38,023</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20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Net income</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62" w:type="dxa"/>
            <w:tcBorders/>
            <w:shd w:fill="auto" w:val="clear"/>
            <w:vAlign w:val="bottom"/>
          </w:tcPr>
          <w:p>
            <w:pPr>
              <w:pStyle w:val="TableContents"/>
              <w:spacing w:before="0" w:after="283"/>
              <w:jc w:val="right"/>
              <w:rPr/>
            </w:pPr>
            <w:r>
              <w:rPr/>
              <w:t>70,358</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20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225" w:right="0" w:hanging="225"/>
              <w:rPr/>
            </w:pPr>
            <w:r>
              <w:rPr/>
              <w:t>Net income per common share:</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450" w:right="0" w:hanging="225"/>
              <w:rPr/>
            </w:pPr>
            <w:r>
              <w:rPr/>
              <w:t>Basic</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left"/>
              <w:rPr/>
            </w:pPr>
            <w:r>
              <w:rPr/>
              <w:t>$</w:t>
            </w:r>
          </w:p>
        </w:tc>
        <w:tc>
          <w:tcPr>
            <w:tcW w:w="1762" w:type="dxa"/>
            <w:tcBorders/>
            <w:shd w:fill="auto" w:val="clear"/>
            <w:vAlign w:val="bottom"/>
          </w:tcPr>
          <w:p>
            <w:pPr>
              <w:pStyle w:val="TableContents"/>
              <w:spacing w:before="0" w:after="283"/>
              <w:jc w:val="right"/>
              <w:rPr/>
            </w:pPr>
            <w:r>
              <w:rPr/>
              <w:t>1.45</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20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450" w:right="0" w:hanging="225"/>
              <w:rPr/>
            </w:pPr>
            <w:r>
              <w:rPr/>
              <w:t>Diluted</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jc w:val="left"/>
              <w:rPr/>
            </w:pPr>
            <w:r>
              <w:rPr/>
              <w:t>$</w:t>
            </w:r>
          </w:p>
        </w:tc>
        <w:tc>
          <w:tcPr>
            <w:tcW w:w="1762" w:type="dxa"/>
            <w:tcBorders/>
            <w:shd w:fill="CCEEFF" w:val="clear"/>
            <w:vAlign w:val="bottom"/>
          </w:tcPr>
          <w:p>
            <w:pPr>
              <w:pStyle w:val="TableContents"/>
              <w:spacing w:before="0" w:after="283"/>
              <w:jc w:val="right"/>
              <w:rPr/>
            </w:pPr>
            <w:r>
              <w:rPr/>
              <w:t>1.43</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center"/>
          </w:tcPr>
          <w:p>
            <w:pPr>
              <w:pStyle w:val="TableContents"/>
              <w:spacing w:before="0" w:after="0"/>
              <w:ind w:left="225" w:right="0" w:hanging="225"/>
              <w:rPr/>
            </w:pPr>
            <w:r>
              <w:rPr/>
              <w:t> </w:t>
            </w:r>
          </w:p>
        </w:tc>
        <w:tc>
          <w:tcPr>
            <w:tcW w:w="421" w:type="dxa"/>
            <w:tcBorders/>
            <w:shd w:fill="auto" w:val="clear"/>
            <w:vAlign w:val="center"/>
          </w:tcPr>
          <w:p>
            <w:pPr>
              <w:pStyle w:val="TableContents"/>
              <w:spacing w:before="0" w:after="283"/>
              <w:rPr/>
            </w:pPr>
            <w:r>
              <w:rPr/>
              <w:t> </w:t>
            </w:r>
          </w:p>
        </w:tc>
        <w:tc>
          <w:tcPr>
            <w:tcW w:w="20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 </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225" w:right="0" w:hanging="225"/>
              <w:rPr/>
            </w:pPr>
            <w:r>
              <w:rPr/>
              <w:t>Weighted average shares outstanding:</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554" w:type="dxa"/>
            <w:tcBorders/>
            <w:shd w:fill="CCEEFF" w:val="clear"/>
            <w:vAlign w:val="bottom"/>
          </w:tcPr>
          <w:p>
            <w:pPr>
              <w:pStyle w:val="TableContents"/>
              <w:spacing w:before="0" w:after="0"/>
              <w:ind w:left="450" w:right="0" w:hanging="225"/>
              <w:rPr/>
            </w:pPr>
            <w:r>
              <w:rPr/>
              <w:t>Basic</w:t>
            </w:r>
          </w:p>
        </w:tc>
        <w:tc>
          <w:tcPr>
            <w:tcW w:w="421"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762" w:type="dxa"/>
            <w:tcBorders/>
            <w:shd w:fill="CCEEFF" w:val="clear"/>
            <w:vAlign w:val="bottom"/>
          </w:tcPr>
          <w:p>
            <w:pPr>
              <w:pStyle w:val="TableContents"/>
              <w:spacing w:before="0" w:after="283"/>
              <w:jc w:val="right"/>
              <w:rPr/>
            </w:pPr>
            <w:r>
              <w:rPr/>
              <w:t>48,384</w:t>
            </w:r>
          </w:p>
        </w:tc>
        <w:tc>
          <w:tcPr>
            <w:tcW w:w="154"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ind w:left="450" w:right="0" w:hanging="225"/>
              <w:rPr/>
            </w:pPr>
            <w:r>
              <w:rPr/>
              <w:t>Diluted</w:t>
            </w:r>
          </w:p>
        </w:tc>
        <w:tc>
          <w:tcPr>
            <w:tcW w:w="421"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762" w:type="dxa"/>
            <w:tcBorders/>
            <w:shd w:fill="auto" w:val="clear"/>
            <w:vAlign w:val="bottom"/>
          </w:tcPr>
          <w:p>
            <w:pPr>
              <w:pStyle w:val="TableContents"/>
              <w:spacing w:before="0" w:after="283"/>
              <w:jc w:val="right"/>
              <w:rPr/>
            </w:pPr>
            <w:r>
              <w:rPr/>
              <w:t>49,088</w:t>
            </w:r>
          </w:p>
        </w:tc>
        <w:tc>
          <w:tcPr>
            <w:tcW w:w="154"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Between June and September 2010, we acquired five pawn stores located in the Chicago metropolitan area, eight pawn stores located in Central and South Florida, two pawn stores located in Corpus Christi, Texas and one pawn store in Las Vegas, Nevada for approximately $21.8 million in cash. The stores were acquired from five separate sellers, and all were acquired as part of our continuing strategy to acquire domestic pawn stores to enhance our earnings. We recorded approximately $4.9 million of net tangible assets and $1.0 million of intangible assets attributable to non-compete agreements and a pawn license. Goodwill of $15.9 million, which is expected to be fully tax deductible, was recorded in the U.S. Pawn Operations segment as part of these acquisitions. The factors contributing to the recognition of goodwill were based on several strategic and synergistic benefits we expect to realize from the acquisitions. These benefits include our initial entry into Chicago, increased scale and the ability to implement certain processes and practices at the acquired stores in our existing and planned other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Transaction related expenses were not material and were expensed as incurred. The results of all acquired stores have been consolidated with our results since their acquisition. The purchase price allocation is preliminary as we continue to receive information regarding the acquired assets. Pro forma results of operations have not been presented because the acquisitions were not significant on either an individual or an aggregate basis.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C: Earnings Per Share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warrants and restricted stock awards. All outstanding warrants expired July 25, 2009 and are no longer dilutive.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Certain potential common shares have been excluded from the computation of diluted earnings per share because the assumed proceeds upon exercise or vest, as defined by FASB ASC 718-10-25, were greater than the cost to re-acquire the same number of shares at the average market price, and therefore the effect would be anti-dilutive.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Components of basic and diluted earnings per share and excluded anti-dilutive potential common shares are as follows (</w:t>
      </w:r>
      <w:r>
        <w:rPr>
          <w:rFonts w:ascii="Times New Roman;Times;serif" w:hAnsi="Times New Roman;Times;serif"/>
          <w:i/>
          <w:sz w:val="17"/>
        </w:rPr>
        <w:t>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962"/>
        <w:gridCol w:w="461"/>
        <w:gridCol w:w="141"/>
        <w:gridCol w:w="700"/>
        <w:gridCol w:w="110"/>
        <w:gridCol w:w="461"/>
        <w:gridCol w:w="141"/>
        <w:gridCol w:w="700"/>
        <w:gridCol w:w="110"/>
        <w:gridCol w:w="461"/>
        <w:gridCol w:w="141"/>
        <w:gridCol w:w="700"/>
        <w:gridCol w:w="117"/>
      </w:tblGrid>
      <w:tr>
        <w:trPr/>
        <w:tc>
          <w:tcPr>
            <w:tcW w:w="5962"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3665"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17"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225" w:right="0" w:hanging="225"/>
              <w:rPr/>
            </w:pPr>
            <w:r>
              <w:rPr/>
              <w:t>Net income (A)</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97,294</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68,472</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52,429</w:t>
            </w:r>
          </w:p>
        </w:tc>
        <w:tc>
          <w:tcPr>
            <w:tcW w:w="117" w:type="dxa"/>
            <w:tcBorders/>
            <w:shd w:fill="CCEEFF"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Weighted average outstanding shares of common stock (B)</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49,033</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47,372</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41,396</w:t>
            </w:r>
          </w:p>
        </w:tc>
        <w:tc>
          <w:tcPr>
            <w:tcW w:w="117"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225" w:right="0" w:hanging="225"/>
              <w:rPr/>
            </w:pPr>
            <w:r>
              <w:rPr/>
              <w:t>Dilutive effect of stock options, warrants, and restricted stock</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543</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704</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1,931</w:t>
            </w:r>
          </w:p>
        </w:tc>
        <w:tc>
          <w:tcPr>
            <w:tcW w:w="117" w:type="dxa"/>
            <w:tcBorders/>
            <w:shd w:fill="CCEEFF"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Weighted average common stock and common stock equivalents (C)</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49,576</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48,076</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43,327</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225" w:right="0" w:hanging="225"/>
              <w:rPr/>
            </w:pPr>
            <w:r>
              <w:rPr/>
              <w:t>Basic earnings per share (A/B)</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1.98</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1.45</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1.27</w:t>
            </w:r>
          </w:p>
        </w:tc>
        <w:tc>
          <w:tcPr>
            <w:tcW w:w="117" w:type="dxa"/>
            <w:tcBorders/>
            <w:shd w:fill="CCEEFF"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Diluted earnings per share (A/C)</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1.96</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1.42</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1.21</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225" w:right="0" w:hanging="225"/>
              <w:rPr/>
            </w:pPr>
            <w:r>
              <w:rPr/>
              <w:t>Potential common shares excluded from the calculation of diluted earnings per share</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15</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124</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2</w:t>
            </w:r>
          </w:p>
        </w:tc>
        <w:tc>
          <w:tcPr>
            <w:tcW w:w="117"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D: Strategic Investments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2010, we owned 16,644,640 common shares of Albemarle &amp; Bond Holdings, PLC,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w:t>
      </w:r>
    </w:p>
    <w:p>
      <w:pPr>
        <w:pStyle w:val="TextBody"/>
        <w:jc w:val="center"/>
        <w:rPr>
          <w:rFonts w:ascii="Times New Roman;Times;serif" w:hAnsi="Times New Roman;Times;serif"/>
          <w:sz w:val="17"/>
        </w:rPr>
      </w:pPr>
      <w:r>
        <w:rPr>
          <w:rFonts w:ascii="Times New Roman;Times;serif" w:hAnsi="Times New Roman;Times;serif"/>
          <w:sz w:val="17"/>
        </w:rPr>
        <w:t xml:space="preserve">64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months prior to ours, we report the income from this investment on a three-month lag. Albemarle &amp; Bond files semi-annual financial reports for its fiscal periods ending December 31 and June 30. The income reported for our fiscal year ended September 30, 2010 represents our percentage interest in the results of Albemarle &amp; Bonds operations from July 1, 2009 to June 30, 2010. In fiscal 2010, 2009 and 2008, we received dividends from Albemarle &amp; Bond of $2.3 million, $1.6 million and $1.8 million. Albemarle &amp; Bonds accumulated undistributed after-tax earnings included in our consolidated retained earnings were $19.4 million at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Conversion of Albemarle &amp; Bonds financial statements into US Generally Accepted Accounting Principles (GAAP) resulted in no material differences from those reported by Albemarle &amp; Bond following International Financial Reporting Standards.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British pounds, Albemarle &amp; Bonds total assets increased 7% from June 30, 2009 to June 30, 2010 and its net income improved 35% for the year ended June 30, 2010. Below is summarized financial information for Albemarle &amp; Bonds most recently reported results after translation to U.S. dollars (using the exchange rate as of June 30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17"/>
        <w:gridCol w:w="458"/>
        <w:gridCol w:w="153"/>
        <w:gridCol w:w="816"/>
        <w:gridCol w:w="114"/>
        <w:gridCol w:w="458"/>
        <w:gridCol w:w="153"/>
        <w:gridCol w:w="816"/>
        <w:gridCol w:w="120"/>
      </w:tblGrid>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June 30,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0"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Current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97,476</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102,034</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Non-current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52,325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51,980</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149,801</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154,014</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Current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17,898</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13,247</w:t>
            </w:r>
          </w:p>
        </w:tc>
        <w:tc>
          <w:tcPr>
            <w:tcW w:w="120" w:type="dxa"/>
            <w:tcBorders/>
            <w:shd w:fill="auto" w:val="clear"/>
            <w:vAlign w:val="bottom"/>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225" w:right="0" w:hanging="225"/>
              <w:rPr/>
            </w:pPr>
            <w:r>
              <w:rPr/>
              <w:t>Non-current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42,078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55,729</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bottom"/>
          </w:tcPr>
          <w:p>
            <w:pPr>
              <w:pStyle w:val="TableContents"/>
              <w:spacing w:before="0" w:after="0"/>
              <w:ind w:left="225" w:right="0" w:hanging="225"/>
              <w:rPr/>
            </w:pPr>
            <w:r>
              <w:rPr/>
              <w:t>Shareholders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89,825</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85,038</w:t>
            </w:r>
          </w:p>
        </w:tc>
        <w:tc>
          <w:tcPr>
            <w:tcW w:w="120" w:type="dxa"/>
            <w:tcBorders/>
            <w:shd w:fill="auto"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17" w:type="dxa"/>
            <w:tcBorders/>
            <w:shd w:fill="CCEEFF" w:val="clear"/>
            <w:vAlign w:val="bottom"/>
          </w:tcPr>
          <w:p>
            <w:pPr>
              <w:pStyle w:val="TableContents"/>
              <w:spacing w:before="0" w:after="0"/>
              <w:ind w:left="450" w:right="0" w:hanging="225"/>
              <w:rPr/>
            </w:pPr>
            <w:r>
              <w:rPr/>
              <w:t>Total liabilities and shareholders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149,801</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154,014</w:t>
            </w:r>
          </w:p>
        </w:tc>
        <w:tc>
          <w:tcPr>
            <w:tcW w:w="120" w:type="dxa"/>
            <w:tcBorders/>
            <w:shd w:fill="CCEEFF" w:val="clear"/>
            <w:vAlign w:val="bottom"/>
          </w:tcPr>
          <w:p>
            <w:pPr>
              <w:pStyle w:val="TableContents"/>
              <w:spacing w:before="0" w:after="283"/>
              <w:rPr/>
            </w:pPr>
            <w:r>
              <w:rPr/>
              <w:t> </w:t>
            </w:r>
          </w:p>
        </w:tc>
      </w:tr>
      <w:tr>
        <w:trPr/>
        <w:tc>
          <w:tcPr>
            <w:tcW w:w="7117"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736"/>
        <w:gridCol w:w="451"/>
        <w:gridCol w:w="152"/>
        <w:gridCol w:w="811"/>
        <w:gridCol w:w="113"/>
        <w:gridCol w:w="451"/>
        <w:gridCol w:w="152"/>
        <w:gridCol w:w="752"/>
        <w:gridCol w:w="113"/>
        <w:gridCol w:w="451"/>
        <w:gridCol w:w="152"/>
        <w:gridCol w:w="752"/>
        <w:gridCol w:w="119"/>
      </w:tblGrid>
      <w:tr>
        <w:trPr/>
        <w:tc>
          <w:tcPr>
            <w:tcW w:w="5736"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736"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899"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June 30,</w:t>
            </w:r>
          </w:p>
        </w:tc>
        <w:tc>
          <w:tcPr>
            <w:tcW w:w="119" w:type="dxa"/>
            <w:tcBorders/>
            <w:shd w:fill="auto" w:val="clear"/>
            <w:vAlign w:val="bottom"/>
          </w:tcPr>
          <w:p>
            <w:pPr>
              <w:pStyle w:val="TableContents"/>
              <w:spacing w:before="0" w:after="283"/>
              <w:rPr/>
            </w:pPr>
            <w:r>
              <w:rPr/>
              <w:t> </w:t>
            </w:r>
          </w:p>
        </w:tc>
      </w:tr>
      <w:tr>
        <w:trPr/>
        <w:tc>
          <w:tcPr>
            <w:tcW w:w="5736"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963"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90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90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19" w:type="dxa"/>
            <w:tcBorders/>
            <w:shd w:fill="auto" w:val="clear"/>
            <w:vAlign w:val="bottom"/>
          </w:tcPr>
          <w:p>
            <w:pPr>
              <w:pStyle w:val="TableContents"/>
              <w:spacing w:before="0" w:after="283"/>
              <w:rPr/>
            </w:pPr>
            <w:r>
              <w:rPr/>
              <w:t> </w:t>
            </w:r>
          </w:p>
        </w:tc>
      </w:tr>
      <w:tr>
        <w:trPr/>
        <w:tc>
          <w:tcPr>
            <w:tcW w:w="5736"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899" w:type="dxa"/>
            <w:gridSpan w:val="10"/>
            <w:tcBorders/>
            <w:shd w:fill="auto" w:val="clear"/>
            <w:vAlign w:val="bottom"/>
          </w:tcPr>
          <w:p>
            <w:pPr>
              <w:pStyle w:val="TableContents"/>
              <w:spacing w:before="0" w:after="283"/>
              <w:jc w:val="center"/>
              <w:rPr>
                <w:i/>
              </w:rPr>
            </w:pPr>
            <w:r>
              <w:rPr>
                <w:i/>
              </w:rPr>
              <w:t>(In thousands)</w:t>
            </w:r>
          </w:p>
        </w:tc>
        <w:tc>
          <w:tcPr>
            <w:tcW w:w="119" w:type="dxa"/>
            <w:tcBorders/>
            <w:shd w:fill="auto" w:val="clear"/>
            <w:vAlign w:val="bottom"/>
          </w:tcPr>
          <w:p>
            <w:pPr>
              <w:pStyle w:val="TableContents"/>
              <w:spacing w:before="0" w:after="283"/>
              <w:rPr/>
            </w:pPr>
            <w:r>
              <w:rPr/>
              <w:t> </w:t>
            </w:r>
          </w:p>
        </w:tc>
      </w:tr>
      <w:tr>
        <w:trPr/>
        <w:tc>
          <w:tcPr>
            <w:tcW w:w="5736" w:type="dxa"/>
            <w:tcBorders/>
            <w:shd w:fill="CCEEFF" w:val="clear"/>
            <w:vAlign w:val="bottom"/>
          </w:tcPr>
          <w:p>
            <w:pPr>
              <w:pStyle w:val="TableContents"/>
              <w:spacing w:before="0" w:after="0"/>
              <w:ind w:left="225" w:right="0" w:hanging="225"/>
              <w:rPr/>
            </w:pPr>
            <w:r>
              <w:rPr/>
              <w:t>Turnover (gross revenues)</w:t>
            </w:r>
          </w:p>
        </w:tc>
        <w:tc>
          <w:tcPr>
            <w:tcW w:w="45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129,794</w:t>
            </w:r>
          </w:p>
        </w:tc>
        <w:tc>
          <w:tcPr>
            <w:tcW w:w="113"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2" w:type="dxa"/>
            <w:tcBorders/>
            <w:shd w:fill="CCEEFF" w:val="clear"/>
            <w:vAlign w:val="bottom"/>
          </w:tcPr>
          <w:p>
            <w:pPr>
              <w:pStyle w:val="TableContents"/>
              <w:spacing w:before="0" w:after="283"/>
              <w:jc w:val="right"/>
              <w:rPr/>
            </w:pPr>
            <w:r>
              <w:rPr/>
              <w:t>89,712</w:t>
            </w:r>
          </w:p>
        </w:tc>
        <w:tc>
          <w:tcPr>
            <w:tcW w:w="113"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52" w:type="dxa"/>
            <w:tcBorders/>
            <w:shd w:fill="CCEEFF" w:val="clear"/>
            <w:vAlign w:val="bottom"/>
          </w:tcPr>
          <w:p>
            <w:pPr>
              <w:pStyle w:val="TableContents"/>
              <w:spacing w:before="0" w:after="283"/>
              <w:jc w:val="right"/>
              <w:rPr/>
            </w:pPr>
            <w:r>
              <w:rPr/>
              <w:t>93,914</w:t>
            </w:r>
          </w:p>
        </w:tc>
        <w:tc>
          <w:tcPr>
            <w:tcW w:w="119" w:type="dxa"/>
            <w:tcBorders/>
            <w:shd w:fill="CCEEFF" w:val="clear"/>
            <w:vAlign w:val="bottom"/>
          </w:tcPr>
          <w:p>
            <w:pPr>
              <w:pStyle w:val="TableContents"/>
              <w:spacing w:before="0" w:after="283"/>
              <w:rPr/>
            </w:pPr>
            <w:r>
              <w:rPr/>
              <w:t> </w:t>
            </w:r>
          </w:p>
        </w:tc>
      </w:tr>
      <w:tr>
        <w:trPr/>
        <w:tc>
          <w:tcPr>
            <w:tcW w:w="5736" w:type="dxa"/>
            <w:tcBorders/>
            <w:shd w:fill="auto" w:val="clear"/>
            <w:vAlign w:val="bottom"/>
          </w:tcPr>
          <w:p>
            <w:pPr>
              <w:pStyle w:val="TableContents"/>
              <w:spacing w:before="0" w:after="0"/>
              <w:ind w:left="225" w:right="0" w:hanging="225"/>
              <w:rPr/>
            </w:pPr>
            <w:r>
              <w:rPr/>
              <w:t>Gross profit</w:t>
            </w:r>
          </w:p>
        </w:tc>
        <w:tc>
          <w:tcPr>
            <w:tcW w:w="45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84,850</w:t>
            </w:r>
          </w:p>
        </w:tc>
        <w:tc>
          <w:tcPr>
            <w:tcW w:w="11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68,572</w:t>
            </w:r>
          </w:p>
        </w:tc>
        <w:tc>
          <w:tcPr>
            <w:tcW w:w="11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72,996</w:t>
            </w:r>
          </w:p>
        </w:tc>
        <w:tc>
          <w:tcPr>
            <w:tcW w:w="119" w:type="dxa"/>
            <w:tcBorders/>
            <w:shd w:fill="auto" w:val="clear"/>
            <w:vAlign w:val="bottom"/>
          </w:tcPr>
          <w:p>
            <w:pPr>
              <w:pStyle w:val="TableContents"/>
              <w:spacing w:before="0" w:after="283"/>
              <w:rPr/>
            </w:pPr>
            <w:r>
              <w:rPr/>
              <w:t> </w:t>
            </w:r>
          </w:p>
        </w:tc>
      </w:tr>
      <w:tr>
        <w:trPr/>
        <w:tc>
          <w:tcPr>
            <w:tcW w:w="5736" w:type="dxa"/>
            <w:tcBorders/>
            <w:shd w:fill="CCEEFF" w:val="clear"/>
            <w:vAlign w:val="bottom"/>
          </w:tcPr>
          <w:p>
            <w:pPr>
              <w:pStyle w:val="TableContents"/>
              <w:spacing w:before="0" w:after="0"/>
              <w:ind w:left="225" w:right="0" w:hanging="225"/>
              <w:rPr/>
            </w:pPr>
            <w:r>
              <w:rPr/>
              <w:t>Profit for the year (net income)</w:t>
            </w:r>
          </w:p>
        </w:tc>
        <w:tc>
          <w:tcPr>
            <w:tcW w:w="45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22,792</w:t>
            </w:r>
          </w:p>
        </w:tc>
        <w:tc>
          <w:tcPr>
            <w:tcW w:w="113"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17,239</w:t>
            </w:r>
          </w:p>
        </w:tc>
        <w:tc>
          <w:tcPr>
            <w:tcW w:w="113"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14,503</w:t>
            </w:r>
          </w:p>
        </w:tc>
        <w:tc>
          <w:tcPr>
            <w:tcW w:w="119"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2010, the recorded balance of our investment in Albemarle &amp; Bond, accounted for on the equity method, was $43.1 million. Because Albemarle &amp; Bond publicly reports its financial results only semi-annually as of June 30 and December 31, the latest Albemarle &amp; Bond figures available are as of June 30, 2010, at which point our equity in net assets of Albemarle &amp; Bond was $26.9 million. The difference between the recorded balance and our equity in Albemarle &amp; Bonds net assets represents the $10.0 million of unamortized goodwill, plus the cumulative difference resulting from Albemarle &amp; Bonds earnings, dividend payments and translation gains and losses since the dates of investment.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November 6, 2009, we acquired 108,218,000 newly issued shares, or approximately 29.8% of the capital stock of Cash Converters International Limited, a publicly traded company headquartered in Perth, Australia. We paid AUS $0.50 per share, for a total cash investment of AUS $54.1 million (approximately U.S. $49.6 million including direct transaction costs). We acquired 16,200,000 additional shares on May 20, 2010 at a cost of AUS $9.7 million (approximately U.S. $8.2 million), which increased our ownership level to 32.8%. Cash Converters franchises and operates a worldwide network of over 500 locations that provide financial services and sell pre-owned merchandise. Cash Converters has significant store concentrations in Australia and the United Kingdom. </w:t>
      </w:r>
    </w:p>
    <w:p>
      <w:pPr>
        <w:pStyle w:val="TextBody"/>
        <w:jc w:val="center"/>
        <w:rPr>
          <w:rFonts w:ascii="Times New Roman;Times;serif" w:hAnsi="Times New Roman;Times;serif"/>
          <w:sz w:val="17"/>
        </w:rPr>
      </w:pPr>
      <w:r>
        <w:rPr>
          <w:rFonts w:ascii="Times New Roman;Times;serif" w:hAnsi="Times New Roman;Times;serif"/>
          <w:sz w:val="17"/>
        </w:rPr>
        <w:t xml:space="preserve">65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Due to the three-month lag, our results for the twelve-month period ended September 30, 2010 include our percentage interest in Cash Converters 237 days of earnings from November 6, 2009 to June 30, 2010. This amount was estimated through daily proration of Cash Converters reported results for the twelve months ended June 30, 2010. In fiscal 2010, we received dividends from Cash Converters of $1.5 million. Cash Converters accumulated undistributed after-tax earnings included in our consolidated retained earnings were $2.4 million at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Conversion of Cash Converters financial statements into US GAAP resulted in no material differences from those reported by Cash Converters following International Financial Reporting Standards.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its functional currency of Australian dollars, Cash Converters total assets increased 72% from June 30, 2009 to June 30, 2010 and its net income improved 34% for the year ended June 30, 2010. Below is summarized financial information for Cash Converters most recently reported results after translation to U.S. dollars (using the exchange rate as of June 30 of each year for balance sheet items and average exchange rates for the income statement items for the periods indicated): </w:t>
      </w:r>
    </w:p>
    <w:tbl>
      <w:tblPr>
        <w:tblW w:w="5000" w:type="pct"/>
        <w:jc w:val="center"/>
        <w:tblInd w:w="0" w:type="dxa"/>
        <w:tblCellMar>
          <w:top w:w="0" w:type="dxa"/>
          <w:left w:w="0" w:type="dxa"/>
          <w:bottom w:w="0" w:type="dxa"/>
          <w:right w:w="0" w:type="dxa"/>
        </w:tblCellMar>
      </w:tblPr>
      <w:tblGrid>
        <w:gridCol w:w="7196"/>
        <w:gridCol w:w="464"/>
        <w:gridCol w:w="150"/>
        <w:gridCol w:w="800"/>
        <w:gridCol w:w="114"/>
        <w:gridCol w:w="464"/>
        <w:gridCol w:w="150"/>
        <w:gridCol w:w="746"/>
        <w:gridCol w:w="121"/>
      </w:tblGrid>
      <w:tr>
        <w:trPr/>
        <w:tc>
          <w:tcPr>
            <w:tcW w:w="7196"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424"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June 30,</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89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424" w:type="dxa"/>
            <w:gridSpan w:val="6"/>
            <w:tcBorders/>
            <w:shd w:fill="auto" w:val="clear"/>
            <w:vAlign w:val="bottom"/>
          </w:tcPr>
          <w:p>
            <w:pPr>
              <w:pStyle w:val="TableContents"/>
              <w:spacing w:before="0" w:after="283"/>
              <w:jc w:val="center"/>
              <w:rPr>
                <w:i/>
              </w:rPr>
            </w:pPr>
            <w:r>
              <w:rPr>
                <w:i/>
              </w:rPr>
              <w:t>(In thousands)</w:t>
            </w:r>
          </w:p>
        </w:tc>
        <w:tc>
          <w:tcPr>
            <w:tcW w:w="121" w:type="dxa"/>
            <w:tcBorders/>
            <w:shd w:fill="auto" w:val="clear"/>
            <w:vAlign w:val="bottom"/>
          </w:tcPr>
          <w:p>
            <w:pPr>
              <w:pStyle w:val="TableContents"/>
              <w:spacing w:before="0" w:after="283"/>
              <w:rPr/>
            </w:pPr>
            <w:r>
              <w:rPr/>
              <w:t> </w:t>
            </w:r>
          </w:p>
        </w:tc>
      </w:tr>
      <w:tr>
        <w:trPr/>
        <w:tc>
          <w:tcPr>
            <w:tcW w:w="7196" w:type="dxa"/>
            <w:tcBorders/>
            <w:shd w:fill="CCEEFF" w:val="clear"/>
            <w:vAlign w:val="bottom"/>
          </w:tcPr>
          <w:p>
            <w:pPr>
              <w:pStyle w:val="TableContents"/>
              <w:spacing w:before="0" w:after="0"/>
              <w:ind w:left="225" w:right="0" w:hanging="225"/>
              <w:rPr/>
            </w:pPr>
            <w:r>
              <w:rPr/>
              <w:t>Current assets</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96,489</w:t>
            </w:r>
          </w:p>
        </w:tc>
        <w:tc>
          <w:tcPr>
            <w:tcW w:w="11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37,477</w:t>
            </w:r>
          </w:p>
        </w:tc>
        <w:tc>
          <w:tcPr>
            <w:tcW w:w="121" w:type="dxa"/>
            <w:tcBorders/>
            <w:shd w:fill="CCEEFF"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0"/>
              <w:ind w:left="225" w:right="0" w:hanging="225"/>
              <w:rPr/>
            </w:pPr>
            <w:r>
              <w:rPr/>
              <w:t>Non-current assets</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72,408</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54,900</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center"/>
          </w:tcPr>
          <w:p>
            <w:pPr>
              <w:pStyle w:val="TableContents"/>
              <w:spacing w:before="0" w:after="0"/>
              <w:ind w:left="225" w:right="0" w:hanging="225"/>
              <w:rPr/>
            </w:pPr>
            <w:r>
              <w:rPr/>
              <w:t> </w:t>
            </w:r>
          </w:p>
        </w:tc>
        <w:tc>
          <w:tcPr>
            <w:tcW w:w="464"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8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7196" w:type="dxa"/>
            <w:tcBorders/>
            <w:shd w:fill="CCEEFF" w:val="clear"/>
            <w:vAlign w:val="bottom"/>
          </w:tcPr>
          <w:p>
            <w:pPr>
              <w:pStyle w:val="TableContents"/>
              <w:spacing w:before="0" w:after="0"/>
              <w:ind w:left="450" w:right="0" w:hanging="225"/>
              <w:rPr/>
            </w:pPr>
            <w:r>
              <w:rPr/>
              <w:t>Total assets</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168,897</w:t>
            </w:r>
          </w:p>
        </w:tc>
        <w:tc>
          <w:tcPr>
            <w:tcW w:w="11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92,377</w:t>
            </w:r>
          </w:p>
        </w:tc>
        <w:tc>
          <w:tcPr>
            <w:tcW w:w="121" w:type="dxa"/>
            <w:tcBorders/>
            <w:shd w:fill="CCEEFF" w:val="clear"/>
            <w:vAlign w:val="bottom"/>
          </w:tcPr>
          <w:p>
            <w:pPr>
              <w:pStyle w:val="TableContents"/>
              <w:spacing w:before="0" w:after="283"/>
              <w:rPr/>
            </w:pPr>
            <w:r>
              <w:rPr/>
              <w:t> </w:t>
            </w:r>
          </w:p>
        </w:tc>
      </w:tr>
      <w:tr>
        <w:trPr/>
        <w:tc>
          <w:tcPr>
            <w:tcW w:w="7196" w:type="dxa"/>
            <w:tcBorders/>
            <w:shd w:fill="auto" w:val="clear"/>
            <w:vAlign w:val="center"/>
          </w:tcPr>
          <w:p>
            <w:pPr>
              <w:pStyle w:val="TableContents"/>
              <w:spacing w:before="0" w:after="0"/>
              <w:ind w:left="225" w:right="0" w:hanging="225"/>
              <w:rPr/>
            </w:pPr>
            <w:r>
              <w:rPr/>
              <w:t> </w:t>
            </w:r>
          </w:p>
        </w:tc>
        <w:tc>
          <w:tcPr>
            <w:tcW w:w="464" w:type="dxa"/>
            <w:tcBorders/>
            <w:shd w:fill="auto" w:val="clear"/>
            <w:vAlign w:val="center"/>
          </w:tcPr>
          <w:p>
            <w:pPr>
              <w:pStyle w:val="TableContents"/>
              <w:spacing w:before="0" w:after="283"/>
              <w:rPr/>
            </w:pPr>
            <w:r>
              <w:rPr/>
              <w:t> </w:t>
            </w:r>
          </w:p>
        </w:tc>
        <w:tc>
          <w:tcPr>
            <w:tcW w:w="9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8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7196" w:type="dxa"/>
            <w:tcBorders/>
            <w:shd w:fill="auto" w:val="clear"/>
            <w:vAlign w:val="bottom"/>
          </w:tcPr>
          <w:p>
            <w:pPr>
              <w:pStyle w:val="TableContents"/>
              <w:spacing w:before="0" w:after="0"/>
              <w:ind w:left="225" w:right="0" w:hanging="225"/>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0"/>
              <w:ind w:left="225" w:right="0" w:hanging="225"/>
              <w:rPr/>
            </w:pPr>
            <w:r>
              <w:rPr/>
              <w:t>Current liabilities</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19,179</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746" w:type="dxa"/>
            <w:tcBorders/>
            <w:shd w:fill="auto" w:val="clear"/>
            <w:vAlign w:val="bottom"/>
          </w:tcPr>
          <w:p>
            <w:pPr>
              <w:pStyle w:val="TableContents"/>
              <w:spacing w:before="0" w:after="283"/>
              <w:jc w:val="right"/>
              <w:rPr/>
            </w:pPr>
            <w:r>
              <w:rPr/>
              <w:t>14,523</w:t>
            </w:r>
          </w:p>
        </w:tc>
        <w:tc>
          <w:tcPr>
            <w:tcW w:w="121" w:type="dxa"/>
            <w:tcBorders/>
            <w:shd w:fill="auto" w:val="clear"/>
            <w:vAlign w:val="bottom"/>
          </w:tcPr>
          <w:p>
            <w:pPr>
              <w:pStyle w:val="TableContents"/>
              <w:spacing w:before="0" w:after="283"/>
              <w:rPr/>
            </w:pPr>
            <w:r>
              <w:rPr/>
              <w:t> </w:t>
            </w:r>
          </w:p>
        </w:tc>
      </w:tr>
      <w:tr>
        <w:trPr/>
        <w:tc>
          <w:tcPr>
            <w:tcW w:w="7196" w:type="dxa"/>
            <w:tcBorders/>
            <w:shd w:fill="CCEEFF" w:val="clear"/>
            <w:vAlign w:val="bottom"/>
          </w:tcPr>
          <w:p>
            <w:pPr>
              <w:pStyle w:val="TableContents"/>
              <w:spacing w:before="0" w:after="0"/>
              <w:ind w:left="225" w:right="0" w:hanging="225"/>
              <w:rPr/>
            </w:pPr>
            <w:r>
              <w:rPr/>
              <w:t>Non-current liabilities</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10,199</w:t>
            </w:r>
          </w:p>
        </w:tc>
        <w:tc>
          <w:tcPr>
            <w:tcW w:w="11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11,467</w:t>
            </w:r>
          </w:p>
        </w:tc>
        <w:tc>
          <w:tcPr>
            <w:tcW w:w="121" w:type="dxa"/>
            <w:tcBorders/>
            <w:shd w:fill="CCEEFF" w:val="clear"/>
            <w:vAlign w:val="bottom"/>
          </w:tcPr>
          <w:p>
            <w:pPr>
              <w:pStyle w:val="TableContents"/>
              <w:spacing w:before="0" w:after="283"/>
              <w:rPr/>
            </w:pPr>
            <w:r>
              <w:rPr/>
              <w:t> </w:t>
            </w:r>
          </w:p>
        </w:tc>
      </w:tr>
      <w:tr>
        <w:trPr/>
        <w:tc>
          <w:tcPr>
            <w:tcW w:w="7196" w:type="dxa"/>
            <w:tcBorders/>
            <w:shd w:fill="auto" w:val="clear"/>
            <w:vAlign w:val="bottom"/>
          </w:tcPr>
          <w:p>
            <w:pPr>
              <w:pStyle w:val="TableContents"/>
              <w:spacing w:before="0" w:after="0"/>
              <w:ind w:left="225" w:right="0" w:hanging="225"/>
              <w:rPr/>
            </w:pPr>
            <w:r>
              <w:rPr/>
              <w:t>Shareholders equity</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139,519</w:t>
            </w:r>
          </w:p>
        </w:tc>
        <w:tc>
          <w:tcPr>
            <w:tcW w:w="11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66,387</w:t>
            </w:r>
          </w:p>
        </w:tc>
        <w:tc>
          <w:tcPr>
            <w:tcW w:w="121" w:type="dxa"/>
            <w:tcBorders/>
            <w:shd w:fill="auto" w:val="clear"/>
            <w:vAlign w:val="bottom"/>
          </w:tcPr>
          <w:p>
            <w:pPr>
              <w:pStyle w:val="TableContents"/>
              <w:spacing w:before="0" w:after="283"/>
              <w:rPr/>
            </w:pPr>
            <w:r>
              <w:rPr/>
              <w:t> </w:t>
            </w:r>
          </w:p>
        </w:tc>
      </w:tr>
      <w:tr>
        <w:trPr/>
        <w:tc>
          <w:tcPr>
            <w:tcW w:w="7196" w:type="dxa"/>
            <w:tcBorders/>
            <w:shd w:fill="auto" w:val="clear"/>
            <w:vAlign w:val="center"/>
          </w:tcPr>
          <w:p>
            <w:pPr>
              <w:pStyle w:val="TableContents"/>
              <w:spacing w:before="0" w:after="0"/>
              <w:ind w:left="225" w:right="0" w:hanging="225"/>
              <w:rPr/>
            </w:pPr>
            <w:r>
              <w:rPr/>
              <w:t> </w:t>
            </w:r>
          </w:p>
        </w:tc>
        <w:tc>
          <w:tcPr>
            <w:tcW w:w="464"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8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7196" w:type="dxa"/>
            <w:tcBorders/>
            <w:shd w:fill="CCEEFF" w:val="clear"/>
            <w:vAlign w:val="bottom"/>
          </w:tcPr>
          <w:p>
            <w:pPr>
              <w:pStyle w:val="TableContents"/>
              <w:spacing w:before="0" w:after="0"/>
              <w:ind w:left="450" w:right="0" w:hanging="225"/>
              <w:rPr/>
            </w:pPr>
            <w:r>
              <w:rPr/>
              <w:t>Total liabilities and shareholders equity</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168,897</w:t>
            </w:r>
          </w:p>
        </w:tc>
        <w:tc>
          <w:tcPr>
            <w:tcW w:w="11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92,377</w:t>
            </w:r>
          </w:p>
        </w:tc>
        <w:tc>
          <w:tcPr>
            <w:tcW w:w="121" w:type="dxa"/>
            <w:tcBorders/>
            <w:shd w:fill="CCEEFF" w:val="clear"/>
            <w:vAlign w:val="bottom"/>
          </w:tcPr>
          <w:p>
            <w:pPr>
              <w:pStyle w:val="TableContents"/>
              <w:spacing w:before="0" w:after="283"/>
              <w:rPr/>
            </w:pPr>
            <w:r>
              <w:rPr/>
              <w:t> </w:t>
            </w:r>
          </w:p>
        </w:tc>
      </w:tr>
      <w:tr>
        <w:trPr/>
        <w:tc>
          <w:tcPr>
            <w:tcW w:w="7196" w:type="dxa"/>
            <w:tcBorders/>
            <w:shd w:fill="auto" w:val="clear"/>
            <w:vAlign w:val="center"/>
          </w:tcPr>
          <w:p>
            <w:pPr>
              <w:pStyle w:val="TableContents"/>
              <w:spacing w:before="0" w:after="0"/>
              <w:ind w:left="225" w:right="0" w:hanging="225"/>
              <w:rPr/>
            </w:pPr>
            <w:r>
              <w:rPr/>
              <w:t> </w:t>
            </w:r>
          </w:p>
        </w:tc>
        <w:tc>
          <w:tcPr>
            <w:tcW w:w="464" w:type="dxa"/>
            <w:tcBorders/>
            <w:shd w:fill="auto" w:val="clear"/>
            <w:vAlign w:val="center"/>
          </w:tcPr>
          <w:p>
            <w:pPr>
              <w:pStyle w:val="TableContents"/>
              <w:spacing w:before="0" w:after="283"/>
              <w:rPr/>
            </w:pPr>
            <w:r>
              <w:rPr/>
              <w:t> </w:t>
            </w:r>
          </w:p>
        </w:tc>
        <w:tc>
          <w:tcPr>
            <w:tcW w:w="9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8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6117"/>
        <w:gridCol w:w="415"/>
        <w:gridCol w:w="239"/>
        <w:gridCol w:w="1313"/>
        <w:gridCol w:w="144"/>
        <w:gridCol w:w="442"/>
        <w:gridCol w:w="239"/>
        <w:gridCol w:w="1174"/>
        <w:gridCol w:w="122"/>
      </w:tblGrid>
      <w:tr>
        <w:trPr/>
        <w:tc>
          <w:tcPr>
            <w:tcW w:w="611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551" w:type="dxa"/>
            <w:gridSpan w:val="6"/>
            <w:tcBorders>
              <w:bottom w:val="single" w:sz="2" w:space="0" w:color="000000"/>
            </w:tcBorders>
            <w:shd w:fill="auto" w:val="clear"/>
            <w:tcMar>
              <w:bottom w:w="28" w:type="dxa"/>
            </w:tcMar>
            <w:vAlign w:val="bottom"/>
          </w:tcPr>
          <w:p>
            <w:pPr>
              <w:pStyle w:val="TableContents"/>
              <w:spacing w:before="0" w:after="283"/>
              <w:jc w:val="center"/>
              <w:rPr/>
            </w:pPr>
            <w:r>
              <w:rPr/>
              <w:t>Twelve Months Ended June 30,</w:t>
            </w:r>
          </w:p>
        </w:tc>
        <w:tc>
          <w:tcPr>
            <w:tcW w:w="122" w:type="dxa"/>
            <w:tcBorders/>
            <w:shd w:fill="auto"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52"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44"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41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2" w:type="dxa"/>
            <w:tcBorders/>
            <w:shd w:fill="auto"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551" w:type="dxa"/>
            <w:gridSpan w:val="6"/>
            <w:tcBorders/>
            <w:shd w:fill="auto" w:val="clear"/>
            <w:vAlign w:val="bottom"/>
          </w:tcPr>
          <w:p>
            <w:pPr>
              <w:pStyle w:val="TableContents"/>
              <w:spacing w:before="0" w:after="283"/>
              <w:jc w:val="center"/>
              <w:rPr>
                <w:i/>
              </w:rPr>
            </w:pPr>
            <w:r>
              <w:rPr>
                <w:i/>
              </w:rPr>
              <w:t>(in thousands)</w:t>
            </w:r>
          </w:p>
        </w:tc>
        <w:tc>
          <w:tcPr>
            <w:tcW w:w="122" w:type="dxa"/>
            <w:tcBorders/>
            <w:shd w:fill="auto" w:val="clear"/>
            <w:vAlign w:val="bottom"/>
          </w:tcPr>
          <w:p>
            <w:pPr>
              <w:pStyle w:val="TableContents"/>
              <w:spacing w:before="0" w:after="283"/>
              <w:rPr/>
            </w:pPr>
            <w:r>
              <w:rPr/>
              <w:t> </w:t>
            </w:r>
          </w:p>
        </w:tc>
      </w:tr>
      <w:tr>
        <w:trPr/>
        <w:tc>
          <w:tcPr>
            <w:tcW w:w="6117" w:type="dxa"/>
            <w:tcBorders/>
            <w:shd w:fill="CCEEFF" w:val="clear"/>
            <w:vAlign w:val="bottom"/>
          </w:tcPr>
          <w:p>
            <w:pPr>
              <w:pStyle w:val="TableContents"/>
              <w:spacing w:before="0" w:after="0"/>
              <w:ind w:left="225" w:right="0" w:hanging="225"/>
              <w:rPr/>
            </w:pPr>
            <w:r>
              <w:rPr/>
              <w:t>Gross revenues</w:t>
            </w:r>
          </w:p>
        </w:tc>
        <w:tc>
          <w:tcPr>
            <w:tcW w:w="41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112,733</w:t>
            </w:r>
          </w:p>
        </w:tc>
        <w:tc>
          <w:tcPr>
            <w:tcW w:w="144"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174" w:type="dxa"/>
            <w:tcBorders/>
            <w:shd w:fill="CCEEFF" w:val="clear"/>
            <w:vAlign w:val="bottom"/>
          </w:tcPr>
          <w:p>
            <w:pPr>
              <w:pStyle w:val="TableContents"/>
              <w:spacing w:before="0" w:after="283"/>
              <w:jc w:val="right"/>
              <w:rPr/>
            </w:pPr>
            <w:r>
              <w:rPr/>
              <w:t>70,916</w:t>
            </w:r>
          </w:p>
        </w:tc>
        <w:tc>
          <w:tcPr>
            <w:tcW w:w="122" w:type="dxa"/>
            <w:tcBorders/>
            <w:shd w:fill="CCEEFF"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0"/>
              <w:ind w:left="225" w:right="0" w:hanging="225"/>
              <w:rPr/>
            </w:pPr>
            <w:r>
              <w:rPr/>
              <w:t>Gross profit</w:t>
            </w:r>
          </w:p>
        </w:tc>
        <w:tc>
          <w:tcPr>
            <w:tcW w:w="41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85,811</w:t>
            </w:r>
          </w:p>
        </w:tc>
        <w:tc>
          <w:tcPr>
            <w:tcW w:w="144"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52,984</w:t>
            </w:r>
          </w:p>
        </w:tc>
        <w:tc>
          <w:tcPr>
            <w:tcW w:w="122" w:type="dxa"/>
            <w:tcBorders/>
            <w:shd w:fill="auto" w:val="clear"/>
            <w:vAlign w:val="bottom"/>
          </w:tcPr>
          <w:p>
            <w:pPr>
              <w:pStyle w:val="TableContents"/>
              <w:spacing w:before="0" w:after="283"/>
              <w:rPr/>
            </w:pPr>
            <w:r>
              <w:rPr/>
              <w:t> </w:t>
            </w:r>
          </w:p>
        </w:tc>
      </w:tr>
      <w:tr>
        <w:trPr/>
        <w:tc>
          <w:tcPr>
            <w:tcW w:w="6117" w:type="dxa"/>
            <w:tcBorders/>
            <w:shd w:fill="CCEEFF" w:val="clear"/>
            <w:vAlign w:val="bottom"/>
          </w:tcPr>
          <w:p>
            <w:pPr>
              <w:pStyle w:val="TableContents"/>
              <w:spacing w:before="0" w:after="0"/>
              <w:ind w:left="225" w:right="0" w:hanging="225"/>
              <w:rPr/>
            </w:pPr>
            <w:r>
              <w:rPr/>
              <w:t>Profit for the year (net income)</w:t>
            </w:r>
          </w:p>
        </w:tc>
        <w:tc>
          <w:tcPr>
            <w:tcW w:w="41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19,122</w:t>
            </w:r>
          </w:p>
        </w:tc>
        <w:tc>
          <w:tcPr>
            <w:tcW w:w="144"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12,084</w:t>
            </w:r>
          </w:p>
        </w:tc>
        <w:tc>
          <w:tcPr>
            <w:tcW w:w="122"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September 30, 2010, the recorded balance of our investment in Cash Converters, accounted for on the equity method, was $58.3 million. Because Cash Converters publicly reports its financial results only semi-annually as of June 30 and December 31, the latest Cash Converters figures available are as of June 30, 2010, at which point our equity in net assets of Cash Converters was $45.7 million. The difference between the recorded balance and our equity in Cash Converters net assets represents the $15.0 million of unamortized goodwill, plus the cumulative difference resulting from Cash Converters earnings, dividend payments and translation gains and losses since the dates of investment.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the recorded value and fair value of each of these strategic investments at the dates indicated. These fair values are considered level one estimates within the fair value hierarchy of FASB ASC 820- 10-50,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 </w:t>
      </w:r>
    </w:p>
    <w:p>
      <w:pPr>
        <w:pStyle w:val="TextBody"/>
        <w:jc w:val="center"/>
        <w:rPr>
          <w:rFonts w:ascii="Times New Roman;Times;serif" w:hAnsi="Times New Roman;Times;serif"/>
          <w:sz w:val="17"/>
        </w:rPr>
      </w:pPr>
      <w:r>
        <w:rPr>
          <w:rFonts w:ascii="Times New Roman;Times;serif" w:hAnsi="Times New Roman;Times;serif"/>
          <w:sz w:val="17"/>
        </w:rPr>
        <w:t xml:space="preserve">66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5397"/>
        <w:gridCol w:w="359"/>
        <w:gridCol w:w="328"/>
        <w:gridCol w:w="1605"/>
        <w:gridCol w:w="110"/>
        <w:gridCol w:w="359"/>
        <w:gridCol w:w="328"/>
        <w:gridCol w:w="1605"/>
        <w:gridCol w:w="114"/>
      </w:tblGrid>
      <w:tr>
        <w:trPr/>
        <w:tc>
          <w:tcPr>
            <w:tcW w:w="539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539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933"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110"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933"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 2009</w:t>
            </w:r>
          </w:p>
        </w:tc>
        <w:tc>
          <w:tcPr>
            <w:tcW w:w="114" w:type="dxa"/>
            <w:tcBorders/>
            <w:shd w:fill="auto" w:val="clear"/>
            <w:vAlign w:val="bottom"/>
          </w:tcPr>
          <w:p>
            <w:pPr>
              <w:pStyle w:val="TableContents"/>
              <w:spacing w:before="0" w:after="283"/>
              <w:rPr/>
            </w:pPr>
            <w:r>
              <w:rPr/>
              <w:t> </w:t>
            </w:r>
          </w:p>
        </w:tc>
      </w:tr>
      <w:tr>
        <w:trPr/>
        <w:tc>
          <w:tcPr>
            <w:tcW w:w="539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4335" w:type="dxa"/>
            <w:gridSpan w:val="6"/>
            <w:tcBorders/>
            <w:shd w:fill="auto" w:val="clear"/>
            <w:vAlign w:val="bottom"/>
          </w:tcPr>
          <w:p>
            <w:pPr>
              <w:pStyle w:val="TableContents"/>
              <w:spacing w:before="0" w:after="283"/>
              <w:jc w:val="center"/>
              <w:rPr>
                <w:i/>
              </w:rPr>
            </w:pPr>
            <w:r>
              <w:rPr>
                <w:i/>
              </w:rPr>
              <w:t>(In thousands of U.S. dollars)</w:t>
            </w:r>
          </w:p>
        </w:tc>
        <w:tc>
          <w:tcPr>
            <w:tcW w:w="114" w:type="dxa"/>
            <w:tcBorders/>
            <w:shd w:fill="auto" w:val="clear"/>
            <w:vAlign w:val="bottom"/>
          </w:tcPr>
          <w:p>
            <w:pPr>
              <w:pStyle w:val="TableContents"/>
              <w:spacing w:before="0" w:after="283"/>
              <w:rPr/>
            </w:pPr>
            <w:r>
              <w:rPr/>
              <w:t> </w:t>
            </w:r>
          </w:p>
        </w:tc>
      </w:tr>
      <w:tr>
        <w:trPr/>
        <w:tc>
          <w:tcPr>
            <w:tcW w:w="5397" w:type="dxa"/>
            <w:tcBorders/>
            <w:shd w:fill="CCEEFF" w:val="clear"/>
            <w:vAlign w:val="bottom"/>
          </w:tcPr>
          <w:p>
            <w:pPr>
              <w:pStyle w:val="TableContents"/>
              <w:spacing w:before="0" w:after="0"/>
              <w:ind w:left="225" w:right="0" w:hanging="225"/>
              <w:rPr/>
            </w:pPr>
            <w:r>
              <w:rPr/>
              <w:t>Albemarle &amp; Bond:</w:t>
            </w:r>
          </w:p>
        </w:tc>
        <w:tc>
          <w:tcPr>
            <w:tcW w:w="359"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5397" w:type="dxa"/>
            <w:tcBorders/>
            <w:shd w:fill="auto" w:val="clear"/>
            <w:vAlign w:val="bottom"/>
          </w:tcPr>
          <w:p>
            <w:pPr>
              <w:pStyle w:val="TableContents"/>
              <w:spacing w:before="0" w:after="0"/>
              <w:ind w:left="450" w:right="0" w:hanging="225"/>
              <w:rPr/>
            </w:pPr>
            <w:r>
              <w:rPr/>
              <w:t>Recorded value</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w:t>
            </w:r>
          </w:p>
        </w:tc>
        <w:tc>
          <w:tcPr>
            <w:tcW w:w="1605" w:type="dxa"/>
            <w:tcBorders/>
            <w:shd w:fill="auto" w:val="clear"/>
            <w:vAlign w:val="bottom"/>
          </w:tcPr>
          <w:p>
            <w:pPr>
              <w:pStyle w:val="TableContents"/>
              <w:spacing w:before="0" w:after="283"/>
              <w:jc w:val="right"/>
              <w:rPr/>
            </w:pPr>
            <w:r>
              <w:rPr/>
              <w:t>43,127</w:t>
            </w:r>
          </w:p>
        </w:tc>
        <w:tc>
          <w:tcPr>
            <w:tcW w:w="110"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w:t>
            </w:r>
          </w:p>
        </w:tc>
        <w:tc>
          <w:tcPr>
            <w:tcW w:w="1605" w:type="dxa"/>
            <w:tcBorders/>
            <w:shd w:fill="auto" w:val="clear"/>
            <w:vAlign w:val="bottom"/>
          </w:tcPr>
          <w:p>
            <w:pPr>
              <w:pStyle w:val="TableContents"/>
              <w:spacing w:before="0" w:after="283"/>
              <w:jc w:val="right"/>
              <w:rPr/>
            </w:pPr>
            <w:r>
              <w:rPr/>
              <w:t>38,851</w:t>
            </w:r>
          </w:p>
        </w:tc>
        <w:tc>
          <w:tcPr>
            <w:tcW w:w="114" w:type="dxa"/>
            <w:tcBorders/>
            <w:shd w:fill="auto" w:val="clear"/>
            <w:vAlign w:val="bottom"/>
          </w:tcPr>
          <w:p>
            <w:pPr>
              <w:pStyle w:val="TableContents"/>
              <w:spacing w:before="0" w:after="283"/>
              <w:rPr/>
            </w:pPr>
            <w:r>
              <w:rPr/>
              <w:t> </w:t>
            </w:r>
          </w:p>
        </w:tc>
      </w:tr>
      <w:tr>
        <w:trPr/>
        <w:tc>
          <w:tcPr>
            <w:tcW w:w="5397" w:type="dxa"/>
            <w:tcBorders/>
            <w:shd w:fill="CCEEFF" w:val="clear"/>
            <w:vAlign w:val="bottom"/>
          </w:tcPr>
          <w:p>
            <w:pPr>
              <w:pStyle w:val="TableContents"/>
              <w:spacing w:before="0" w:after="0"/>
              <w:ind w:left="450" w:right="0" w:hanging="225"/>
              <w:rPr/>
            </w:pPr>
            <w:r>
              <w:rPr/>
              <w:t>Fair value</w:t>
            </w:r>
          </w:p>
        </w:tc>
        <w:tc>
          <w:tcPr>
            <w:tcW w:w="359"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5" w:type="dxa"/>
            <w:tcBorders/>
            <w:shd w:fill="CCEEFF" w:val="clear"/>
            <w:vAlign w:val="bottom"/>
          </w:tcPr>
          <w:p>
            <w:pPr>
              <w:pStyle w:val="TableContents"/>
              <w:spacing w:before="0" w:after="283"/>
              <w:jc w:val="right"/>
              <w:rPr/>
            </w:pPr>
            <w:r>
              <w:rPr/>
              <w:t>75,520</w:t>
            </w:r>
          </w:p>
        </w:tc>
        <w:tc>
          <w:tcPr>
            <w:tcW w:w="110"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5" w:type="dxa"/>
            <w:tcBorders/>
            <w:shd w:fill="CCEEFF" w:val="clear"/>
            <w:vAlign w:val="bottom"/>
          </w:tcPr>
          <w:p>
            <w:pPr>
              <w:pStyle w:val="TableContents"/>
              <w:spacing w:before="0" w:after="283"/>
              <w:jc w:val="right"/>
              <w:rPr/>
            </w:pPr>
            <w:r>
              <w:rPr/>
              <w:t>61,504</w:t>
            </w:r>
          </w:p>
        </w:tc>
        <w:tc>
          <w:tcPr>
            <w:tcW w:w="114" w:type="dxa"/>
            <w:tcBorders/>
            <w:shd w:fill="CCEEFF" w:val="clear"/>
            <w:vAlign w:val="bottom"/>
          </w:tcPr>
          <w:p>
            <w:pPr>
              <w:pStyle w:val="TableContents"/>
              <w:spacing w:before="0" w:after="283"/>
              <w:rPr/>
            </w:pPr>
            <w:r>
              <w:rPr/>
              <w:t> </w:t>
            </w:r>
          </w:p>
        </w:tc>
      </w:tr>
      <w:tr>
        <w:trPr/>
        <w:tc>
          <w:tcPr>
            <w:tcW w:w="5397" w:type="dxa"/>
            <w:tcBorders/>
            <w:shd w:fill="auto" w:val="clear"/>
            <w:vAlign w:val="bottom"/>
          </w:tcPr>
          <w:p>
            <w:pPr>
              <w:pStyle w:val="TableContents"/>
              <w:spacing w:before="0" w:after="0"/>
              <w:ind w:left="225" w:right="0" w:hanging="225"/>
              <w:rPr/>
            </w:pPr>
            <w:r>
              <w:rPr/>
              <w:t> </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5397" w:type="dxa"/>
            <w:tcBorders/>
            <w:shd w:fill="auto" w:val="clear"/>
            <w:vAlign w:val="bottom"/>
          </w:tcPr>
          <w:p>
            <w:pPr>
              <w:pStyle w:val="TableContents"/>
              <w:spacing w:before="0" w:after="0"/>
              <w:ind w:left="225" w:right="0" w:hanging="225"/>
              <w:rPr/>
            </w:pPr>
            <w:r>
              <w:rPr/>
              <w:t>Cash Converters:</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5397" w:type="dxa"/>
            <w:tcBorders/>
            <w:shd w:fill="CCEEFF" w:val="clear"/>
            <w:vAlign w:val="bottom"/>
          </w:tcPr>
          <w:p>
            <w:pPr>
              <w:pStyle w:val="TableContents"/>
              <w:spacing w:before="0" w:after="0"/>
              <w:ind w:left="450" w:right="0" w:hanging="225"/>
              <w:rPr/>
            </w:pPr>
            <w:r>
              <w:rPr/>
              <w:t>Recorded value</w:t>
            </w:r>
          </w:p>
        </w:tc>
        <w:tc>
          <w:tcPr>
            <w:tcW w:w="359"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5" w:type="dxa"/>
            <w:tcBorders/>
            <w:shd w:fill="CCEEFF" w:val="clear"/>
            <w:vAlign w:val="bottom"/>
          </w:tcPr>
          <w:p>
            <w:pPr>
              <w:pStyle w:val="TableContents"/>
              <w:spacing w:before="0" w:after="283"/>
              <w:jc w:val="right"/>
              <w:rPr/>
            </w:pPr>
            <w:r>
              <w:rPr/>
              <w:t>58,259</w:t>
            </w:r>
          </w:p>
        </w:tc>
        <w:tc>
          <w:tcPr>
            <w:tcW w:w="110"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5"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r>
      <w:tr>
        <w:trPr/>
        <w:tc>
          <w:tcPr>
            <w:tcW w:w="5397" w:type="dxa"/>
            <w:tcBorders/>
            <w:shd w:fill="auto" w:val="clear"/>
            <w:vAlign w:val="bottom"/>
          </w:tcPr>
          <w:p>
            <w:pPr>
              <w:pStyle w:val="TableContents"/>
              <w:spacing w:before="0" w:after="0"/>
              <w:ind w:left="450" w:right="0" w:hanging="225"/>
              <w:rPr/>
            </w:pPr>
            <w:r>
              <w:rPr/>
              <w:t>Fair value</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5" w:type="dxa"/>
            <w:tcBorders/>
            <w:shd w:fill="auto" w:val="clear"/>
            <w:vAlign w:val="bottom"/>
          </w:tcPr>
          <w:p>
            <w:pPr>
              <w:pStyle w:val="TableContents"/>
              <w:spacing w:before="0" w:after="283"/>
              <w:jc w:val="right"/>
              <w:rPr/>
            </w:pPr>
            <w:r>
              <w:rPr/>
              <w:t>70,005</w:t>
            </w:r>
          </w:p>
        </w:tc>
        <w:tc>
          <w:tcPr>
            <w:tcW w:w="110"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5"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E: Property and Equipment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Major classifications of property and equipment were as follows: </w:t>
      </w:r>
    </w:p>
    <w:tbl>
      <w:tblPr>
        <w:tblW w:w="5000" w:type="pct"/>
        <w:jc w:val="center"/>
        <w:tblInd w:w="0" w:type="dxa"/>
        <w:tblCellMar>
          <w:top w:w="0" w:type="dxa"/>
          <w:left w:w="0" w:type="dxa"/>
          <w:bottom w:w="0" w:type="dxa"/>
          <w:right w:w="0" w:type="dxa"/>
        </w:tblCellMar>
      </w:tblPr>
      <w:tblGrid>
        <w:gridCol w:w="6935"/>
        <w:gridCol w:w="448"/>
        <w:gridCol w:w="159"/>
        <w:gridCol w:w="892"/>
        <w:gridCol w:w="134"/>
        <w:gridCol w:w="448"/>
        <w:gridCol w:w="159"/>
        <w:gridCol w:w="892"/>
        <w:gridCol w:w="138"/>
      </w:tblGrid>
      <w:tr>
        <w:trPr/>
        <w:tc>
          <w:tcPr>
            <w:tcW w:w="6935"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2684"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8" w:type="dxa"/>
            <w:tcBorders/>
            <w:shd w:fill="auto"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0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34"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0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38" w:type="dxa"/>
            <w:tcBorders/>
            <w:shd w:fill="auto"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2684" w:type="dxa"/>
            <w:gridSpan w:val="6"/>
            <w:tcBorders/>
            <w:shd w:fill="auto" w:val="clear"/>
            <w:vAlign w:val="bottom"/>
          </w:tcPr>
          <w:p>
            <w:pPr>
              <w:pStyle w:val="TableContents"/>
              <w:spacing w:before="0" w:after="283"/>
              <w:jc w:val="center"/>
              <w:rPr>
                <w:i/>
              </w:rPr>
            </w:pPr>
            <w:r>
              <w:rPr>
                <w:i/>
              </w:rPr>
              <w:t>(In thousands)</w:t>
            </w:r>
          </w:p>
        </w:tc>
        <w:tc>
          <w:tcPr>
            <w:tcW w:w="138" w:type="dxa"/>
            <w:tcBorders/>
            <w:shd w:fill="auto" w:val="clear"/>
            <w:vAlign w:val="bottom"/>
          </w:tcPr>
          <w:p>
            <w:pPr>
              <w:pStyle w:val="TableContents"/>
              <w:spacing w:before="0" w:after="283"/>
              <w:rPr/>
            </w:pPr>
            <w:r>
              <w:rPr/>
              <w:t> </w:t>
            </w:r>
          </w:p>
        </w:tc>
      </w:tr>
      <w:tr>
        <w:trPr/>
        <w:tc>
          <w:tcPr>
            <w:tcW w:w="6935" w:type="dxa"/>
            <w:tcBorders/>
            <w:shd w:fill="CCEEFF" w:val="clear"/>
            <w:vAlign w:val="bottom"/>
          </w:tcPr>
          <w:p>
            <w:pPr>
              <w:pStyle w:val="TableContents"/>
              <w:spacing w:before="0" w:after="0"/>
              <w:ind w:left="225" w:right="0" w:hanging="225"/>
              <w:rPr/>
            </w:pPr>
            <w:r>
              <w:rPr/>
              <w:t>Buildings and improvements</w:t>
            </w:r>
          </w:p>
        </w:tc>
        <w:tc>
          <w:tcPr>
            <w:tcW w:w="44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78,997</w:t>
            </w:r>
          </w:p>
        </w:tc>
        <w:tc>
          <w:tcPr>
            <w:tcW w:w="134"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68,400</w:t>
            </w:r>
          </w:p>
        </w:tc>
        <w:tc>
          <w:tcPr>
            <w:tcW w:w="138" w:type="dxa"/>
            <w:tcBorders/>
            <w:shd w:fill="CCEEFF"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0"/>
              <w:ind w:left="225" w:right="0" w:hanging="225"/>
              <w:rPr/>
            </w:pPr>
            <w:r>
              <w:rPr/>
              <w:t>Furniture and equipment</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70,419</w:t>
            </w:r>
          </w:p>
        </w:tc>
        <w:tc>
          <w:tcPr>
            <w:tcW w:w="134"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59,957</w:t>
            </w:r>
          </w:p>
        </w:tc>
        <w:tc>
          <w:tcPr>
            <w:tcW w:w="138" w:type="dxa"/>
            <w:tcBorders/>
            <w:shd w:fill="auto" w:val="clear"/>
            <w:vAlign w:val="bottom"/>
          </w:tcPr>
          <w:p>
            <w:pPr>
              <w:pStyle w:val="TableContents"/>
              <w:spacing w:before="0" w:after="283"/>
              <w:rPr/>
            </w:pPr>
            <w:r>
              <w:rPr/>
              <w:t> </w:t>
            </w:r>
          </w:p>
        </w:tc>
      </w:tr>
      <w:tr>
        <w:trPr/>
        <w:tc>
          <w:tcPr>
            <w:tcW w:w="6935" w:type="dxa"/>
            <w:tcBorders/>
            <w:shd w:fill="CCEEFF" w:val="clear"/>
            <w:vAlign w:val="bottom"/>
          </w:tcPr>
          <w:p>
            <w:pPr>
              <w:pStyle w:val="TableContents"/>
              <w:spacing w:before="0" w:after="0"/>
              <w:ind w:left="225" w:right="0" w:hanging="225"/>
              <w:rPr/>
            </w:pPr>
            <w:r>
              <w:rPr/>
              <w:t>Software</w:t>
            </w:r>
          </w:p>
        </w:tc>
        <w:tc>
          <w:tcPr>
            <w:tcW w:w="44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25,128</w:t>
            </w:r>
          </w:p>
        </w:tc>
        <w:tc>
          <w:tcPr>
            <w:tcW w:w="134"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23,346</w:t>
            </w:r>
          </w:p>
        </w:tc>
        <w:tc>
          <w:tcPr>
            <w:tcW w:w="138" w:type="dxa"/>
            <w:tcBorders/>
            <w:shd w:fill="CCEEFF"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0"/>
              <w:ind w:left="225" w:right="0" w:hanging="225"/>
              <w:rPr/>
            </w:pPr>
            <w:r>
              <w:rPr/>
              <w:t>Construction in progress</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1,680</w:t>
            </w:r>
          </w:p>
        </w:tc>
        <w:tc>
          <w:tcPr>
            <w:tcW w:w="134"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903</w:t>
            </w:r>
          </w:p>
        </w:tc>
        <w:tc>
          <w:tcPr>
            <w:tcW w:w="138" w:type="dxa"/>
            <w:tcBorders/>
            <w:shd w:fill="auto" w:val="clear"/>
            <w:vAlign w:val="bottom"/>
          </w:tcPr>
          <w:p>
            <w:pPr>
              <w:pStyle w:val="TableContents"/>
              <w:spacing w:before="0" w:after="283"/>
              <w:rPr/>
            </w:pPr>
            <w:r>
              <w:rPr/>
              <w:t> </w:t>
            </w:r>
          </w:p>
        </w:tc>
      </w:tr>
      <w:tr>
        <w:trPr/>
        <w:tc>
          <w:tcPr>
            <w:tcW w:w="6935" w:type="dxa"/>
            <w:tcBorders/>
            <w:shd w:fill="auto" w:val="clear"/>
            <w:vAlign w:val="center"/>
          </w:tcPr>
          <w:p>
            <w:pPr>
              <w:pStyle w:val="TableContents"/>
              <w:spacing w:before="0" w:after="0"/>
              <w:ind w:left="225" w:right="0" w:hanging="225"/>
              <w:rPr/>
            </w:pPr>
            <w:r>
              <w:rPr/>
              <w:t> </w:t>
            </w:r>
          </w:p>
        </w:tc>
        <w:tc>
          <w:tcPr>
            <w:tcW w:w="448" w:type="dxa"/>
            <w:tcBorders/>
            <w:shd w:fill="auto" w:val="clear"/>
            <w:vAlign w:val="center"/>
          </w:tcPr>
          <w:p>
            <w:pPr>
              <w:pStyle w:val="TableContents"/>
              <w:spacing w:before="0" w:after="283"/>
              <w:rPr/>
            </w:pPr>
            <w:r>
              <w:rPr/>
              <w:t> </w:t>
            </w:r>
          </w:p>
        </w:tc>
        <w:tc>
          <w:tcPr>
            <w:tcW w:w="10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10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5" w:type="dxa"/>
            <w:tcBorders/>
            <w:shd w:fill="CCEEFF" w:val="clear"/>
            <w:vAlign w:val="bottom"/>
          </w:tcPr>
          <w:p>
            <w:pPr>
              <w:pStyle w:val="TableContents"/>
              <w:spacing w:before="0" w:after="0"/>
              <w:ind w:left="225" w:right="0" w:hanging="225"/>
              <w:rPr/>
            </w:pPr>
            <w:r>
              <w:rPr/>
              <w:t>Total</w:t>
            </w:r>
          </w:p>
        </w:tc>
        <w:tc>
          <w:tcPr>
            <w:tcW w:w="44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176,224</w:t>
            </w:r>
          </w:p>
        </w:tc>
        <w:tc>
          <w:tcPr>
            <w:tcW w:w="134"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152,606</w:t>
            </w:r>
          </w:p>
        </w:tc>
        <w:tc>
          <w:tcPr>
            <w:tcW w:w="138" w:type="dxa"/>
            <w:tcBorders/>
            <w:shd w:fill="CCEEFF"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0"/>
              <w:ind w:left="225" w:right="0" w:hanging="225"/>
              <w:rPr/>
            </w:pPr>
            <w:r>
              <w:rPr/>
              <w:t> </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0"/>
              <w:ind w:left="225" w:right="0" w:hanging="225"/>
              <w:rPr/>
            </w:pPr>
            <w:r>
              <w:rPr/>
              <w:t>Less accumulated depreciation</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892" w:type="dxa"/>
            <w:tcBorders/>
            <w:shd w:fill="auto" w:val="clear"/>
            <w:vAlign w:val="bottom"/>
          </w:tcPr>
          <w:p>
            <w:pPr>
              <w:pStyle w:val="TableContents"/>
              <w:spacing w:before="0" w:after="283"/>
              <w:jc w:val="right"/>
              <w:rPr/>
            </w:pPr>
            <w:r>
              <w:rPr/>
              <w:t>(113,931</w:t>
            </w:r>
          </w:p>
        </w:tc>
        <w:tc>
          <w:tcPr>
            <w:tcW w:w="134" w:type="dxa"/>
            <w:tcBorders/>
            <w:shd w:fill="auto" w:val="clear"/>
            <w:vAlign w:val="bottom"/>
          </w:tcPr>
          <w:p>
            <w:pPr>
              <w:pStyle w:val="TableContents"/>
              <w:spacing w:before="0" w:after="283"/>
              <w:rPr/>
            </w:pPr>
            <w:r>
              <w:rPr/>
              <w:t>)</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892" w:type="dxa"/>
            <w:tcBorders/>
            <w:shd w:fill="auto" w:val="clear"/>
            <w:vAlign w:val="bottom"/>
          </w:tcPr>
          <w:p>
            <w:pPr>
              <w:pStyle w:val="TableContents"/>
              <w:spacing w:before="0" w:after="283"/>
              <w:jc w:val="right"/>
              <w:rPr/>
            </w:pPr>
            <w:r>
              <w:rPr/>
              <w:t>(101,452</w:t>
            </w:r>
          </w:p>
        </w:tc>
        <w:tc>
          <w:tcPr>
            <w:tcW w:w="138" w:type="dxa"/>
            <w:tcBorders/>
            <w:shd w:fill="auto" w:val="clear"/>
            <w:vAlign w:val="bottom"/>
          </w:tcPr>
          <w:p>
            <w:pPr>
              <w:pStyle w:val="TableContents"/>
              <w:spacing w:before="0" w:after="283"/>
              <w:rPr/>
            </w:pPr>
            <w:r>
              <w:rPr/>
              <w:t>)</w:t>
            </w:r>
          </w:p>
        </w:tc>
      </w:tr>
      <w:tr>
        <w:trPr/>
        <w:tc>
          <w:tcPr>
            <w:tcW w:w="6935" w:type="dxa"/>
            <w:tcBorders/>
            <w:shd w:fill="auto" w:val="clear"/>
            <w:vAlign w:val="center"/>
          </w:tcPr>
          <w:p>
            <w:pPr>
              <w:pStyle w:val="TableContents"/>
              <w:spacing w:before="0" w:after="0"/>
              <w:ind w:left="225" w:right="0" w:hanging="225"/>
              <w:rPr/>
            </w:pPr>
            <w:r>
              <w:rPr/>
              <w:t> </w:t>
            </w:r>
          </w:p>
        </w:tc>
        <w:tc>
          <w:tcPr>
            <w:tcW w:w="448" w:type="dxa"/>
            <w:tcBorders/>
            <w:shd w:fill="auto" w:val="clear"/>
            <w:vAlign w:val="center"/>
          </w:tcPr>
          <w:p>
            <w:pPr>
              <w:pStyle w:val="TableContents"/>
              <w:spacing w:before="0" w:after="283"/>
              <w:rPr/>
            </w:pPr>
            <w:r>
              <w:rPr/>
              <w:t> </w:t>
            </w:r>
          </w:p>
        </w:tc>
        <w:tc>
          <w:tcPr>
            <w:tcW w:w="10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10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6935" w:type="dxa"/>
            <w:tcBorders/>
            <w:shd w:fill="auto" w:val="clear"/>
            <w:vAlign w:val="bottom"/>
          </w:tcPr>
          <w:p>
            <w:pPr>
              <w:pStyle w:val="TableContents"/>
              <w:spacing w:before="0" w:after="0"/>
              <w:ind w:left="225" w:right="0" w:hanging="225"/>
              <w:rPr/>
            </w:pPr>
            <w:r>
              <w:rPr/>
              <w:t> </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6935" w:type="dxa"/>
            <w:tcBorders/>
            <w:shd w:fill="CCEEFF" w:val="clear"/>
            <w:vAlign w:val="bottom"/>
          </w:tcPr>
          <w:p>
            <w:pPr>
              <w:pStyle w:val="TableContents"/>
              <w:spacing w:before="0" w:after="0"/>
              <w:ind w:left="225" w:right="0" w:hanging="225"/>
              <w:rPr/>
            </w:pPr>
            <w:r>
              <w:rPr/>
              <w:t>Property and equipment, net</w:t>
            </w:r>
          </w:p>
        </w:tc>
        <w:tc>
          <w:tcPr>
            <w:tcW w:w="44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62,293</w:t>
            </w:r>
          </w:p>
        </w:tc>
        <w:tc>
          <w:tcPr>
            <w:tcW w:w="134"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51,154</w:t>
            </w:r>
          </w:p>
        </w:tc>
        <w:tc>
          <w:tcPr>
            <w:tcW w:w="138" w:type="dxa"/>
            <w:tcBorders/>
            <w:shd w:fill="CCEEFF" w:val="clear"/>
            <w:vAlign w:val="bottom"/>
          </w:tcPr>
          <w:p>
            <w:pPr>
              <w:pStyle w:val="TableContents"/>
              <w:spacing w:before="0" w:after="283"/>
              <w:rPr/>
            </w:pPr>
            <w:r>
              <w:rPr/>
              <w:t> </w:t>
            </w:r>
          </w:p>
        </w:tc>
      </w:tr>
      <w:tr>
        <w:trPr/>
        <w:tc>
          <w:tcPr>
            <w:tcW w:w="6935" w:type="dxa"/>
            <w:tcBorders/>
            <w:shd w:fill="auto" w:val="clear"/>
            <w:vAlign w:val="center"/>
          </w:tcPr>
          <w:p>
            <w:pPr>
              <w:pStyle w:val="TableContents"/>
              <w:spacing w:before="0" w:after="0"/>
              <w:ind w:left="225" w:right="0" w:hanging="225"/>
              <w:rPr/>
            </w:pPr>
            <w:r>
              <w:rPr/>
              <w:t> </w:t>
            </w:r>
          </w:p>
        </w:tc>
        <w:tc>
          <w:tcPr>
            <w:tcW w:w="448" w:type="dxa"/>
            <w:tcBorders/>
            <w:shd w:fill="auto" w:val="clear"/>
            <w:vAlign w:val="center"/>
          </w:tcPr>
          <w:p>
            <w:pPr>
              <w:pStyle w:val="TableContents"/>
              <w:spacing w:before="0" w:after="283"/>
              <w:rPr/>
            </w:pPr>
            <w:r>
              <w:rPr/>
              <w:t> </w:t>
            </w:r>
          </w:p>
        </w:tc>
        <w:tc>
          <w:tcPr>
            <w:tcW w:w="10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10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F: Goodwill and Other Intangible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balance of each major class of indefinite-lived intangible asset at the specified dates: </w:t>
      </w:r>
    </w:p>
    <w:tbl>
      <w:tblPr>
        <w:tblW w:w="5000" w:type="pct"/>
        <w:jc w:val="center"/>
        <w:tblInd w:w="0" w:type="dxa"/>
        <w:tblCellMar>
          <w:top w:w="0" w:type="dxa"/>
          <w:left w:w="0" w:type="dxa"/>
          <w:bottom w:w="0" w:type="dxa"/>
          <w:right w:w="0" w:type="dxa"/>
        </w:tblCellMar>
      </w:tblPr>
      <w:tblGrid>
        <w:gridCol w:w="7089"/>
        <w:gridCol w:w="472"/>
        <w:gridCol w:w="153"/>
        <w:gridCol w:w="814"/>
        <w:gridCol w:w="116"/>
        <w:gridCol w:w="472"/>
        <w:gridCol w:w="153"/>
        <w:gridCol w:w="814"/>
        <w:gridCol w:w="122"/>
      </w:tblGrid>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522"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522" w:type="dxa"/>
            <w:gridSpan w:val="6"/>
            <w:tcBorders/>
            <w:shd w:fill="auto" w:val="clear"/>
            <w:vAlign w:val="bottom"/>
          </w:tcPr>
          <w:p>
            <w:pPr>
              <w:pStyle w:val="TableContents"/>
              <w:spacing w:before="0" w:after="283"/>
              <w:jc w:val="center"/>
              <w:rPr>
                <w:i/>
              </w:rPr>
            </w:pPr>
            <w:r>
              <w:rPr>
                <w:i/>
              </w:rPr>
              <w:t>(In thousands)</w:t>
            </w:r>
          </w:p>
        </w:tc>
        <w:tc>
          <w:tcPr>
            <w:tcW w:w="122" w:type="dxa"/>
            <w:tcBorders/>
            <w:shd w:fill="auto" w:val="clear"/>
            <w:vAlign w:val="bottom"/>
          </w:tcPr>
          <w:p>
            <w:pPr>
              <w:pStyle w:val="TableContents"/>
              <w:spacing w:before="0" w:after="283"/>
              <w:rPr/>
            </w:pPr>
            <w:r>
              <w:rPr/>
              <w:t> </w:t>
            </w:r>
          </w:p>
        </w:tc>
      </w:tr>
      <w:tr>
        <w:trPr/>
        <w:tc>
          <w:tcPr>
            <w:tcW w:w="7089" w:type="dxa"/>
            <w:tcBorders/>
            <w:shd w:fill="CCEEFF" w:val="clear"/>
            <w:vAlign w:val="bottom"/>
          </w:tcPr>
          <w:p>
            <w:pPr>
              <w:pStyle w:val="TableContents"/>
              <w:spacing w:before="0" w:after="0"/>
              <w:ind w:left="225" w:right="0" w:hanging="225"/>
              <w:rPr/>
            </w:pPr>
            <w:r>
              <w:rPr/>
              <w:t>Pawn licenses</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8,836</w:t>
            </w:r>
          </w:p>
        </w:tc>
        <w:tc>
          <w:tcPr>
            <w:tcW w:w="116"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8,229</w:t>
            </w:r>
          </w:p>
        </w:tc>
        <w:tc>
          <w:tcPr>
            <w:tcW w:w="122" w:type="dxa"/>
            <w:tcBorders/>
            <w:shd w:fill="CCEEFF" w:val="clear"/>
            <w:vAlign w:val="bottom"/>
          </w:tcPr>
          <w:p>
            <w:pPr>
              <w:pStyle w:val="TableContents"/>
              <w:spacing w:before="0" w:after="283"/>
              <w:rPr/>
            </w:pPr>
            <w:r>
              <w:rPr/>
              <w:t> </w:t>
            </w:r>
          </w:p>
        </w:tc>
      </w:tr>
      <w:tr>
        <w:trPr/>
        <w:tc>
          <w:tcPr>
            <w:tcW w:w="7089" w:type="dxa"/>
            <w:tcBorders/>
            <w:shd w:fill="auto" w:val="clear"/>
            <w:vAlign w:val="bottom"/>
          </w:tcPr>
          <w:p>
            <w:pPr>
              <w:pStyle w:val="TableContents"/>
              <w:spacing w:before="0" w:after="0"/>
              <w:ind w:left="225" w:right="0" w:hanging="225"/>
              <w:rPr/>
            </w:pPr>
            <w:r>
              <w:rPr/>
              <w:t>Trade name</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4,870</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pPr>
            <w:r>
              <w:rPr/>
              <w:t>4,870</w:t>
            </w:r>
          </w:p>
        </w:tc>
        <w:tc>
          <w:tcPr>
            <w:tcW w:w="122" w:type="dxa"/>
            <w:tcBorders/>
            <w:shd w:fill="auto" w:val="clear"/>
            <w:vAlign w:val="bottom"/>
          </w:tcPr>
          <w:p>
            <w:pPr>
              <w:pStyle w:val="TableContents"/>
              <w:spacing w:before="0" w:after="283"/>
              <w:rPr/>
            </w:pPr>
            <w:r>
              <w:rPr/>
              <w:t> </w:t>
            </w:r>
          </w:p>
        </w:tc>
      </w:tr>
      <w:tr>
        <w:trPr/>
        <w:tc>
          <w:tcPr>
            <w:tcW w:w="7089" w:type="dxa"/>
            <w:tcBorders/>
            <w:shd w:fill="CCEEFF" w:val="clear"/>
            <w:vAlign w:val="bottom"/>
          </w:tcPr>
          <w:p>
            <w:pPr>
              <w:pStyle w:val="TableContents"/>
              <w:spacing w:before="0" w:after="0"/>
              <w:ind w:left="225" w:right="0" w:hanging="225"/>
              <w:rPr/>
            </w:pPr>
            <w:r>
              <w:rPr/>
              <w:t>Goodwill</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117,305</w:t>
            </w:r>
          </w:p>
        </w:tc>
        <w:tc>
          <w:tcPr>
            <w:tcW w:w="116"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100,719</w:t>
            </w:r>
          </w:p>
        </w:tc>
        <w:tc>
          <w:tcPr>
            <w:tcW w:w="122" w:type="dxa"/>
            <w:tcBorders/>
            <w:shd w:fill="CCEEFF" w:val="clear"/>
            <w:vAlign w:val="bottom"/>
          </w:tcPr>
          <w:p>
            <w:pPr>
              <w:pStyle w:val="TableContents"/>
              <w:spacing w:before="0" w:after="283"/>
              <w:rPr/>
            </w:pPr>
            <w:r>
              <w:rPr/>
              <w:t> </w:t>
            </w:r>
          </w:p>
        </w:tc>
      </w:tr>
      <w:tr>
        <w:trPr/>
        <w:tc>
          <w:tcPr>
            <w:tcW w:w="7089"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7089" w:type="dxa"/>
            <w:tcBorders/>
            <w:shd w:fill="auto" w:val="clear"/>
            <w:vAlign w:val="bottom"/>
          </w:tcPr>
          <w:p>
            <w:pPr>
              <w:pStyle w:val="TableContents"/>
              <w:spacing w:before="0" w:after="0"/>
              <w:ind w:left="225" w:right="0" w:hanging="225"/>
              <w:rPr/>
            </w:pPr>
            <w:r>
              <w:rPr/>
              <w:t>Total</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131,011</w:t>
            </w:r>
          </w:p>
        </w:tc>
        <w:tc>
          <w:tcPr>
            <w:tcW w:w="116"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113,818</w:t>
            </w:r>
          </w:p>
        </w:tc>
        <w:tc>
          <w:tcPr>
            <w:tcW w:w="122" w:type="dxa"/>
            <w:tcBorders/>
            <w:shd w:fill="auto" w:val="clear"/>
            <w:vAlign w:val="bottom"/>
          </w:tcPr>
          <w:p>
            <w:pPr>
              <w:pStyle w:val="TableContents"/>
              <w:spacing w:before="0" w:after="283"/>
              <w:rPr/>
            </w:pPr>
            <w:r>
              <w:rPr/>
              <w:t> </w:t>
            </w:r>
          </w:p>
        </w:tc>
      </w:tr>
      <w:tr>
        <w:trPr/>
        <w:tc>
          <w:tcPr>
            <w:tcW w:w="7089"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changes in the carrying value of goodwill, by segment, for the fiscal years ended September 30, 2010 and 2009: </w:t>
      </w:r>
    </w:p>
    <w:tbl>
      <w:tblPr>
        <w:tblW w:w="5000" w:type="pct"/>
        <w:jc w:val="center"/>
        <w:tblInd w:w="0" w:type="dxa"/>
        <w:tblCellMar>
          <w:top w:w="0" w:type="dxa"/>
          <w:left w:w="0" w:type="dxa"/>
          <w:bottom w:w="0" w:type="dxa"/>
          <w:right w:w="0" w:type="dxa"/>
        </w:tblCellMar>
      </w:tblPr>
      <w:tblGrid>
        <w:gridCol w:w="3497"/>
        <w:gridCol w:w="289"/>
        <w:gridCol w:w="189"/>
        <w:gridCol w:w="1049"/>
        <w:gridCol w:w="101"/>
        <w:gridCol w:w="289"/>
        <w:gridCol w:w="180"/>
        <w:gridCol w:w="841"/>
        <w:gridCol w:w="133"/>
        <w:gridCol w:w="288"/>
        <w:gridCol w:w="502"/>
        <w:gridCol w:w="886"/>
        <w:gridCol w:w="101"/>
        <w:gridCol w:w="289"/>
        <w:gridCol w:w="217"/>
        <w:gridCol w:w="1211"/>
        <w:gridCol w:w="143"/>
      </w:tblGrid>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21" w:type="dxa"/>
            <w:gridSpan w:val="2"/>
            <w:tcBorders/>
            <w:shd w:fill="auto" w:val="clear"/>
            <w:vAlign w:val="bottom"/>
          </w:tcPr>
          <w:p>
            <w:pPr>
              <w:pStyle w:val="TableContents"/>
              <w:spacing w:before="0" w:after="283"/>
              <w:jc w:val="center"/>
              <w:rPr/>
            </w:pPr>
            <w:r>
              <w:rPr/>
              <w:t>Empeño</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88"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8" w:type="dxa"/>
            <w:gridSpan w:val="2"/>
            <w:tcBorders/>
            <w:shd w:fill="auto" w:val="clear"/>
            <w:vAlign w:val="bottom"/>
          </w:tcPr>
          <w:p>
            <w:pPr>
              <w:pStyle w:val="TableContents"/>
              <w:spacing w:before="0" w:after="283"/>
              <w:jc w:val="center"/>
              <w:rPr/>
            </w:pPr>
            <w:r>
              <w:rPr/>
              <w:t> </w:t>
            </w:r>
          </w:p>
        </w:tc>
        <w:tc>
          <w:tcPr>
            <w:tcW w:w="143" w:type="dxa"/>
            <w:tcBorders/>
            <w:shd w:fill="auto"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3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21"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388"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28"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43" w:type="dxa"/>
            <w:tcBorders/>
            <w:shd w:fill="auto"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276" w:type="dxa"/>
            <w:gridSpan w:val="14"/>
            <w:tcBorders/>
            <w:shd w:fill="auto" w:val="clear"/>
            <w:vAlign w:val="bottom"/>
          </w:tcPr>
          <w:p>
            <w:pPr>
              <w:pStyle w:val="TableContents"/>
              <w:spacing w:before="0" w:after="283"/>
              <w:jc w:val="center"/>
              <w:rPr>
                <w:i/>
              </w:rPr>
            </w:pPr>
            <w:r>
              <w:rPr>
                <w:i/>
              </w:rPr>
              <w:t>(in thousands)</w:t>
            </w:r>
          </w:p>
        </w:tc>
        <w:tc>
          <w:tcPr>
            <w:tcW w:w="143" w:type="dxa"/>
            <w:tcBorders/>
            <w:shd w:fill="auto" w:val="clear"/>
            <w:vAlign w:val="bottom"/>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225" w:right="0" w:hanging="225"/>
              <w:rPr/>
            </w:pPr>
            <w:r>
              <w:rPr/>
              <w:t>Balance at September 30, 2008</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16,211</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841" w:type="dxa"/>
            <w:tcBorders/>
            <w:shd w:fill="CCEEFF" w:val="clear"/>
            <w:vAlign w:val="bottom"/>
          </w:tcPr>
          <w:p>
            <w:pPr>
              <w:pStyle w:val="TableContents"/>
              <w:spacing w:before="0" w:after="283"/>
              <w:jc w:val="right"/>
              <w:rPr/>
            </w:pPr>
            <w:r>
              <w:rPr/>
              <w:t>8,165</w:t>
            </w:r>
          </w:p>
        </w:tc>
        <w:tc>
          <w:tcPr>
            <w:tcW w:w="133"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211" w:type="dxa"/>
            <w:tcBorders/>
            <w:shd w:fill="CCEEFF" w:val="clear"/>
            <w:vAlign w:val="bottom"/>
          </w:tcPr>
          <w:p>
            <w:pPr>
              <w:pStyle w:val="TableContents"/>
              <w:spacing w:before="0" w:after="283"/>
              <w:jc w:val="right"/>
              <w:rPr/>
            </w:pPr>
            <w:r>
              <w:rPr/>
              <w:t>24,376</w:t>
            </w:r>
          </w:p>
        </w:tc>
        <w:tc>
          <w:tcPr>
            <w:tcW w:w="143" w:type="dxa"/>
            <w:tcBorders/>
            <w:shd w:fill="CCEEFF"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0"/>
              <w:ind w:left="450" w:right="0" w:hanging="225"/>
              <w:rPr/>
            </w:pPr>
            <w:r>
              <w:rPr/>
              <w:t>Acquisitions</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77,981</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77,981</w:t>
            </w:r>
          </w:p>
        </w:tc>
        <w:tc>
          <w:tcPr>
            <w:tcW w:w="143" w:type="dxa"/>
            <w:tcBorders/>
            <w:shd w:fill="auto" w:val="clear"/>
            <w:vAlign w:val="bottom"/>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450" w:right="0" w:hanging="225"/>
              <w:rPr/>
            </w:pPr>
            <w:r>
              <w:rPr/>
              <w:t>Effect of foreign currency translation changes</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(1,638</w:t>
            </w:r>
          </w:p>
        </w:tc>
        <w:tc>
          <w:tcPr>
            <w:tcW w:w="133" w:type="dxa"/>
            <w:tcBorders/>
            <w:shd w:fill="CCEEFF" w:val="clear"/>
            <w:vAlign w:val="bottom"/>
          </w:tcPr>
          <w:p>
            <w:pPr>
              <w:pStyle w:val="TableContents"/>
              <w:spacing w:before="0" w:after="283"/>
              <w:rPr/>
            </w:pPr>
            <w:r>
              <w:rPr/>
              <w:t>)</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283"/>
              <w:jc w:val="right"/>
              <w:rPr/>
            </w:pPr>
            <w:r>
              <w:rPr/>
              <w:t>(1,638</w:t>
            </w:r>
          </w:p>
        </w:tc>
        <w:tc>
          <w:tcPr>
            <w:tcW w:w="143" w:type="dxa"/>
            <w:tcBorders/>
            <w:shd w:fill="CCEEFF" w:val="clear"/>
            <w:vAlign w:val="bottom"/>
          </w:tcPr>
          <w:p>
            <w:pPr>
              <w:pStyle w:val="TableContents"/>
              <w:spacing w:before="0" w:after="283"/>
              <w:rPr/>
            </w:pPr>
            <w:r>
              <w:rPr/>
              <w:t>)</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Balance at September 30, 2009</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94,192</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6,527</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100,719</w:t>
            </w:r>
          </w:p>
        </w:tc>
        <w:tc>
          <w:tcPr>
            <w:tcW w:w="143" w:type="dxa"/>
            <w:tcBorders/>
            <w:shd w:fill="auto" w:val="clear"/>
            <w:vAlign w:val="bottom"/>
          </w:tcPr>
          <w:p>
            <w:pPr>
              <w:pStyle w:val="TableContents"/>
              <w:spacing w:before="0" w:after="283"/>
              <w:rPr/>
            </w:pPr>
            <w:r>
              <w:rPr/>
              <w:t> </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450" w:right="0" w:hanging="225"/>
              <w:rPr/>
            </w:pPr>
            <w:r>
              <w:rPr/>
              <w:t>Acquisitions</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15,871</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15,871</w:t>
            </w:r>
          </w:p>
        </w:tc>
        <w:tc>
          <w:tcPr>
            <w:tcW w:w="143" w:type="dxa"/>
            <w:tcBorders/>
            <w:shd w:fill="CCEEFF" w:val="clear"/>
            <w:vAlign w:val="bottom"/>
          </w:tcPr>
          <w:p>
            <w:pPr>
              <w:pStyle w:val="TableContents"/>
              <w:spacing w:before="0" w:after="283"/>
              <w:rPr/>
            </w:pPr>
            <w:r>
              <w:rPr/>
              <w:t> </w:t>
            </w:r>
          </w:p>
        </w:tc>
      </w:tr>
      <w:tr>
        <w:trPr/>
        <w:tc>
          <w:tcPr>
            <w:tcW w:w="3497" w:type="dxa"/>
            <w:tcBorders/>
            <w:shd w:fill="auto" w:val="clear"/>
            <w:vAlign w:val="bottom"/>
          </w:tcPr>
          <w:p>
            <w:pPr>
              <w:pStyle w:val="TableContents"/>
              <w:spacing w:before="0" w:after="0"/>
              <w:ind w:left="450" w:right="0" w:hanging="225"/>
              <w:rPr/>
            </w:pPr>
            <w:r>
              <w:rPr/>
              <w:t>Post-closing purchase price allocation adjustments for prior year acquisitions</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192</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192</w:t>
            </w:r>
          </w:p>
        </w:tc>
        <w:tc>
          <w:tcPr>
            <w:tcW w:w="143" w:type="dxa"/>
            <w:tcBorders/>
            <w:shd w:fill="auto" w:val="clear"/>
            <w:vAlign w:val="bottom"/>
          </w:tcPr>
          <w:p>
            <w:pPr>
              <w:pStyle w:val="TableContents"/>
              <w:spacing w:before="0" w:after="283"/>
              <w:rPr/>
            </w:pPr>
            <w:r>
              <w:rPr/>
              <w:t> </w:t>
            </w:r>
          </w:p>
        </w:tc>
      </w:tr>
      <w:tr>
        <w:trPr/>
        <w:tc>
          <w:tcPr>
            <w:tcW w:w="3497" w:type="dxa"/>
            <w:tcBorders/>
            <w:shd w:fill="CCEEFF" w:val="clear"/>
            <w:vAlign w:val="bottom"/>
          </w:tcPr>
          <w:p>
            <w:pPr>
              <w:pStyle w:val="TableContents"/>
              <w:spacing w:before="0" w:after="0"/>
              <w:ind w:left="450" w:right="0" w:hanging="225"/>
              <w:rPr/>
            </w:pPr>
            <w:r>
              <w:rPr/>
              <w:t>Effect of foreign currency translation changes</w:t>
            </w:r>
          </w:p>
        </w:tc>
        <w:tc>
          <w:tcPr>
            <w:tcW w:w="28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523</w:t>
            </w:r>
          </w:p>
        </w:tc>
        <w:tc>
          <w:tcPr>
            <w:tcW w:w="133"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523</w:t>
            </w:r>
          </w:p>
        </w:tc>
        <w:tc>
          <w:tcPr>
            <w:tcW w:w="143" w:type="dxa"/>
            <w:tcBorders/>
            <w:shd w:fill="CCEEFF" w:val="clear"/>
            <w:vAlign w:val="bottom"/>
          </w:tcPr>
          <w:p>
            <w:pPr>
              <w:pStyle w:val="TableContents"/>
              <w:spacing w:before="0" w:after="283"/>
              <w:rPr/>
            </w:pPr>
            <w:r>
              <w:rPr/>
              <w:t> </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3497" w:type="dxa"/>
            <w:tcBorders/>
            <w:shd w:fill="auto" w:val="clear"/>
            <w:vAlign w:val="bottom"/>
          </w:tcPr>
          <w:p>
            <w:pPr>
              <w:pStyle w:val="TableContents"/>
              <w:spacing w:before="0" w:after="0"/>
              <w:ind w:left="225" w:right="0" w:hanging="225"/>
              <w:rPr/>
            </w:pPr>
            <w:r>
              <w:rPr/>
              <w:t>Balance at September 30, 2010</w:t>
            </w:r>
          </w:p>
        </w:tc>
        <w:tc>
          <w:tcPr>
            <w:tcW w:w="28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1049" w:type="dxa"/>
            <w:tcBorders/>
            <w:shd w:fill="auto" w:val="clear"/>
            <w:vAlign w:val="bottom"/>
          </w:tcPr>
          <w:p>
            <w:pPr>
              <w:pStyle w:val="TableContents"/>
              <w:spacing w:before="0" w:after="283"/>
              <w:jc w:val="right"/>
              <w:rPr/>
            </w:pPr>
            <w:r>
              <w:rPr/>
              <w:t>110,255</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7,050</w:t>
            </w:r>
          </w:p>
        </w:tc>
        <w:tc>
          <w:tcPr>
            <w:tcW w:w="133"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211" w:type="dxa"/>
            <w:tcBorders/>
            <w:shd w:fill="auto" w:val="clear"/>
            <w:vAlign w:val="bottom"/>
          </w:tcPr>
          <w:p>
            <w:pPr>
              <w:pStyle w:val="TableContents"/>
              <w:spacing w:before="0" w:after="283"/>
              <w:jc w:val="right"/>
              <w:rPr/>
            </w:pPr>
            <w:r>
              <w:rPr/>
              <w:t>117,305</w:t>
            </w:r>
          </w:p>
        </w:tc>
        <w:tc>
          <w:tcPr>
            <w:tcW w:w="143" w:type="dxa"/>
            <w:tcBorders/>
            <w:shd w:fill="auto" w:val="clear"/>
            <w:vAlign w:val="bottom"/>
          </w:tcPr>
          <w:p>
            <w:pPr>
              <w:pStyle w:val="TableContents"/>
              <w:spacing w:before="0" w:after="283"/>
              <w:rPr/>
            </w:pPr>
            <w:r>
              <w:rPr/>
              <w:t> </w:t>
            </w:r>
          </w:p>
        </w:tc>
      </w:tr>
      <w:tr>
        <w:trPr/>
        <w:tc>
          <w:tcPr>
            <w:tcW w:w="3497"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2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3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4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gross carrying amount and accumulated amortization for each major class of definite-lived intangible asset at the specified dates: </w:t>
      </w:r>
    </w:p>
    <w:tbl>
      <w:tblPr>
        <w:tblW w:w="5000" w:type="pct"/>
        <w:jc w:val="center"/>
        <w:tblInd w:w="0" w:type="dxa"/>
        <w:tblCellMar>
          <w:top w:w="0" w:type="dxa"/>
          <w:left w:w="0" w:type="dxa"/>
          <w:bottom w:w="0" w:type="dxa"/>
          <w:right w:w="0" w:type="dxa"/>
        </w:tblCellMar>
      </w:tblPr>
      <w:tblGrid>
        <w:gridCol w:w="3795"/>
        <w:gridCol w:w="331"/>
        <w:gridCol w:w="185"/>
        <w:gridCol w:w="803"/>
        <w:gridCol w:w="111"/>
        <w:gridCol w:w="340"/>
        <w:gridCol w:w="229"/>
        <w:gridCol w:w="1074"/>
        <w:gridCol w:w="128"/>
        <w:gridCol w:w="331"/>
        <w:gridCol w:w="185"/>
        <w:gridCol w:w="803"/>
        <w:gridCol w:w="110"/>
        <w:gridCol w:w="340"/>
        <w:gridCol w:w="229"/>
        <w:gridCol w:w="1074"/>
        <w:gridCol w:w="137"/>
      </w:tblGrid>
      <w:tr>
        <w:trPr/>
        <w:tc>
          <w:tcPr>
            <w:tcW w:w="379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79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742"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2010</w:t>
            </w:r>
          </w:p>
        </w:tc>
        <w:tc>
          <w:tcPr>
            <w:tcW w:w="128"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741"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2009</w:t>
            </w:r>
          </w:p>
        </w:tc>
        <w:tc>
          <w:tcPr>
            <w:tcW w:w="137" w:type="dxa"/>
            <w:tcBorders/>
            <w:shd w:fill="auto" w:val="clear"/>
            <w:vAlign w:val="bottom"/>
          </w:tcPr>
          <w:p>
            <w:pPr>
              <w:pStyle w:val="TableContents"/>
              <w:spacing w:before="0" w:after="283"/>
              <w:rPr/>
            </w:pPr>
            <w:r>
              <w:rPr/>
              <w:t> </w:t>
            </w:r>
          </w:p>
        </w:tc>
      </w:tr>
      <w:tr>
        <w:trPr/>
        <w:tc>
          <w:tcPr>
            <w:tcW w:w="379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88" w:type="dxa"/>
            <w:gridSpan w:val="2"/>
            <w:tcBorders/>
            <w:shd w:fill="auto" w:val="clear"/>
            <w:vAlign w:val="bottom"/>
          </w:tcPr>
          <w:p>
            <w:pPr>
              <w:pStyle w:val="TableContents"/>
              <w:spacing w:before="0" w:after="283"/>
              <w:jc w:val="center"/>
              <w:rPr/>
            </w:pPr>
            <w:r>
              <w:rPr/>
              <w:t>Carrying</w:t>
            </w:r>
          </w:p>
        </w:tc>
        <w:tc>
          <w:tcPr>
            <w:tcW w:w="11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03" w:type="dxa"/>
            <w:gridSpan w:val="2"/>
            <w:tcBorders/>
            <w:shd w:fill="auto" w:val="clear"/>
            <w:vAlign w:val="bottom"/>
          </w:tcPr>
          <w:p>
            <w:pPr>
              <w:pStyle w:val="TableContents"/>
              <w:spacing w:before="0" w:after="283"/>
              <w:jc w:val="center"/>
              <w:rPr/>
            </w:pPr>
            <w:r>
              <w:rPr/>
              <w:t>Accumulated</w:t>
            </w:r>
          </w:p>
        </w:tc>
        <w:tc>
          <w:tcPr>
            <w:tcW w:w="128"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88" w:type="dxa"/>
            <w:gridSpan w:val="2"/>
            <w:tcBorders/>
            <w:shd w:fill="auto" w:val="clear"/>
            <w:vAlign w:val="bottom"/>
          </w:tcPr>
          <w:p>
            <w:pPr>
              <w:pStyle w:val="TableContents"/>
              <w:spacing w:before="0" w:after="283"/>
              <w:jc w:val="center"/>
              <w:rPr/>
            </w:pPr>
            <w:r>
              <w:rPr/>
              <w:t>Carrying</w:t>
            </w:r>
          </w:p>
        </w:tc>
        <w:tc>
          <w:tcPr>
            <w:tcW w:w="11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03" w:type="dxa"/>
            <w:gridSpan w:val="2"/>
            <w:tcBorders/>
            <w:shd w:fill="auto" w:val="clear"/>
            <w:vAlign w:val="bottom"/>
          </w:tcPr>
          <w:p>
            <w:pPr>
              <w:pStyle w:val="TableContents"/>
              <w:spacing w:before="0" w:after="283"/>
              <w:jc w:val="center"/>
              <w:rPr/>
            </w:pPr>
            <w:r>
              <w:rPr/>
              <w:t>Accumulated</w:t>
            </w:r>
          </w:p>
        </w:tc>
        <w:tc>
          <w:tcPr>
            <w:tcW w:w="137" w:type="dxa"/>
            <w:tcBorders/>
            <w:shd w:fill="auto" w:val="clear"/>
            <w:vAlign w:val="bottom"/>
          </w:tcPr>
          <w:p>
            <w:pPr>
              <w:pStyle w:val="TableContents"/>
              <w:spacing w:before="0" w:after="283"/>
              <w:rPr/>
            </w:pPr>
            <w:r>
              <w:rPr/>
              <w:t> </w:t>
            </w:r>
          </w:p>
        </w:tc>
      </w:tr>
      <w:tr>
        <w:trPr/>
        <w:tc>
          <w:tcPr>
            <w:tcW w:w="379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11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03"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28"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11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03"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37" w:type="dxa"/>
            <w:tcBorders/>
            <w:shd w:fill="auto" w:val="clear"/>
            <w:vAlign w:val="bottom"/>
          </w:tcPr>
          <w:p>
            <w:pPr>
              <w:pStyle w:val="TableContents"/>
              <w:spacing w:before="0" w:after="283"/>
              <w:rPr/>
            </w:pPr>
            <w:r>
              <w:rPr/>
              <w:t> </w:t>
            </w:r>
          </w:p>
        </w:tc>
      </w:tr>
      <w:tr>
        <w:trPr/>
        <w:tc>
          <w:tcPr>
            <w:tcW w:w="379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5942" w:type="dxa"/>
            <w:gridSpan w:val="14"/>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r>
      <w:tr>
        <w:trPr/>
        <w:tc>
          <w:tcPr>
            <w:tcW w:w="3795" w:type="dxa"/>
            <w:tcBorders/>
            <w:shd w:fill="CCEEFF" w:val="clear"/>
            <w:vAlign w:val="bottom"/>
          </w:tcPr>
          <w:p>
            <w:pPr>
              <w:pStyle w:val="TableContents"/>
              <w:spacing w:before="0" w:after="0"/>
              <w:ind w:left="225" w:right="0" w:hanging="225"/>
              <w:rPr/>
            </w:pPr>
            <w:r>
              <w:rPr/>
              <w:t>License application fees</w:t>
            </w:r>
          </w:p>
        </w:tc>
        <w:tc>
          <w:tcPr>
            <w:tcW w:w="33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345</w:t>
            </w:r>
          </w:p>
        </w:tc>
        <w:tc>
          <w:tcPr>
            <w:tcW w:w="11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074" w:type="dxa"/>
            <w:tcBorders/>
            <w:shd w:fill="CCEEFF" w:val="clear"/>
            <w:vAlign w:val="bottom"/>
          </w:tcPr>
          <w:p>
            <w:pPr>
              <w:pStyle w:val="TableContents"/>
              <w:spacing w:before="0" w:after="283"/>
              <w:jc w:val="right"/>
              <w:rPr/>
            </w:pPr>
            <w:r>
              <w:rPr/>
              <w:t>(345</w:t>
            </w:r>
          </w:p>
        </w:tc>
        <w:tc>
          <w:tcPr>
            <w:tcW w:w="128"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345</w:t>
            </w:r>
          </w:p>
        </w:tc>
        <w:tc>
          <w:tcPr>
            <w:tcW w:w="11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074" w:type="dxa"/>
            <w:tcBorders/>
            <w:shd w:fill="CCEEFF" w:val="clear"/>
            <w:vAlign w:val="bottom"/>
          </w:tcPr>
          <w:p>
            <w:pPr>
              <w:pStyle w:val="TableContents"/>
              <w:spacing w:before="0" w:after="283"/>
              <w:jc w:val="right"/>
              <w:rPr/>
            </w:pPr>
            <w:r>
              <w:rPr/>
              <w:t>(339</w:t>
            </w:r>
          </w:p>
        </w:tc>
        <w:tc>
          <w:tcPr>
            <w:tcW w:w="137" w:type="dxa"/>
            <w:tcBorders/>
            <w:shd w:fill="CCEEFF" w:val="clear"/>
            <w:vAlign w:val="bottom"/>
          </w:tcPr>
          <w:p>
            <w:pPr>
              <w:pStyle w:val="TableContents"/>
              <w:spacing w:before="0" w:after="283"/>
              <w:rPr/>
            </w:pPr>
            <w:r>
              <w:rPr/>
              <w:t>)</w:t>
            </w:r>
          </w:p>
        </w:tc>
      </w:tr>
      <w:tr>
        <w:trPr/>
        <w:tc>
          <w:tcPr>
            <w:tcW w:w="3795" w:type="dxa"/>
            <w:tcBorders/>
            <w:shd w:fill="auto" w:val="clear"/>
            <w:vAlign w:val="bottom"/>
          </w:tcPr>
          <w:p>
            <w:pPr>
              <w:pStyle w:val="TableContents"/>
              <w:spacing w:before="0" w:after="0"/>
              <w:ind w:left="225" w:right="0" w:hanging="225"/>
              <w:rPr/>
            </w:pPr>
            <w:r>
              <w:rPr/>
              <w:t>Real estate finders fees</w:t>
            </w:r>
          </w:p>
        </w:tc>
        <w:tc>
          <w:tcPr>
            <w:tcW w:w="33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948</w:t>
            </w:r>
          </w:p>
        </w:tc>
        <w:tc>
          <w:tcPr>
            <w:tcW w:w="11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(401</w:t>
            </w:r>
          </w:p>
        </w:tc>
        <w:tc>
          <w:tcPr>
            <w:tcW w:w="128"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609</w:t>
            </w:r>
          </w:p>
        </w:tc>
        <w:tc>
          <w:tcPr>
            <w:tcW w:w="11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(367</w:t>
            </w:r>
          </w:p>
        </w:tc>
        <w:tc>
          <w:tcPr>
            <w:tcW w:w="137" w:type="dxa"/>
            <w:tcBorders/>
            <w:shd w:fill="auto" w:val="clear"/>
            <w:vAlign w:val="bottom"/>
          </w:tcPr>
          <w:p>
            <w:pPr>
              <w:pStyle w:val="TableContents"/>
              <w:spacing w:before="0" w:after="283"/>
              <w:rPr/>
            </w:pPr>
            <w:r>
              <w:rPr/>
              <w:t>)</w:t>
            </w:r>
          </w:p>
        </w:tc>
      </w:tr>
      <w:tr>
        <w:trPr/>
        <w:tc>
          <w:tcPr>
            <w:tcW w:w="3795" w:type="dxa"/>
            <w:tcBorders/>
            <w:shd w:fill="CCEEFF" w:val="clear"/>
            <w:vAlign w:val="bottom"/>
          </w:tcPr>
          <w:p>
            <w:pPr>
              <w:pStyle w:val="TableContents"/>
              <w:spacing w:before="0" w:after="0"/>
              <w:ind w:left="225" w:right="0" w:hanging="225"/>
              <w:rPr/>
            </w:pPr>
            <w:r>
              <w:rPr/>
              <w:t>Non-compete agreements</w:t>
            </w:r>
          </w:p>
        </w:tc>
        <w:tc>
          <w:tcPr>
            <w:tcW w:w="33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3,081</w:t>
            </w:r>
          </w:p>
        </w:tc>
        <w:tc>
          <w:tcPr>
            <w:tcW w:w="11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jc w:val="right"/>
              <w:rPr/>
            </w:pPr>
            <w:r>
              <w:rPr/>
              <w:t>(1,834</w:t>
            </w:r>
          </w:p>
        </w:tc>
        <w:tc>
          <w:tcPr>
            <w:tcW w:w="128"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2,497</w:t>
            </w:r>
          </w:p>
        </w:tc>
        <w:tc>
          <w:tcPr>
            <w:tcW w:w="11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jc w:val="right"/>
              <w:rPr/>
            </w:pPr>
            <w:r>
              <w:rPr/>
              <w:t>(1,192</w:t>
            </w:r>
          </w:p>
        </w:tc>
        <w:tc>
          <w:tcPr>
            <w:tcW w:w="137" w:type="dxa"/>
            <w:tcBorders/>
            <w:shd w:fill="CCEEFF" w:val="clear"/>
            <w:vAlign w:val="bottom"/>
          </w:tcPr>
          <w:p>
            <w:pPr>
              <w:pStyle w:val="TableContents"/>
              <w:spacing w:before="0" w:after="283"/>
              <w:rPr/>
            </w:pPr>
            <w:r>
              <w:rPr/>
              <w:t>)</w:t>
            </w:r>
          </w:p>
        </w:tc>
      </w:tr>
      <w:tr>
        <w:trPr/>
        <w:tc>
          <w:tcPr>
            <w:tcW w:w="3795" w:type="dxa"/>
            <w:tcBorders/>
            <w:shd w:fill="auto" w:val="clear"/>
            <w:vAlign w:val="bottom"/>
          </w:tcPr>
          <w:p>
            <w:pPr>
              <w:pStyle w:val="TableContents"/>
              <w:spacing w:before="0" w:after="0"/>
              <w:ind w:left="225" w:right="0" w:hanging="225"/>
              <w:rPr/>
            </w:pPr>
            <w:r>
              <w:rPr/>
              <w:t>Favorable lease</w:t>
            </w:r>
          </w:p>
        </w:tc>
        <w:tc>
          <w:tcPr>
            <w:tcW w:w="33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644</w:t>
            </w:r>
          </w:p>
        </w:tc>
        <w:tc>
          <w:tcPr>
            <w:tcW w:w="11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(219</w:t>
            </w:r>
          </w:p>
        </w:tc>
        <w:tc>
          <w:tcPr>
            <w:tcW w:w="128"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644</w:t>
            </w:r>
          </w:p>
        </w:tc>
        <w:tc>
          <w:tcPr>
            <w:tcW w:w="11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(95</w:t>
            </w:r>
          </w:p>
        </w:tc>
        <w:tc>
          <w:tcPr>
            <w:tcW w:w="137" w:type="dxa"/>
            <w:tcBorders/>
            <w:shd w:fill="auto" w:val="clear"/>
            <w:vAlign w:val="bottom"/>
          </w:tcPr>
          <w:p>
            <w:pPr>
              <w:pStyle w:val="TableContents"/>
              <w:spacing w:before="0" w:after="283"/>
              <w:rPr/>
            </w:pPr>
            <w:r>
              <w:rPr/>
              <w:t>)</w:t>
            </w:r>
          </w:p>
        </w:tc>
      </w:tr>
      <w:tr>
        <w:trPr/>
        <w:tc>
          <w:tcPr>
            <w:tcW w:w="3795" w:type="dxa"/>
            <w:tcBorders/>
            <w:shd w:fill="CCEEFF" w:val="clear"/>
            <w:vAlign w:val="bottom"/>
          </w:tcPr>
          <w:p>
            <w:pPr>
              <w:pStyle w:val="TableContents"/>
              <w:spacing w:before="0" w:after="0"/>
              <w:ind w:left="225" w:right="0" w:hanging="225"/>
              <w:rPr/>
            </w:pPr>
            <w:r>
              <w:rPr/>
              <w:t>Other</w:t>
            </w:r>
          </w:p>
        </w:tc>
        <w:tc>
          <w:tcPr>
            <w:tcW w:w="33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48</w:t>
            </w:r>
          </w:p>
        </w:tc>
        <w:tc>
          <w:tcPr>
            <w:tcW w:w="11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jc w:val="right"/>
              <w:rPr/>
            </w:pPr>
            <w:r>
              <w:rPr/>
              <w:t>(6</w:t>
            </w:r>
          </w:p>
        </w:tc>
        <w:tc>
          <w:tcPr>
            <w:tcW w:w="128" w:type="dxa"/>
            <w:tcBorders/>
            <w:shd w:fill="CCEEFF" w:val="clear"/>
            <w:vAlign w:val="bottom"/>
          </w:tcPr>
          <w:p>
            <w:pPr>
              <w:pStyle w:val="TableContents"/>
              <w:spacing w:before="0" w:after="283"/>
              <w:rPr/>
            </w:pPr>
            <w:r>
              <w:rPr/>
              <w:t>)</w:t>
            </w:r>
          </w:p>
        </w:tc>
        <w:tc>
          <w:tcPr>
            <w:tcW w:w="33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11</w:t>
            </w:r>
          </w:p>
        </w:tc>
        <w:tc>
          <w:tcPr>
            <w:tcW w:w="11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3795" w:type="dxa"/>
            <w:tcBorders/>
            <w:shd w:fill="auto" w:val="clear"/>
            <w:vAlign w:val="center"/>
          </w:tcPr>
          <w:p>
            <w:pPr>
              <w:pStyle w:val="TableContents"/>
              <w:spacing w:before="0" w:after="0"/>
              <w:ind w:left="225" w:right="0" w:hanging="225"/>
              <w:rPr/>
            </w:pPr>
            <w:r>
              <w:rPr/>
              <w:t> </w:t>
            </w:r>
          </w:p>
        </w:tc>
        <w:tc>
          <w:tcPr>
            <w:tcW w:w="331"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795" w:type="dxa"/>
            <w:tcBorders/>
            <w:shd w:fill="auto" w:val="clear"/>
            <w:vAlign w:val="bottom"/>
          </w:tcPr>
          <w:p>
            <w:pPr>
              <w:pStyle w:val="TableContents"/>
              <w:spacing w:before="0" w:after="0"/>
              <w:ind w:left="225" w:right="0" w:hanging="225"/>
              <w:rPr/>
            </w:pPr>
            <w:r>
              <w:rPr/>
              <w:t>Total</w:t>
            </w:r>
          </w:p>
        </w:tc>
        <w:tc>
          <w:tcPr>
            <w:tcW w:w="33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03" w:type="dxa"/>
            <w:tcBorders/>
            <w:shd w:fill="auto" w:val="clear"/>
            <w:vAlign w:val="bottom"/>
          </w:tcPr>
          <w:p>
            <w:pPr>
              <w:pStyle w:val="TableContents"/>
              <w:spacing w:before="0" w:after="283"/>
              <w:jc w:val="right"/>
              <w:rPr/>
            </w:pPr>
            <w:r>
              <w:rPr/>
              <w:t>5,066</w:t>
            </w:r>
          </w:p>
        </w:tc>
        <w:tc>
          <w:tcPr>
            <w:tcW w:w="11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074" w:type="dxa"/>
            <w:tcBorders/>
            <w:shd w:fill="auto" w:val="clear"/>
            <w:vAlign w:val="bottom"/>
          </w:tcPr>
          <w:p>
            <w:pPr>
              <w:pStyle w:val="TableContents"/>
              <w:spacing w:before="0" w:after="283"/>
              <w:jc w:val="right"/>
              <w:rPr/>
            </w:pPr>
            <w:r>
              <w:rPr/>
              <w:t>(2,805</w:t>
            </w:r>
          </w:p>
        </w:tc>
        <w:tc>
          <w:tcPr>
            <w:tcW w:w="128" w:type="dxa"/>
            <w:tcBorders/>
            <w:shd w:fill="auto" w:val="clear"/>
            <w:vAlign w:val="bottom"/>
          </w:tcPr>
          <w:p>
            <w:pPr>
              <w:pStyle w:val="TableContents"/>
              <w:spacing w:before="0" w:after="283"/>
              <w:rPr/>
            </w:pPr>
            <w:r>
              <w:rPr/>
              <w:t>)</w:t>
            </w:r>
          </w:p>
        </w:tc>
        <w:tc>
          <w:tcPr>
            <w:tcW w:w="33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03" w:type="dxa"/>
            <w:tcBorders/>
            <w:shd w:fill="auto" w:val="clear"/>
            <w:vAlign w:val="bottom"/>
          </w:tcPr>
          <w:p>
            <w:pPr>
              <w:pStyle w:val="TableContents"/>
              <w:spacing w:before="0" w:after="283"/>
              <w:jc w:val="right"/>
              <w:rPr/>
            </w:pPr>
            <w:r>
              <w:rPr/>
              <w:t>4,106</w:t>
            </w:r>
          </w:p>
        </w:tc>
        <w:tc>
          <w:tcPr>
            <w:tcW w:w="11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074" w:type="dxa"/>
            <w:tcBorders/>
            <w:shd w:fill="auto" w:val="clear"/>
            <w:vAlign w:val="bottom"/>
          </w:tcPr>
          <w:p>
            <w:pPr>
              <w:pStyle w:val="TableContents"/>
              <w:spacing w:before="0" w:after="283"/>
              <w:jc w:val="right"/>
              <w:rPr/>
            </w:pPr>
            <w:r>
              <w:rPr/>
              <w:t>(1,993</w:t>
            </w:r>
          </w:p>
        </w:tc>
        <w:tc>
          <w:tcPr>
            <w:tcW w:w="137" w:type="dxa"/>
            <w:tcBorders/>
            <w:shd w:fill="auto" w:val="clear"/>
            <w:vAlign w:val="bottom"/>
          </w:tcPr>
          <w:p>
            <w:pPr>
              <w:pStyle w:val="TableContents"/>
              <w:spacing w:before="0" w:after="283"/>
              <w:rPr/>
            </w:pPr>
            <w:r>
              <w:rPr/>
              <w:t>)</w:t>
            </w:r>
          </w:p>
        </w:tc>
      </w:tr>
      <w:tr>
        <w:trPr/>
        <w:tc>
          <w:tcPr>
            <w:tcW w:w="3795" w:type="dxa"/>
            <w:tcBorders/>
            <w:shd w:fill="auto" w:val="clear"/>
            <w:vAlign w:val="center"/>
          </w:tcPr>
          <w:p>
            <w:pPr>
              <w:pStyle w:val="TableContents"/>
              <w:spacing w:before="0" w:after="0"/>
              <w:ind w:left="225" w:right="0" w:hanging="225"/>
              <w:rPr/>
            </w:pPr>
            <w:r>
              <w:rPr/>
              <w:t> </w:t>
            </w:r>
          </w:p>
        </w:tc>
        <w:tc>
          <w:tcPr>
            <w:tcW w:w="331"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3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Total amortization expense from definite-lived intangible assets was approximately $631,000, $485,000 and $560,000 for fiscal 2010, 2009 and 2008, respectively. The favorable lease asset and other intangibles are amortized to rent expense and are included in Operations expense on our statements of operations. The following table presents our estimate of amortization expense for definite-lived intangible assets for each of the five succeeding fiscal years as of September 30, 2010 (in thousands): </w:t>
      </w:r>
    </w:p>
    <w:tbl>
      <w:tblPr>
        <w:tblW w:w="5000" w:type="pct"/>
        <w:jc w:val="center"/>
        <w:tblInd w:w="0" w:type="dxa"/>
        <w:tblCellMar>
          <w:top w:w="0" w:type="dxa"/>
          <w:left w:w="0" w:type="dxa"/>
          <w:bottom w:w="0" w:type="dxa"/>
          <w:right w:w="0" w:type="dxa"/>
        </w:tblCellMar>
      </w:tblPr>
      <w:tblGrid>
        <w:gridCol w:w="7326"/>
        <w:gridCol w:w="414"/>
        <w:gridCol w:w="584"/>
        <w:gridCol w:w="1753"/>
        <w:gridCol w:w="128"/>
      </w:tblGrid>
      <w:tr>
        <w:trPr/>
        <w:tc>
          <w:tcPr>
            <w:tcW w:w="7326"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rPr/>
            </w:pPr>
            <w:r>
              <w:rPr/>
              <w:t> </w:t>
            </w:r>
          </w:p>
        </w:tc>
        <w:tc>
          <w:tcPr>
            <w:tcW w:w="175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7326" w:type="dxa"/>
            <w:tcBorders>
              <w:bottom w:val="single" w:sz="2" w:space="0" w:color="000000"/>
            </w:tcBorders>
            <w:shd w:fill="auto" w:val="clear"/>
            <w:tcMar>
              <w:bottom w:w="28" w:type="dxa"/>
            </w:tcMar>
            <w:vAlign w:val="bottom"/>
          </w:tcPr>
          <w:p>
            <w:pPr>
              <w:pStyle w:val="TableContents"/>
              <w:spacing w:before="0" w:after="283"/>
              <w:jc w:val="center"/>
              <w:rPr/>
            </w:pPr>
            <w:r>
              <w:rPr/>
              <w:t>Fiscal Year</w:t>
            </w:r>
          </w:p>
        </w:tc>
        <w:tc>
          <w:tcPr>
            <w:tcW w:w="414" w:type="dxa"/>
            <w:tcBorders/>
            <w:shd w:fill="auto" w:val="clear"/>
            <w:vAlign w:val="bottom"/>
          </w:tcPr>
          <w:p>
            <w:pPr>
              <w:pStyle w:val="TableContents"/>
              <w:spacing w:before="0" w:after="283"/>
              <w:rPr/>
            </w:pPr>
            <w:r>
              <w:rPr/>
              <w:t> </w:t>
            </w:r>
          </w:p>
        </w:tc>
        <w:tc>
          <w:tcPr>
            <w:tcW w:w="2337"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 Expense</w:t>
            </w:r>
          </w:p>
        </w:tc>
        <w:tc>
          <w:tcPr>
            <w:tcW w:w="128" w:type="dxa"/>
            <w:tcBorders/>
            <w:shd w:fill="auto" w:val="clear"/>
            <w:vAlign w:val="bottom"/>
          </w:tcPr>
          <w:p>
            <w:pPr>
              <w:pStyle w:val="TableContents"/>
              <w:spacing w:before="0" w:after="283"/>
              <w:rPr/>
            </w:pPr>
            <w:r>
              <w:rPr/>
              <w:t> </w:t>
            </w:r>
          </w:p>
        </w:tc>
      </w:tr>
      <w:tr>
        <w:trPr/>
        <w:tc>
          <w:tcPr>
            <w:tcW w:w="7326" w:type="dxa"/>
            <w:tcBorders/>
            <w:shd w:fill="CCEEFF" w:val="clear"/>
            <w:vAlign w:val="bottom"/>
          </w:tcPr>
          <w:p>
            <w:pPr>
              <w:pStyle w:val="TableContents"/>
              <w:spacing w:before="0" w:after="0"/>
              <w:ind w:left="225" w:right="0" w:hanging="225"/>
              <w:rPr/>
            </w:pPr>
            <w:r>
              <w:rPr/>
              <w:t>2011</w:t>
            </w:r>
          </w:p>
        </w:tc>
        <w:tc>
          <w:tcPr>
            <w:tcW w:w="414"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jc w:val="left"/>
              <w:rPr/>
            </w:pPr>
            <w:r>
              <w:rPr/>
              <w:t>$</w:t>
            </w:r>
          </w:p>
        </w:tc>
        <w:tc>
          <w:tcPr>
            <w:tcW w:w="1753" w:type="dxa"/>
            <w:tcBorders/>
            <w:shd w:fill="CCEEFF" w:val="clear"/>
            <w:vAlign w:val="bottom"/>
          </w:tcPr>
          <w:p>
            <w:pPr>
              <w:pStyle w:val="TableContents"/>
              <w:spacing w:before="0" w:after="283"/>
              <w:jc w:val="right"/>
              <w:rPr/>
            </w:pPr>
            <w:r>
              <w:rPr/>
              <w:t>743</w:t>
            </w:r>
          </w:p>
        </w:tc>
        <w:tc>
          <w:tcPr>
            <w:tcW w:w="128" w:type="dxa"/>
            <w:tcBorders/>
            <w:shd w:fill="CCEEFF" w:val="clear"/>
            <w:vAlign w:val="bottom"/>
          </w:tcPr>
          <w:p>
            <w:pPr>
              <w:pStyle w:val="TableContents"/>
              <w:spacing w:before="0" w:after="283"/>
              <w:rPr/>
            </w:pPr>
            <w:r>
              <w:rPr/>
              <w:t> </w:t>
            </w:r>
          </w:p>
        </w:tc>
      </w:tr>
      <w:tr>
        <w:trPr/>
        <w:tc>
          <w:tcPr>
            <w:tcW w:w="7326" w:type="dxa"/>
            <w:tcBorders/>
            <w:shd w:fill="auto" w:val="clear"/>
            <w:vAlign w:val="bottom"/>
          </w:tcPr>
          <w:p>
            <w:pPr>
              <w:pStyle w:val="TableContents"/>
              <w:spacing w:before="0" w:after="0"/>
              <w:ind w:left="225" w:right="0" w:hanging="225"/>
              <w:rPr/>
            </w:pPr>
            <w:r>
              <w:rPr/>
              <w:t>2012</w:t>
            </w:r>
          </w:p>
        </w:tc>
        <w:tc>
          <w:tcPr>
            <w:tcW w:w="414"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jc w:val="left"/>
              <w:rPr/>
            </w:pPr>
            <w:r>
              <w:rPr/>
              <w:t>$</w:t>
            </w:r>
          </w:p>
        </w:tc>
        <w:tc>
          <w:tcPr>
            <w:tcW w:w="1753" w:type="dxa"/>
            <w:tcBorders/>
            <w:shd w:fill="auto" w:val="clear"/>
            <w:vAlign w:val="bottom"/>
          </w:tcPr>
          <w:p>
            <w:pPr>
              <w:pStyle w:val="TableContents"/>
              <w:spacing w:before="0" w:after="283"/>
              <w:jc w:val="right"/>
              <w:rPr/>
            </w:pPr>
            <w:r>
              <w:rPr/>
              <w:t>586</w:t>
            </w:r>
          </w:p>
        </w:tc>
        <w:tc>
          <w:tcPr>
            <w:tcW w:w="128" w:type="dxa"/>
            <w:tcBorders/>
            <w:shd w:fill="auto" w:val="clear"/>
            <w:vAlign w:val="bottom"/>
          </w:tcPr>
          <w:p>
            <w:pPr>
              <w:pStyle w:val="TableContents"/>
              <w:spacing w:before="0" w:after="283"/>
              <w:rPr/>
            </w:pPr>
            <w:r>
              <w:rPr/>
              <w:t> </w:t>
            </w:r>
          </w:p>
        </w:tc>
      </w:tr>
      <w:tr>
        <w:trPr/>
        <w:tc>
          <w:tcPr>
            <w:tcW w:w="7326" w:type="dxa"/>
            <w:tcBorders/>
            <w:shd w:fill="CCEEFF" w:val="clear"/>
            <w:vAlign w:val="bottom"/>
          </w:tcPr>
          <w:p>
            <w:pPr>
              <w:pStyle w:val="TableContents"/>
              <w:spacing w:before="0" w:after="0"/>
              <w:ind w:left="225" w:right="0" w:hanging="225"/>
              <w:rPr/>
            </w:pPr>
            <w:r>
              <w:rPr/>
              <w:t>2013</w:t>
            </w:r>
          </w:p>
        </w:tc>
        <w:tc>
          <w:tcPr>
            <w:tcW w:w="414"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jc w:val="left"/>
              <w:rPr/>
            </w:pPr>
            <w:r>
              <w:rPr/>
              <w:t>$</w:t>
            </w:r>
          </w:p>
        </w:tc>
        <w:tc>
          <w:tcPr>
            <w:tcW w:w="1753" w:type="dxa"/>
            <w:tcBorders/>
            <w:shd w:fill="CCEEFF" w:val="clear"/>
            <w:vAlign w:val="bottom"/>
          </w:tcPr>
          <w:p>
            <w:pPr>
              <w:pStyle w:val="TableContents"/>
              <w:spacing w:before="0" w:after="283"/>
              <w:jc w:val="right"/>
              <w:rPr/>
            </w:pPr>
            <w:r>
              <w:rPr/>
              <w:t>114</w:t>
            </w:r>
          </w:p>
        </w:tc>
        <w:tc>
          <w:tcPr>
            <w:tcW w:w="128" w:type="dxa"/>
            <w:tcBorders/>
            <w:shd w:fill="CCEEFF" w:val="clear"/>
            <w:vAlign w:val="bottom"/>
          </w:tcPr>
          <w:p>
            <w:pPr>
              <w:pStyle w:val="TableContents"/>
              <w:spacing w:before="0" w:after="283"/>
              <w:rPr/>
            </w:pPr>
            <w:r>
              <w:rPr/>
              <w:t> </w:t>
            </w:r>
          </w:p>
        </w:tc>
      </w:tr>
      <w:tr>
        <w:trPr/>
        <w:tc>
          <w:tcPr>
            <w:tcW w:w="7326" w:type="dxa"/>
            <w:tcBorders/>
            <w:shd w:fill="auto" w:val="clear"/>
            <w:vAlign w:val="bottom"/>
          </w:tcPr>
          <w:p>
            <w:pPr>
              <w:pStyle w:val="TableContents"/>
              <w:spacing w:before="0" w:after="0"/>
              <w:ind w:left="225" w:right="0" w:hanging="225"/>
              <w:rPr/>
            </w:pPr>
            <w:r>
              <w:rPr/>
              <w:t>2014</w:t>
            </w:r>
          </w:p>
        </w:tc>
        <w:tc>
          <w:tcPr>
            <w:tcW w:w="414"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jc w:val="left"/>
              <w:rPr/>
            </w:pPr>
            <w:r>
              <w:rPr/>
              <w:t>$</w:t>
            </w:r>
          </w:p>
        </w:tc>
        <w:tc>
          <w:tcPr>
            <w:tcW w:w="1753" w:type="dxa"/>
            <w:tcBorders/>
            <w:shd w:fill="auto" w:val="clear"/>
            <w:vAlign w:val="bottom"/>
          </w:tcPr>
          <w:p>
            <w:pPr>
              <w:pStyle w:val="TableContents"/>
              <w:spacing w:before="0" w:after="283"/>
              <w:jc w:val="right"/>
              <w:rPr/>
            </w:pPr>
            <w:r>
              <w:rPr/>
              <w:t>59</w:t>
            </w:r>
          </w:p>
        </w:tc>
        <w:tc>
          <w:tcPr>
            <w:tcW w:w="128" w:type="dxa"/>
            <w:tcBorders/>
            <w:shd w:fill="auto" w:val="clear"/>
            <w:vAlign w:val="bottom"/>
          </w:tcPr>
          <w:p>
            <w:pPr>
              <w:pStyle w:val="TableContents"/>
              <w:spacing w:before="0" w:after="283"/>
              <w:rPr/>
            </w:pPr>
            <w:r>
              <w:rPr/>
              <w:t> </w:t>
            </w:r>
          </w:p>
        </w:tc>
      </w:tr>
      <w:tr>
        <w:trPr/>
        <w:tc>
          <w:tcPr>
            <w:tcW w:w="7326" w:type="dxa"/>
            <w:tcBorders/>
            <w:shd w:fill="CCEEFF" w:val="clear"/>
            <w:vAlign w:val="bottom"/>
          </w:tcPr>
          <w:p>
            <w:pPr>
              <w:pStyle w:val="TableContents"/>
              <w:spacing w:before="0" w:after="0"/>
              <w:ind w:left="225" w:right="0" w:hanging="225"/>
              <w:rPr/>
            </w:pPr>
            <w:r>
              <w:rPr/>
              <w:t>2015</w:t>
            </w:r>
          </w:p>
        </w:tc>
        <w:tc>
          <w:tcPr>
            <w:tcW w:w="414"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jc w:val="left"/>
              <w:rPr/>
            </w:pPr>
            <w:r>
              <w:rPr/>
              <w:t>$</w:t>
            </w:r>
          </w:p>
        </w:tc>
        <w:tc>
          <w:tcPr>
            <w:tcW w:w="1753" w:type="dxa"/>
            <w:tcBorders/>
            <w:shd w:fill="CCEEFF" w:val="clear"/>
            <w:vAlign w:val="bottom"/>
          </w:tcPr>
          <w:p>
            <w:pPr>
              <w:pStyle w:val="TableContents"/>
              <w:spacing w:before="0" w:after="283"/>
              <w:jc w:val="right"/>
              <w:rPr/>
            </w:pPr>
            <w:r>
              <w:rPr/>
              <w:t>52</w:t>
            </w:r>
          </w:p>
        </w:tc>
        <w:tc>
          <w:tcPr>
            <w:tcW w:w="128"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These amounts exclude amortization of other intangible assets and the favorable lease asset, which are amortized to rent expense over the related lease terms. As acquisitions and dispositions occur in the future, amortization expense may vary from these estimates. </w:t>
      </w:r>
    </w:p>
    <w:p>
      <w:pPr>
        <w:pStyle w:val="TextBody"/>
        <w:jc w:val="center"/>
        <w:rPr>
          <w:rFonts w:ascii="Times New Roman;Times;serif" w:hAnsi="Times New Roman;Times;serif"/>
          <w:sz w:val="17"/>
        </w:rPr>
      </w:pPr>
      <w:r>
        <w:rPr>
          <w:rFonts w:ascii="Times New Roman;Times;serif" w:hAnsi="Times New Roman;Times;serif"/>
          <w:sz w:val="17"/>
        </w:rPr>
        <w:t xml:space="preserve">68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G: Accounts Payable and Other Accrued Expenses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Accounts payable and other accrued expenses consisted of the following: </w:t>
      </w:r>
    </w:p>
    <w:tbl>
      <w:tblPr>
        <w:tblW w:w="5000" w:type="pct"/>
        <w:jc w:val="center"/>
        <w:tblInd w:w="0" w:type="dxa"/>
        <w:tblCellMar>
          <w:top w:w="0" w:type="dxa"/>
          <w:left w:w="0" w:type="dxa"/>
          <w:bottom w:w="0" w:type="dxa"/>
          <w:right w:w="0" w:type="dxa"/>
        </w:tblCellMar>
      </w:tblPr>
      <w:tblGrid>
        <w:gridCol w:w="7314"/>
        <w:gridCol w:w="482"/>
        <w:gridCol w:w="142"/>
        <w:gridCol w:w="706"/>
        <w:gridCol w:w="113"/>
        <w:gridCol w:w="482"/>
        <w:gridCol w:w="142"/>
        <w:gridCol w:w="706"/>
        <w:gridCol w:w="118"/>
      </w:tblGrid>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91"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91" w:type="dxa"/>
            <w:gridSpan w:val="6"/>
            <w:tcBorders/>
            <w:shd w:fill="auto" w:val="clear"/>
            <w:vAlign w:val="bottom"/>
          </w:tcPr>
          <w:p>
            <w:pPr>
              <w:pStyle w:val="TableContents"/>
              <w:spacing w:before="0" w:after="283"/>
              <w:jc w:val="center"/>
              <w:rPr>
                <w:i/>
              </w:rPr>
            </w:pPr>
            <w:r>
              <w:rPr>
                <w:i/>
              </w:rPr>
              <w:t>(In thousands)</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Trade accounts payable</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6" w:type="dxa"/>
            <w:tcBorders/>
            <w:shd w:fill="CCEEFF" w:val="clear"/>
            <w:vAlign w:val="bottom"/>
          </w:tcPr>
          <w:p>
            <w:pPr>
              <w:pStyle w:val="TableContents"/>
              <w:spacing w:before="0" w:after="283"/>
              <w:jc w:val="right"/>
              <w:rPr/>
            </w:pPr>
            <w:r>
              <w:rPr/>
              <w:t>9,135</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6" w:type="dxa"/>
            <w:tcBorders/>
            <w:shd w:fill="CCEEFF" w:val="clear"/>
            <w:vAlign w:val="bottom"/>
          </w:tcPr>
          <w:p>
            <w:pPr>
              <w:pStyle w:val="TableContents"/>
              <w:spacing w:before="0" w:after="283"/>
              <w:jc w:val="right"/>
              <w:rPr/>
            </w:pPr>
            <w:r>
              <w:rPr/>
              <w:t>6,544</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Accrued payroll and related expenses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20,838</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9,917</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Accrued interest</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94</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105</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Accrued rent and property taxes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9,121</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8,397</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Accrual for expected losses on credit service letters of credit</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1,699</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1,797</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Collected funds payable to unaffiliated lenders under credit service programs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823</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606</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Other accrued expenses</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7,953</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6,472</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706" w:type="dxa"/>
            <w:tcBorders/>
            <w:shd w:fill="auto" w:val="clear"/>
            <w:vAlign w:val="bottom"/>
          </w:tcPr>
          <w:p>
            <w:pPr>
              <w:pStyle w:val="TableContents"/>
              <w:spacing w:before="0" w:after="283"/>
              <w:jc w:val="right"/>
              <w:rPr/>
            </w:pPr>
            <w:r>
              <w:rPr/>
              <w:t>49,663</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706" w:type="dxa"/>
            <w:tcBorders/>
            <w:shd w:fill="auto" w:val="clear"/>
            <w:vAlign w:val="bottom"/>
          </w:tcPr>
          <w:p>
            <w:pPr>
              <w:pStyle w:val="TableContents"/>
              <w:spacing w:before="0" w:after="283"/>
              <w:jc w:val="right"/>
              <w:rPr/>
            </w:pPr>
            <w:r>
              <w:rPr/>
              <w:t>33,838</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H: Long-Term Debt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syndicated credit agreement provides for, among other things, (i) an $80 million revolving credit facility, maturing December 31, 2011, that we may, under the terms of the agreement, request to be increased to a total of $110 million and (ii) a $40 million term loan, maturing December 31, 2012. Our term loan requires $2.5 million quarterly principal payments. At September 30, 2010, $25.0 million was outstanding under the term loan, and bank letters of credit totaling $5.0 million were outstanding, leaving $75 million available on our revolving credit facility. The outstanding bank letters of credit secure our obligations under letters of credit we issue to unaffiliated lenders as part of our credit service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credit agreement, we may choose either a Eurodollar rate or the base rate. We may choose to pay interest to the lenders for outstanding borrowings at the Eurodollar rate plus 175 to 250 basis points or the banks base rate plus 0 to 50 basis points, depending on our leverage ratio computed at the end of each calendar quarter. Our rates are currently at the minimum of the range. On the unused amount of the revolving credit facility, we pay a commitment fee of 25 to 30 basis points depending on our leverage ratio calculated at the end of each quarter. Terms of the credit agreement require, among other things, that we meet certain financial covenants. We were in compliance with all covenants at September 30, 2010. The payment of dividends and additional debt are restricted. The recorded value of our debt approximates its fair value as it is all variable rate debt and carries no pre-payment penalty.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Upon acquiring VFS, we assumed VFSs outstanding debt of $30.4 million. Immediately after the acquisition, on December 31, 2008, we repaid and terminated VFSs outstanding bank debt of $30.1 million plus accrued interest. The remaining $0.3 million of VFSs debt we assumed in the acquisition was comprised of outstanding debentures that we repaid and retired in early January 2009 with no prepayment penalty.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Deferred financing costs of $0.5 million related to our credit agreement are included in Other assets, net in our September 30, 2010 balance sheet. These costs are being amortized to interest expense over their three-year estimated useful life.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I: Common Stock, Warrants, Options, and Stock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w:t>
      </w:r>
    </w:p>
    <w:p>
      <w:pPr>
        <w:pStyle w:val="TextBody"/>
        <w:jc w:val="center"/>
        <w:rPr>
          <w:rFonts w:ascii="Times New Roman;Times;serif" w:hAnsi="Times New Roman;Times;serif"/>
          <w:sz w:val="17"/>
        </w:rPr>
      </w:pPr>
      <w:r>
        <w:rPr>
          <w:rFonts w:ascii="Times New Roman;Times;serif" w:hAnsi="Times New Roman;Times;serif"/>
          <w:sz w:val="17"/>
        </w:rPr>
        <w:t xml:space="preserve">69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unissued shares of Class A Common Stock that would be issuable upon conversion of all outstanding shares of Class B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November 13, 2008, we issued 1,116,505 newly registered shares of our Class A Common Stock as part of the acquisition consideration for eleven Nevada pawn stores. We completed the VFS acquisition on December 31, 2008, resulting in the issuance of 4,058,395 newly registered shares of our Class A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account for stock compensation in accordance with the fair value recognition and measurement provisions of FASB ASC 718-10-25 (Compensation-Stock Compensation). Compensation cost recognized includes compensation cost for all unvested stock compensation payments, based on the closing market price of our stock on the date of grant. We amortize the fair value of grants to compensation expense on a ratable basis over the vesting period for both cliff vesting and graded vesting grants. We have not granted any stock options since fiscal 2007. When granted, we estimate the grant-date fair value of options using the Black-Scholes-Merton option-pricing model and amortize it to expense on a ratable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net income includes the following compensation costs related to our stock compensation arrangements: </w:t>
      </w:r>
    </w:p>
    <w:tbl>
      <w:tblPr>
        <w:tblW w:w="5000" w:type="pct"/>
        <w:jc w:val="center"/>
        <w:tblInd w:w="0" w:type="dxa"/>
        <w:tblCellMar>
          <w:top w:w="0" w:type="dxa"/>
          <w:left w:w="0" w:type="dxa"/>
          <w:bottom w:w="0" w:type="dxa"/>
          <w:right w:w="0" w:type="dxa"/>
        </w:tblCellMar>
      </w:tblPr>
      <w:tblGrid>
        <w:gridCol w:w="5954"/>
        <w:gridCol w:w="454"/>
        <w:gridCol w:w="143"/>
        <w:gridCol w:w="693"/>
        <w:gridCol w:w="124"/>
        <w:gridCol w:w="454"/>
        <w:gridCol w:w="143"/>
        <w:gridCol w:w="693"/>
        <w:gridCol w:w="124"/>
        <w:gridCol w:w="454"/>
        <w:gridCol w:w="143"/>
        <w:gridCol w:w="695"/>
        <w:gridCol w:w="131"/>
      </w:tblGrid>
      <w:tr>
        <w:trPr/>
        <w:tc>
          <w:tcPr>
            <w:tcW w:w="595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595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3666"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31" w:type="dxa"/>
            <w:tcBorders/>
            <w:shd w:fill="auto" w:val="clear"/>
            <w:vAlign w:val="bottom"/>
          </w:tcPr>
          <w:p>
            <w:pPr>
              <w:pStyle w:val="TableContents"/>
              <w:spacing w:before="0" w:after="283"/>
              <w:rPr/>
            </w:pPr>
            <w:r>
              <w:rPr/>
              <w:t> </w:t>
            </w:r>
          </w:p>
        </w:tc>
      </w:tr>
      <w:tr>
        <w:trPr/>
        <w:tc>
          <w:tcPr>
            <w:tcW w:w="595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836"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83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83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31" w:type="dxa"/>
            <w:tcBorders/>
            <w:shd w:fill="auto" w:val="clear"/>
            <w:vAlign w:val="bottom"/>
          </w:tcPr>
          <w:p>
            <w:pPr>
              <w:pStyle w:val="TableContents"/>
              <w:spacing w:before="0" w:after="283"/>
              <w:rPr/>
            </w:pPr>
            <w:r>
              <w:rPr/>
              <w:t> </w:t>
            </w:r>
          </w:p>
        </w:tc>
      </w:tr>
      <w:tr>
        <w:trPr/>
        <w:tc>
          <w:tcPr>
            <w:tcW w:w="595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3666" w:type="dxa"/>
            <w:gridSpan w:val="10"/>
            <w:tcBorders/>
            <w:shd w:fill="auto" w:val="clear"/>
            <w:vAlign w:val="bottom"/>
          </w:tcPr>
          <w:p>
            <w:pPr>
              <w:pStyle w:val="TableContents"/>
              <w:spacing w:before="0" w:after="283"/>
              <w:jc w:val="center"/>
              <w:rPr>
                <w:i/>
              </w:rPr>
            </w:pPr>
            <w:r>
              <w:rPr>
                <w:i/>
              </w:rPr>
              <w:t>(In thousands)</w:t>
            </w:r>
          </w:p>
        </w:tc>
        <w:tc>
          <w:tcPr>
            <w:tcW w:w="131" w:type="dxa"/>
            <w:tcBorders/>
            <w:shd w:fill="auto" w:val="clear"/>
            <w:vAlign w:val="bottom"/>
          </w:tcPr>
          <w:p>
            <w:pPr>
              <w:pStyle w:val="TableContents"/>
              <w:spacing w:before="0" w:after="283"/>
              <w:rPr/>
            </w:pPr>
            <w:r>
              <w:rPr/>
              <w:t> </w:t>
            </w:r>
          </w:p>
        </w:tc>
      </w:tr>
      <w:tr>
        <w:trPr/>
        <w:tc>
          <w:tcPr>
            <w:tcW w:w="5954" w:type="dxa"/>
            <w:tcBorders/>
            <w:shd w:fill="CCEEFF" w:val="clear"/>
            <w:vAlign w:val="bottom"/>
          </w:tcPr>
          <w:p>
            <w:pPr>
              <w:pStyle w:val="TableContents"/>
              <w:spacing w:before="0" w:after="0"/>
              <w:ind w:left="225" w:right="0" w:hanging="225"/>
              <w:rPr/>
            </w:pPr>
            <w:r>
              <w:rPr/>
              <w:t>Gross compensation costs</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5954" w:type="dxa"/>
            <w:tcBorders/>
            <w:shd w:fill="auto" w:val="clear"/>
            <w:vAlign w:val="bottom"/>
          </w:tcPr>
          <w:p>
            <w:pPr>
              <w:pStyle w:val="TableContents"/>
              <w:spacing w:before="0" w:after="0"/>
              <w:ind w:left="450" w:right="0" w:hanging="225"/>
              <w:rPr/>
            </w:pPr>
            <w:r>
              <w:rPr/>
              <w:t>Stock options</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693" w:type="dxa"/>
            <w:tcBorders/>
            <w:shd w:fill="auto" w:val="clear"/>
            <w:vAlign w:val="bottom"/>
          </w:tcPr>
          <w:p>
            <w:pPr>
              <w:pStyle w:val="TableContents"/>
              <w:spacing w:before="0" w:after="283"/>
              <w:jc w:val="right"/>
              <w:rPr/>
            </w:pPr>
            <w:r>
              <w:rPr/>
              <w:t>4</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693" w:type="dxa"/>
            <w:tcBorders/>
            <w:shd w:fill="auto" w:val="clear"/>
            <w:vAlign w:val="bottom"/>
          </w:tcPr>
          <w:p>
            <w:pPr>
              <w:pStyle w:val="TableContents"/>
              <w:spacing w:before="0" w:after="283"/>
              <w:jc w:val="right"/>
              <w:rPr/>
            </w:pPr>
            <w:r>
              <w:rPr/>
              <w:t>63</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695" w:type="dxa"/>
            <w:tcBorders/>
            <w:shd w:fill="auto" w:val="clear"/>
            <w:vAlign w:val="bottom"/>
          </w:tcPr>
          <w:p>
            <w:pPr>
              <w:pStyle w:val="TableContents"/>
              <w:spacing w:before="0" w:after="283"/>
              <w:jc w:val="right"/>
              <w:rPr/>
            </w:pPr>
            <w:r>
              <w:rPr/>
              <w:t>923</w:t>
            </w:r>
          </w:p>
        </w:tc>
        <w:tc>
          <w:tcPr>
            <w:tcW w:w="131" w:type="dxa"/>
            <w:tcBorders/>
            <w:shd w:fill="auto" w:val="clear"/>
            <w:vAlign w:val="bottom"/>
          </w:tcPr>
          <w:p>
            <w:pPr>
              <w:pStyle w:val="TableContents"/>
              <w:spacing w:before="0" w:after="283"/>
              <w:rPr/>
            </w:pPr>
            <w:r>
              <w:rPr/>
              <w:t> </w:t>
            </w:r>
          </w:p>
        </w:tc>
      </w:tr>
      <w:tr>
        <w:trPr/>
        <w:tc>
          <w:tcPr>
            <w:tcW w:w="5954" w:type="dxa"/>
            <w:tcBorders/>
            <w:shd w:fill="CCEEFF" w:val="clear"/>
            <w:vAlign w:val="bottom"/>
          </w:tcPr>
          <w:p>
            <w:pPr>
              <w:pStyle w:val="TableContents"/>
              <w:spacing w:before="0" w:after="0"/>
              <w:ind w:left="450" w:right="0" w:hanging="225"/>
              <w:rPr/>
            </w:pPr>
            <w:r>
              <w:rPr/>
              <w:t>Restricted stock</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4,508</w:t>
            </w:r>
          </w:p>
        </w:tc>
        <w:tc>
          <w:tcPr>
            <w:tcW w:w="124"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3,638</w:t>
            </w:r>
          </w:p>
        </w:tc>
        <w:tc>
          <w:tcPr>
            <w:tcW w:w="124"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2,796</w:t>
            </w:r>
          </w:p>
        </w:tc>
        <w:tc>
          <w:tcPr>
            <w:tcW w:w="131" w:type="dxa"/>
            <w:tcBorders/>
            <w:shd w:fill="CCEEFF" w:val="clear"/>
            <w:vAlign w:val="bottom"/>
          </w:tcPr>
          <w:p>
            <w:pPr>
              <w:pStyle w:val="TableContents"/>
              <w:spacing w:before="0" w:after="283"/>
              <w:rPr/>
            </w:pPr>
            <w:r>
              <w:rPr/>
              <w:t> </w:t>
            </w:r>
          </w:p>
        </w:tc>
      </w:tr>
      <w:tr>
        <w:trPr/>
        <w:tc>
          <w:tcPr>
            <w:tcW w:w="5954" w:type="dxa"/>
            <w:tcBorders/>
            <w:shd w:fill="auto" w:val="clear"/>
            <w:vAlign w:val="center"/>
          </w:tcPr>
          <w:p>
            <w:pPr>
              <w:pStyle w:val="TableContents"/>
              <w:spacing w:before="0" w:after="0"/>
              <w:ind w:left="225" w:right="0" w:hanging="225"/>
              <w:rPr/>
            </w:pPr>
            <w:r>
              <w:rPr/>
              <w:t> </w:t>
            </w:r>
          </w:p>
        </w:tc>
        <w:tc>
          <w:tcPr>
            <w:tcW w:w="454"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8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5954" w:type="dxa"/>
            <w:tcBorders/>
            <w:shd w:fill="auto" w:val="clear"/>
            <w:vAlign w:val="bottom"/>
          </w:tcPr>
          <w:p>
            <w:pPr>
              <w:pStyle w:val="TableContents"/>
              <w:spacing w:before="0" w:after="0"/>
              <w:ind w:left="450" w:right="0" w:hanging="225"/>
              <w:rPr/>
            </w:pPr>
            <w:r>
              <w:rPr/>
              <w:t>Total gross compensation costs</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4,512</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3,701</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3,719</w:t>
            </w:r>
          </w:p>
        </w:tc>
        <w:tc>
          <w:tcPr>
            <w:tcW w:w="131" w:type="dxa"/>
            <w:tcBorders/>
            <w:shd w:fill="auto" w:val="clear"/>
            <w:vAlign w:val="bottom"/>
          </w:tcPr>
          <w:p>
            <w:pPr>
              <w:pStyle w:val="TableContents"/>
              <w:spacing w:before="0" w:after="283"/>
              <w:rPr/>
            </w:pPr>
            <w:r>
              <w:rPr/>
              <w:t> </w:t>
            </w:r>
          </w:p>
        </w:tc>
      </w:tr>
      <w:tr>
        <w:trPr/>
        <w:tc>
          <w:tcPr>
            <w:tcW w:w="5954" w:type="dxa"/>
            <w:tcBorders/>
            <w:shd w:fill="auto" w:val="clear"/>
            <w:vAlign w:val="bottom"/>
          </w:tcPr>
          <w:p>
            <w:pPr>
              <w:pStyle w:val="TableContents"/>
              <w:spacing w:before="0" w:after="0"/>
              <w:ind w:left="225" w:right="0" w:hanging="225"/>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5954" w:type="dxa"/>
            <w:tcBorders/>
            <w:shd w:fill="CCEEFF" w:val="clear"/>
            <w:vAlign w:val="bottom"/>
          </w:tcPr>
          <w:p>
            <w:pPr>
              <w:pStyle w:val="TableContents"/>
              <w:spacing w:before="0" w:after="0"/>
              <w:ind w:left="225" w:right="0" w:hanging="225"/>
              <w:rPr/>
            </w:pPr>
            <w:r>
              <w:rPr/>
              <w:t>Income tax benefits</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5954" w:type="dxa"/>
            <w:tcBorders/>
            <w:shd w:fill="auto" w:val="clear"/>
            <w:vAlign w:val="bottom"/>
          </w:tcPr>
          <w:p>
            <w:pPr>
              <w:pStyle w:val="TableContents"/>
              <w:spacing w:before="0" w:after="0"/>
              <w:ind w:left="450" w:right="0" w:hanging="225"/>
              <w:rPr/>
            </w:pPr>
            <w:r>
              <w:rPr/>
              <w:t>Stock options</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93" w:type="dxa"/>
            <w:tcBorders/>
            <w:shd w:fill="auto" w:val="clear"/>
            <w:vAlign w:val="bottom"/>
          </w:tcPr>
          <w:p>
            <w:pPr>
              <w:pStyle w:val="TableContents"/>
              <w:spacing w:before="0" w:after="283"/>
              <w:jc w:val="right"/>
              <w:rPr/>
            </w:pPr>
            <w:r>
              <w:rPr/>
              <w:t>(56</w:t>
            </w:r>
          </w:p>
        </w:tc>
        <w:tc>
          <w:tcPr>
            <w:tcW w:w="124" w:type="dxa"/>
            <w:tcBorders/>
            <w:shd w:fill="auto" w:val="clear"/>
            <w:vAlign w:val="bottom"/>
          </w:tcPr>
          <w:p>
            <w:pPr>
              <w:pStyle w:val="TableContents"/>
              <w:spacing w:before="0" w:after="283"/>
              <w:rPr/>
            </w:pPr>
            <w:r>
              <w:rPr/>
              <w:t>)</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93" w:type="dxa"/>
            <w:tcBorders/>
            <w:shd w:fill="auto" w:val="clear"/>
            <w:vAlign w:val="bottom"/>
          </w:tcPr>
          <w:p>
            <w:pPr>
              <w:pStyle w:val="TableContents"/>
              <w:spacing w:before="0" w:after="283"/>
              <w:jc w:val="right"/>
              <w:rPr/>
            </w:pPr>
            <w:r>
              <w:rPr/>
              <w:t>(32</w:t>
            </w:r>
          </w:p>
        </w:tc>
        <w:tc>
          <w:tcPr>
            <w:tcW w:w="124" w:type="dxa"/>
            <w:tcBorders/>
            <w:shd w:fill="auto" w:val="clear"/>
            <w:vAlign w:val="bottom"/>
          </w:tcPr>
          <w:p>
            <w:pPr>
              <w:pStyle w:val="TableContents"/>
              <w:spacing w:before="0" w:after="283"/>
              <w:rPr/>
            </w:pPr>
            <w:r>
              <w:rPr/>
              <w:t>)</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(140</w:t>
            </w:r>
          </w:p>
        </w:tc>
        <w:tc>
          <w:tcPr>
            <w:tcW w:w="131" w:type="dxa"/>
            <w:tcBorders/>
            <w:shd w:fill="auto" w:val="clear"/>
            <w:vAlign w:val="bottom"/>
          </w:tcPr>
          <w:p>
            <w:pPr>
              <w:pStyle w:val="TableContents"/>
              <w:spacing w:before="0" w:after="283"/>
              <w:rPr/>
            </w:pPr>
            <w:r>
              <w:rPr/>
              <w:t>)</w:t>
            </w:r>
          </w:p>
        </w:tc>
      </w:tr>
      <w:tr>
        <w:trPr/>
        <w:tc>
          <w:tcPr>
            <w:tcW w:w="5954" w:type="dxa"/>
            <w:tcBorders/>
            <w:shd w:fill="CCEEFF" w:val="clear"/>
            <w:vAlign w:val="bottom"/>
          </w:tcPr>
          <w:p>
            <w:pPr>
              <w:pStyle w:val="TableContents"/>
              <w:spacing w:before="0" w:after="0"/>
              <w:ind w:left="450" w:right="0" w:hanging="225"/>
              <w:rPr/>
            </w:pPr>
            <w:r>
              <w:rPr/>
              <w:t>Restricted stock</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693" w:type="dxa"/>
            <w:tcBorders/>
            <w:shd w:fill="CCEEFF" w:val="clear"/>
            <w:vAlign w:val="bottom"/>
          </w:tcPr>
          <w:p>
            <w:pPr>
              <w:pStyle w:val="TableContents"/>
              <w:spacing w:before="0" w:after="283"/>
              <w:jc w:val="right"/>
              <w:rPr/>
            </w:pPr>
            <w:r>
              <w:rPr/>
              <w:t>(1,517</w:t>
            </w:r>
          </w:p>
        </w:tc>
        <w:tc>
          <w:tcPr>
            <w:tcW w:w="124" w:type="dxa"/>
            <w:tcBorders/>
            <w:shd w:fill="CCEEFF" w:val="clear"/>
            <w:vAlign w:val="bottom"/>
          </w:tcPr>
          <w:p>
            <w:pPr>
              <w:pStyle w:val="TableContents"/>
              <w:spacing w:before="0" w:after="283"/>
              <w:rPr/>
            </w:pPr>
            <w:r>
              <w:rPr/>
              <w:t>)</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693" w:type="dxa"/>
            <w:tcBorders/>
            <w:shd w:fill="CCEEFF" w:val="clear"/>
            <w:vAlign w:val="bottom"/>
          </w:tcPr>
          <w:p>
            <w:pPr>
              <w:pStyle w:val="TableContents"/>
              <w:spacing w:before="0" w:after="283"/>
              <w:jc w:val="right"/>
              <w:rPr/>
            </w:pPr>
            <w:r>
              <w:rPr/>
              <w:t>(1,208</w:t>
            </w:r>
          </w:p>
        </w:tc>
        <w:tc>
          <w:tcPr>
            <w:tcW w:w="124" w:type="dxa"/>
            <w:tcBorders/>
            <w:shd w:fill="CCEEFF" w:val="clear"/>
            <w:vAlign w:val="bottom"/>
          </w:tcPr>
          <w:p>
            <w:pPr>
              <w:pStyle w:val="TableContents"/>
              <w:spacing w:before="0" w:after="283"/>
              <w:rPr/>
            </w:pPr>
            <w:r>
              <w:rPr/>
              <w:t>)</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(1,001</w:t>
            </w:r>
          </w:p>
        </w:tc>
        <w:tc>
          <w:tcPr>
            <w:tcW w:w="131" w:type="dxa"/>
            <w:tcBorders/>
            <w:shd w:fill="CCEEFF" w:val="clear"/>
            <w:vAlign w:val="bottom"/>
          </w:tcPr>
          <w:p>
            <w:pPr>
              <w:pStyle w:val="TableContents"/>
              <w:spacing w:before="0" w:after="283"/>
              <w:rPr/>
            </w:pPr>
            <w:r>
              <w:rPr/>
              <w:t>)</w:t>
            </w:r>
          </w:p>
        </w:tc>
      </w:tr>
      <w:tr>
        <w:trPr/>
        <w:tc>
          <w:tcPr>
            <w:tcW w:w="5954" w:type="dxa"/>
            <w:tcBorders/>
            <w:shd w:fill="auto" w:val="clear"/>
            <w:vAlign w:val="center"/>
          </w:tcPr>
          <w:p>
            <w:pPr>
              <w:pStyle w:val="TableContents"/>
              <w:spacing w:before="0" w:after="0"/>
              <w:ind w:left="225" w:right="0" w:hanging="225"/>
              <w:rPr/>
            </w:pPr>
            <w:r>
              <w:rPr/>
              <w:t> </w:t>
            </w:r>
          </w:p>
        </w:tc>
        <w:tc>
          <w:tcPr>
            <w:tcW w:w="454"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8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5954" w:type="dxa"/>
            <w:tcBorders/>
            <w:shd w:fill="auto" w:val="clear"/>
            <w:vAlign w:val="bottom"/>
          </w:tcPr>
          <w:p>
            <w:pPr>
              <w:pStyle w:val="TableContents"/>
              <w:spacing w:before="0" w:after="0"/>
              <w:ind w:left="450" w:right="0" w:hanging="225"/>
              <w:rPr/>
            </w:pPr>
            <w:r>
              <w:rPr/>
              <w:t>Total income tax benefits</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93" w:type="dxa"/>
            <w:tcBorders/>
            <w:shd w:fill="auto" w:val="clear"/>
            <w:vAlign w:val="bottom"/>
          </w:tcPr>
          <w:p>
            <w:pPr>
              <w:pStyle w:val="TableContents"/>
              <w:spacing w:before="0" w:after="283"/>
              <w:jc w:val="right"/>
              <w:rPr/>
            </w:pPr>
            <w:r>
              <w:rPr/>
              <w:t>(1,573</w:t>
            </w:r>
          </w:p>
        </w:tc>
        <w:tc>
          <w:tcPr>
            <w:tcW w:w="124" w:type="dxa"/>
            <w:tcBorders/>
            <w:shd w:fill="auto" w:val="clear"/>
            <w:vAlign w:val="bottom"/>
          </w:tcPr>
          <w:p>
            <w:pPr>
              <w:pStyle w:val="TableContents"/>
              <w:spacing w:before="0" w:after="283"/>
              <w:rPr/>
            </w:pPr>
            <w:r>
              <w:rPr/>
              <w:t>)</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93" w:type="dxa"/>
            <w:tcBorders/>
            <w:shd w:fill="auto" w:val="clear"/>
            <w:vAlign w:val="bottom"/>
          </w:tcPr>
          <w:p>
            <w:pPr>
              <w:pStyle w:val="TableContents"/>
              <w:spacing w:before="0" w:after="283"/>
              <w:jc w:val="right"/>
              <w:rPr/>
            </w:pPr>
            <w:r>
              <w:rPr/>
              <w:t>(1,240</w:t>
            </w:r>
          </w:p>
        </w:tc>
        <w:tc>
          <w:tcPr>
            <w:tcW w:w="124" w:type="dxa"/>
            <w:tcBorders/>
            <w:shd w:fill="auto" w:val="clear"/>
            <w:vAlign w:val="bottom"/>
          </w:tcPr>
          <w:p>
            <w:pPr>
              <w:pStyle w:val="TableContents"/>
              <w:spacing w:before="0" w:after="283"/>
              <w:rPr/>
            </w:pPr>
            <w:r>
              <w:rPr/>
              <w:t>)</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(1,141</w:t>
            </w:r>
          </w:p>
        </w:tc>
        <w:tc>
          <w:tcPr>
            <w:tcW w:w="131" w:type="dxa"/>
            <w:tcBorders/>
            <w:shd w:fill="auto" w:val="clear"/>
            <w:vAlign w:val="bottom"/>
          </w:tcPr>
          <w:p>
            <w:pPr>
              <w:pStyle w:val="TableContents"/>
              <w:spacing w:before="0" w:after="283"/>
              <w:rPr/>
            </w:pPr>
            <w:r>
              <w:rPr/>
              <w:t>)</w:t>
            </w:r>
          </w:p>
        </w:tc>
      </w:tr>
      <w:tr>
        <w:trPr/>
        <w:tc>
          <w:tcPr>
            <w:tcW w:w="5954" w:type="dxa"/>
            <w:tcBorders/>
            <w:shd w:fill="auto" w:val="clear"/>
            <w:vAlign w:val="center"/>
          </w:tcPr>
          <w:p>
            <w:pPr>
              <w:pStyle w:val="TableContents"/>
              <w:spacing w:before="0" w:after="0"/>
              <w:ind w:left="225" w:right="0" w:hanging="225"/>
              <w:rPr/>
            </w:pPr>
            <w:r>
              <w:rPr/>
              <w:t> </w:t>
            </w:r>
          </w:p>
        </w:tc>
        <w:tc>
          <w:tcPr>
            <w:tcW w:w="454"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8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5954" w:type="dxa"/>
            <w:tcBorders/>
            <w:shd w:fill="auto" w:val="clear"/>
            <w:vAlign w:val="bottom"/>
          </w:tcPr>
          <w:p>
            <w:pPr>
              <w:pStyle w:val="TableContents"/>
              <w:spacing w:before="0" w:after="0"/>
              <w:ind w:left="225" w:right="0" w:hanging="225"/>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5954" w:type="dxa"/>
            <w:tcBorders/>
            <w:shd w:fill="CCEEFF" w:val="clear"/>
            <w:vAlign w:val="bottom"/>
          </w:tcPr>
          <w:p>
            <w:pPr>
              <w:pStyle w:val="TableContents"/>
              <w:spacing w:before="0" w:after="0"/>
              <w:ind w:left="225" w:right="0" w:hanging="225"/>
              <w:rPr/>
            </w:pPr>
            <w:r>
              <w:rPr/>
              <w:t>Net compensation expense</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693" w:type="dxa"/>
            <w:tcBorders/>
            <w:shd w:fill="CCEEFF" w:val="clear"/>
            <w:vAlign w:val="bottom"/>
          </w:tcPr>
          <w:p>
            <w:pPr>
              <w:pStyle w:val="TableContents"/>
              <w:spacing w:before="0" w:after="283"/>
              <w:jc w:val="right"/>
              <w:rPr/>
            </w:pPr>
            <w:r>
              <w:rPr/>
              <w:t>2,939</w:t>
            </w:r>
          </w:p>
        </w:tc>
        <w:tc>
          <w:tcPr>
            <w:tcW w:w="124"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693" w:type="dxa"/>
            <w:tcBorders/>
            <w:shd w:fill="CCEEFF" w:val="clear"/>
            <w:vAlign w:val="bottom"/>
          </w:tcPr>
          <w:p>
            <w:pPr>
              <w:pStyle w:val="TableContents"/>
              <w:spacing w:before="0" w:after="283"/>
              <w:jc w:val="right"/>
              <w:rPr/>
            </w:pPr>
            <w:r>
              <w:rPr/>
              <w:t>2,461</w:t>
            </w:r>
          </w:p>
        </w:tc>
        <w:tc>
          <w:tcPr>
            <w:tcW w:w="124"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695" w:type="dxa"/>
            <w:tcBorders/>
            <w:shd w:fill="CCEEFF" w:val="clear"/>
            <w:vAlign w:val="bottom"/>
          </w:tcPr>
          <w:p>
            <w:pPr>
              <w:pStyle w:val="TableContents"/>
              <w:spacing w:before="0" w:after="283"/>
              <w:jc w:val="right"/>
              <w:rPr/>
            </w:pPr>
            <w:r>
              <w:rPr/>
              <w:t>2,578</w:t>
            </w:r>
          </w:p>
        </w:tc>
        <w:tc>
          <w:tcPr>
            <w:tcW w:w="131" w:type="dxa"/>
            <w:tcBorders/>
            <w:shd w:fill="CCEEFF" w:val="clear"/>
            <w:vAlign w:val="bottom"/>
          </w:tcPr>
          <w:p>
            <w:pPr>
              <w:pStyle w:val="TableContents"/>
              <w:spacing w:before="0" w:after="283"/>
              <w:rPr/>
            </w:pPr>
            <w:r>
              <w:rPr/>
              <w:t> </w:t>
            </w:r>
          </w:p>
        </w:tc>
      </w:tr>
      <w:tr>
        <w:trPr/>
        <w:tc>
          <w:tcPr>
            <w:tcW w:w="5954" w:type="dxa"/>
            <w:tcBorders/>
            <w:shd w:fill="auto" w:val="clear"/>
            <w:vAlign w:val="center"/>
          </w:tcPr>
          <w:p>
            <w:pPr>
              <w:pStyle w:val="TableContents"/>
              <w:spacing w:before="0" w:after="0"/>
              <w:ind w:left="225" w:right="0" w:hanging="225"/>
              <w:rPr/>
            </w:pPr>
            <w:r>
              <w:rPr/>
              <w:t> </w:t>
            </w:r>
          </w:p>
        </w:tc>
        <w:tc>
          <w:tcPr>
            <w:tcW w:w="454"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8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options and restricted stock relate to our Class A Non-voting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non-employee directors have been granted restricted stock awards and non-qualified stock options that vest in one to two years from grant, with the options expiring in ten years. Restricted stock awards, non-qualified options and incentive stock options have been granted to our officers and employees under our 1998, 2003, 2006 and 2010 Incentive Plans. Most options have a contractual life of ten years and provide for graded vesting over five years, but some provide for cliff vesting. Outstanding options have been granted with strike prices ranging from $0.67 per share to $12.60 per share. These were granted at or above the market price at the time of grant, and had no intrinsic value on the grant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 2010 our Board of Directors approved the adoption of the EZCORP, Inc. 2010 Long-Term Incentive Plan (the 2010 Plan). The 2010 Plan permits grants of options, restricted stock awards (RSAs) and stock appreciation rights covering up to 1,575,750 shares of our Class A Common Stock, including 75,750 shares that remained available for issuance under the previous plan. Awards that expire or are canceled without delivery of shares under the 2010 Incentive Plan generally become available for issuance in new grants. We generally issue new shares to satisfy stock option exercises, but used 10,000 treasury shares to satisfy one option exercise in fiscal 2009 and 20,000 treasury shares to satisfy one option exercise in fiscal 2008. We no longer hold any treasury shares. At September 30, 2010, 1,542,750 shares were available for grant under the 2010 Plan. </w:t>
      </w:r>
    </w:p>
    <w:p>
      <w:pPr>
        <w:pStyle w:val="TextBody"/>
        <w:jc w:val="center"/>
        <w:rPr>
          <w:rFonts w:ascii="Times New Roman;Times;serif" w:hAnsi="Times New Roman;Times;serif"/>
          <w:sz w:val="17"/>
        </w:rPr>
      </w:pPr>
      <w:r>
        <w:rPr>
          <w:rFonts w:ascii="Times New Roman;Times;serif" w:hAnsi="Times New Roman;Times;serif"/>
          <w:sz w:val="17"/>
        </w:rPr>
        <w:t xml:space="preserve">70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measure the fair value of RSAs based upon the closing market price of our common stock as of the grant date. A summary of the RSA activity for the current fiscal year follows: </w:t>
      </w:r>
    </w:p>
    <w:tbl>
      <w:tblPr>
        <w:tblW w:w="5000" w:type="pct"/>
        <w:jc w:val="center"/>
        <w:tblInd w:w="0" w:type="dxa"/>
        <w:tblCellMar>
          <w:top w:w="0" w:type="dxa"/>
          <w:left w:w="0" w:type="dxa"/>
          <w:bottom w:w="0" w:type="dxa"/>
          <w:right w:w="0" w:type="dxa"/>
        </w:tblCellMar>
      </w:tblPr>
      <w:tblGrid>
        <w:gridCol w:w="6747"/>
        <w:gridCol w:w="442"/>
        <w:gridCol w:w="118"/>
        <w:gridCol w:w="1027"/>
        <w:gridCol w:w="141"/>
        <w:gridCol w:w="442"/>
        <w:gridCol w:w="216"/>
        <w:gridCol w:w="948"/>
        <w:gridCol w:w="124"/>
      </w:tblGrid>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64" w:type="dxa"/>
            <w:gridSpan w:val="2"/>
            <w:tcBorders/>
            <w:shd w:fill="auto" w:val="clear"/>
            <w:vAlign w:val="bottom"/>
          </w:tcPr>
          <w:p>
            <w:pPr>
              <w:pStyle w:val="TableContents"/>
              <w:spacing w:before="0" w:after="283"/>
              <w:jc w:val="center"/>
              <w:rPr/>
            </w:pPr>
            <w:r>
              <w:rPr/>
              <w:t>Weighted</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64" w:type="dxa"/>
            <w:gridSpan w:val="2"/>
            <w:tcBorders/>
            <w:shd w:fill="auto" w:val="clear"/>
            <w:vAlign w:val="bottom"/>
          </w:tcPr>
          <w:p>
            <w:pPr>
              <w:pStyle w:val="TableContents"/>
              <w:spacing w:before="0" w:after="283"/>
              <w:jc w:val="center"/>
              <w:rPr/>
            </w:pPr>
            <w:r>
              <w:rPr/>
              <w:t>Average</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64" w:type="dxa"/>
            <w:gridSpan w:val="2"/>
            <w:tcBorders/>
            <w:shd w:fill="auto" w:val="clear"/>
            <w:vAlign w:val="bottom"/>
          </w:tcPr>
          <w:p>
            <w:pPr>
              <w:pStyle w:val="TableContents"/>
              <w:spacing w:before="0" w:after="283"/>
              <w:jc w:val="center"/>
              <w:rPr/>
            </w:pPr>
            <w:r>
              <w:rPr/>
              <w:t>Grant Date</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jc w:val="center"/>
              <w:rPr/>
            </w:pPr>
            <w:r>
              <w:rPr/>
              <w:t>Shares</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64" w:type="dxa"/>
            <w:gridSpan w:val="2"/>
            <w:tcBorders/>
            <w:shd w:fill="auto" w:val="clear"/>
            <w:vAlign w:val="bottom"/>
          </w:tcPr>
          <w:p>
            <w:pPr>
              <w:pStyle w:val="TableContents"/>
              <w:spacing w:before="0" w:after="283"/>
              <w:jc w:val="center"/>
              <w:rPr/>
            </w:pPr>
            <w:r>
              <w:rPr/>
              <w:t>Fair Value</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016"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225" w:right="0" w:hanging="225"/>
              <w:rPr/>
            </w:pPr>
            <w:r>
              <w:rPr/>
              <w:t>Outstanding at beginning of year</w:t>
            </w:r>
          </w:p>
        </w:tc>
        <w:tc>
          <w:tcPr>
            <w:tcW w:w="44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pPr>
            <w:r>
              <w:rPr/>
              <w:t>1,610,750</w:t>
            </w:r>
          </w:p>
        </w:tc>
        <w:tc>
          <w:tcPr>
            <w:tcW w:w="141"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948" w:type="dxa"/>
            <w:tcBorders/>
            <w:shd w:fill="CCEEFF" w:val="clear"/>
            <w:vAlign w:val="bottom"/>
          </w:tcPr>
          <w:p>
            <w:pPr>
              <w:pStyle w:val="TableContents"/>
              <w:spacing w:before="0" w:after="283"/>
              <w:jc w:val="right"/>
              <w:rPr/>
            </w:pPr>
            <w:r>
              <w:rPr/>
              <w:t>13.38</w:t>
            </w:r>
          </w:p>
        </w:tc>
        <w:tc>
          <w:tcPr>
            <w:tcW w:w="124" w:type="dxa"/>
            <w:tcBorders/>
            <w:shd w:fill="CCEEFF"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0"/>
              <w:ind w:left="450" w:right="0" w:hanging="225"/>
              <w:rPr/>
            </w:pPr>
            <w:r>
              <w:rPr/>
              <w:t>Granted</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pPr>
            <w:r>
              <w:rPr/>
              <w:t>270,500</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14.64</w:t>
            </w:r>
          </w:p>
        </w:tc>
        <w:tc>
          <w:tcPr>
            <w:tcW w:w="124" w:type="dxa"/>
            <w:tcBorders/>
            <w:shd w:fill="auto" w:val="clear"/>
            <w:vAlign w:val="bottom"/>
          </w:tcPr>
          <w:p>
            <w:pPr>
              <w:pStyle w:val="TableContents"/>
              <w:spacing w:before="0" w:after="283"/>
              <w:rPr/>
            </w:pPr>
            <w:r>
              <w:rPr/>
              <w:t> </w:t>
            </w:r>
          </w:p>
        </w:tc>
      </w:tr>
      <w:tr>
        <w:trPr/>
        <w:tc>
          <w:tcPr>
            <w:tcW w:w="6747" w:type="dxa"/>
            <w:tcBorders/>
            <w:shd w:fill="CCEEFF" w:val="clear"/>
            <w:vAlign w:val="bottom"/>
          </w:tcPr>
          <w:p>
            <w:pPr>
              <w:pStyle w:val="TableContents"/>
              <w:spacing w:before="0" w:after="0"/>
              <w:ind w:left="450" w:right="0" w:hanging="225"/>
              <w:rPr/>
            </w:pPr>
            <w:r>
              <w:rPr/>
              <w:t>Released</w:t>
            </w:r>
          </w:p>
        </w:tc>
        <w:tc>
          <w:tcPr>
            <w:tcW w:w="44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(16,000</w:t>
            </w:r>
          </w:p>
        </w:tc>
        <w:tc>
          <w:tcPr>
            <w:tcW w:w="141" w:type="dxa"/>
            <w:tcBorders/>
            <w:shd w:fill="CCEEFF" w:val="clear"/>
            <w:vAlign w:val="bottom"/>
          </w:tcPr>
          <w:p>
            <w:pPr>
              <w:pStyle w:val="TableContents"/>
              <w:spacing w:before="0" w:after="283"/>
              <w:rPr/>
            </w:pPr>
            <w:r>
              <w:rPr/>
              <w:t>)</w:t>
            </w:r>
          </w:p>
        </w:tc>
        <w:tc>
          <w:tcPr>
            <w:tcW w:w="44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15.60</w:t>
            </w:r>
          </w:p>
        </w:tc>
        <w:tc>
          <w:tcPr>
            <w:tcW w:w="124" w:type="dxa"/>
            <w:tcBorders/>
            <w:shd w:fill="CCEEFF"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0"/>
              <w:ind w:left="450" w:right="0" w:hanging="225"/>
              <w:rPr/>
            </w:pPr>
            <w:r>
              <w:rPr/>
              <w:t>Forfeited</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283"/>
              <w:jc w:val="right"/>
              <w:rPr/>
            </w:pPr>
            <w:r>
              <w:rPr/>
              <w:t>(83,000</w:t>
            </w:r>
          </w:p>
        </w:tc>
        <w:tc>
          <w:tcPr>
            <w:tcW w:w="141" w:type="dxa"/>
            <w:tcBorders/>
            <w:shd w:fill="auto" w:val="clear"/>
            <w:vAlign w:val="bottom"/>
          </w:tcPr>
          <w:p>
            <w:pPr>
              <w:pStyle w:val="TableContents"/>
              <w:spacing w:before="0" w:after="283"/>
              <w:rPr/>
            </w:pPr>
            <w:r>
              <w:rPr/>
              <w:t>)</w:t>
            </w:r>
          </w:p>
        </w:tc>
        <w:tc>
          <w:tcPr>
            <w:tcW w:w="44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14.44</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center"/>
          </w:tcPr>
          <w:p>
            <w:pPr>
              <w:pStyle w:val="TableContents"/>
              <w:spacing w:before="0" w:after="0"/>
              <w:ind w:left="225" w:right="0" w:hanging="225"/>
              <w:rPr/>
            </w:pPr>
            <w:r>
              <w:rPr/>
              <w:t> </w:t>
            </w:r>
          </w:p>
        </w:tc>
        <w:tc>
          <w:tcPr>
            <w:tcW w:w="442"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1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6747" w:type="dxa"/>
            <w:tcBorders/>
            <w:shd w:fill="CCEEFF" w:val="clear"/>
            <w:vAlign w:val="bottom"/>
          </w:tcPr>
          <w:p>
            <w:pPr>
              <w:pStyle w:val="TableContents"/>
              <w:spacing w:before="0" w:after="0"/>
              <w:ind w:left="225" w:right="0" w:hanging="225"/>
              <w:rPr/>
            </w:pPr>
            <w:r>
              <w:rPr/>
              <w:t>Outstanding at end of year</w:t>
            </w:r>
          </w:p>
        </w:tc>
        <w:tc>
          <w:tcPr>
            <w:tcW w:w="44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pPr>
            <w:r>
              <w:rPr/>
              <w:t>1,782,250</w:t>
            </w:r>
          </w:p>
        </w:tc>
        <w:tc>
          <w:tcPr>
            <w:tcW w:w="141"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948" w:type="dxa"/>
            <w:tcBorders/>
            <w:shd w:fill="CCEEFF" w:val="clear"/>
            <w:vAlign w:val="bottom"/>
          </w:tcPr>
          <w:p>
            <w:pPr>
              <w:pStyle w:val="TableContents"/>
              <w:spacing w:before="0" w:after="283"/>
              <w:jc w:val="right"/>
              <w:rPr/>
            </w:pPr>
            <w:r>
              <w:rPr/>
              <w:t>13.50</w:t>
            </w:r>
          </w:p>
        </w:tc>
        <w:tc>
          <w:tcPr>
            <w:tcW w:w="124"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weighted average grant-date fair values of RSAs granted during fiscal 2010, 2009 and 2008 were $14.64, $17.51 and $13.43 per share. The total grant-date fair value of RSAs vested in fiscal 2010 and 2009 was $0.2 million and $4.8 million. No RSAs vested in fiscal 2008. At September 30, 2010, the unamortized fair value of RSAs to be amortized over their remaining vesting periods was approximately $17.1 million and the fair value of all options had been fully amortized to expense. The weighted average period over which these costs will be amortized is five years.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summary of the option activity for the current fiscal year follows: </w:t>
      </w:r>
    </w:p>
    <w:tbl>
      <w:tblPr>
        <w:tblW w:w="5000" w:type="pct"/>
        <w:jc w:val="center"/>
        <w:tblInd w:w="0" w:type="dxa"/>
        <w:tblCellMar>
          <w:top w:w="0" w:type="dxa"/>
          <w:left w:w="0" w:type="dxa"/>
          <w:bottom w:w="0" w:type="dxa"/>
          <w:right w:w="0" w:type="dxa"/>
        </w:tblCellMar>
      </w:tblPr>
      <w:tblGrid>
        <w:gridCol w:w="3117"/>
        <w:gridCol w:w="255"/>
        <w:gridCol w:w="92"/>
        <w:gridCol w:w="962"/>
        <w:gridCol w:w="122"/>
        <w:gridCol w:w="255"/>
        <w:gridCol w:w="278"/>
        <w:gridCol w:w="1154"/>
        <w:gridCol w:w="92"/>
        <w:gridCol w:w="255"/>
        <w:gridCol w:w="214"/>
        <w:gridCol w:w="1490"/>
        <w:gridCol w:w="92"/>
        <w:gridCol w:w="255"/>
        <w:gridCol w:w="286"/>
        <w:gridCol w:w="1185"/>
        <w:gridCol w:w="101"/>
      </w:tblGrid>
      <w:tr>
        <w:trPr/>
        <w:tc>
          <w:tcPr>
            <w:tcW w:w="311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11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04" w:type="dxa"/>
            <w:gridSpan w:val="2"/>
            <w:tcBorders/>
            <w:shd w:fill="auto" w:val="clear"/>
            <w:vAlign w:val="bottom"/>
          </w:tcPr>
          <w:p>
            <w:pPr>
              <w:pStyle w:val="TableContents"/>
              <w:spacing w:before="0" w:after="283"/>
              <w:jc w:val="center"/>
              <w:rPr/>
            </w:pPr>
            <w:r>
              <w:rPr/>
              <w:t>Weighted</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71"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r>
      <w:tr>
        <w:trPr/>
        <w:tc>
          <w:tcPr>
            <w:tcW w:w="311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04" w:type="dxa"/>
            <w:gridSpan w:val="2"/>
            <w:tcBorders/>
            <w:shd w:fill="auto" w:val="clear"/>
            <w:vAlign w:val="bottom"/>
          </w:tcPr>
          <w:p>
            <w:pPr>
              <w:pStyle w:val="TableContents"/>
              <w:spacing w:before="0" w:after="283"/>
              <w:jc w:val="center"/>
              <w:rPr/>
            </w:pPr>
            <w:r>
              <w:rPr/>
              <w:t>Average</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71"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r>
      <w:tr>
        <w:trPr/>
        <w:tc>
          <w:tcPr>
            <w:tcW w:w="311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283"/>
              <w:jc w:val="center"/>
              <w:rPr/>
            </w:pPr>
            <w:r>
              <w:rPr/>
              <w:t>Weighted</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04" w:type="dxa"/>
            <w:gridSpan w:val="2"/>
            <w:tcBorders/>
            <w:shd w:fill="auto" w:val="clear"/>
            <w:vAlign w:val="bottom"/>
          </w:tcPr>
          <w:p>
            <w:pPr>
              <w:pStyle w:val="TableContents"/>
              <w:spacing w:before="0" w:after="283"/>
              <w:jc w:val="center"/>
              <w:rPr/>
            </w:pPr>
            <w:r>
              <w:rPr/>
              <w:t>Remaining</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71" w:type="dxa"/>
            <w:gridSpan w:val="2"/>
            <w:tcBorders/>
            <w:shd w:fill="auto" w:val="clear"/>
            <w:vAlign w:val="bottom"/>
          </w:tcPr>
          <w:p>
            <w:pPr>
              <w:pStyle w:val="TableContents"/>
              <w:spacing w:before="0" w:after="283"/>
              <w:jc w:val="center"/>
              <w:rPr/>
            </w:pPr>
            <w:r>
              <w:rPr/>
              <w:t>Aggregate</w:t>
            </w:r>
          </w:p>
        </w:tc>
        <w:tc>
          <w:tcPr>
            <w:tcW w:w="101" w:type="dxa"/>
            <w:tcBorders/>
            <w:shd w:fill="auto" w:val="clear"/>
            <w:vAlign w:val="bottom"/>
          </w:tcPr>
          <w:p>
            <w:pPr>
              <w:pStyle w:val="TableContents"/>
              <w:spacing w:before="0" w:after="283"/>
              <w:rPr/>
            </w:pPr>
            <w:r>
              <w:rPr/>
              <w:t> </w:t>
            </w:r>
          </w:p>
        </w:tc>
      </w:tr>
      <w:tr>
        <w:trPr/>
        <w:tc>
          <w:tcPr>
            <w:tcW w:w="311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32" w:type="dxa"/>
            <w:gridSpan w:val="2"/>
            <w:tcBorders/>
            <w:shd w:fill="auto" w:val="clear"/>
            <w:vAlign w:val="bottom"/>
          </w:tcPr>
          <w:p>
            <w:pPr>
              <w:pStyle w:val="TableContents"/>
              <w:spacing w:before="0" w:after="283"/>
              <w:jc w:val="center"/>
              <w:rPr/>
            </w:pPr>
            <w:r>
              <w:rPr/>
              <w:t>Average</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04" w:type="dxa"/>
            <w:gridSpan w:val="2"/>
            <w:tcBorders/>
            <w:shd w:fill="auto" w:val="clear"/>
            <w:vAlign w:val="bottom"/>
          </w:tcPr>
          <w:p>
            <w:pPr>
              <w:pStyle w:val="TableContents"/>
              <w:spacing w:before="0" w:after="283"/>
              <w:jc w:val="center"/>
              <w:rPr/>
            </w:pPr>
            <w:r>
              <w:rPr/>
              <w:t>Contractual Term</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71" w:type="dxa"/>
            <w:gridSpan w:val="2"/>
            <w:tcBorders/>
            <w:shd w:fill="auto" w:val="clear"/>
            <w:vAlign w:val="bottom"/>
          </w:tcPr>
          <w:p>
            <w:pPr>
              <w:pStyle w:val="TableContents"/>
              <w:spacing w:before="0" w:after="283"/>
              <w:jc w:val="center"/>
              <w:rPr/>
            </w:pPr>
            <w:r>
              <w:rPr/>
              <w:t>Intrinsic Value</w:t>
            </w:r>
          </w:p>
        </w:tc>
        <w:tc>
          <w:tcPr>
            <w:tcW w:w="101" w:type="dxa"/>
            <w:tcBorders/>
            <w:shd w:fill="auto" w:val="clear"/>
            <w:vAlign w:val="bottom"/>
          </w:tcPr>
          <w:p>
            <w:pPr>
              <w:pStyle w:val="TableContents"/>
              <w:spacing w:before="0" w:after="283"/>
              <w:rPr/>
            </w:pPr>
            <w:r>
              <w:rPr/>
              <w:t> </w:t>
            </w:r>
          </w:p>
        </w:tc>
      </w:tr>
      <w:tr>
        <w:trPr/>
        <w:tc>
          <w:tcPr>
            <w:tcW w:w="311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054"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32" w:type="dxa"/>
            <w:gridSpan w:val="2"/>
            <w:tcBorders>
              <w:bottom w:val="single" w:sz="2" w:space="0" w:color="000000"/>
            </w:tcBorders>
            <w:shd w:fill="auto" w:val="clear"/>
            <w:tcMar>
              <w:bottom w:w="28" w:type="dxa"/>
            </w:tcMar>
            <w:vAlign w:val="bottom"/>
          </w:tcPr>
          <w:p>
            <w:pPr>
              <w:pStyle w:val="TableContents"/>
              <w:spacing w:before="0" w:after="283"/>
              <w:jc w:val="center"/>
              <w:rPr/>
            </w:pPr>
            <w:r>
              <w:rPr/>
              <w:t>Exercise Price</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04" w:type="dxa"/>
            <w:gridSpan w:val="2"/>
            <w:tcBorders/>
            <w:shd w:fill="auto" w:val="clear"/>
            <w:vAlign w:val="bottom"/>
          </w:tcPr>
          <w:p>
            <w:pPr>
              <w:pStyle w:val="TableContents"/>
              <w:spacing w:before="0" w:after="283"/>
              <w:jc w:val="center"/>
              <w:rPr>
                <w:i/>
              </w:rPr>
            </w:pPr>
            <w:r>
              <w:rPr>
                <w:i/>
              </w:rPr>
              <w:t>(years)</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71"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(thousands)</w:t>
            </w:r>
          </w:p>
        </w:tc>
        <w:tc>
          <w:tcPr>
            <w:tcW w:w="101" w:type="dxa"/>
            <w:tcBorders/>
            <w:shd w:fill="auto" w:val="clear"/>
            <w:vAlign w:val="bottom"/>
          </w:tcPr>
          <w:p>
            <w:pPr>
              <w:pStyle w:val="TableContents"/>
              <w:spacing w:before="0" w:after="283"/>
              <w:rPr/>
            </w:pPr>
            <w:r>
              <w:rPr/>
              <w:t> </w:t>
            </w:r>
          </w:p>
        </w:tc>
      </w:tr>
      <w:tr>
        <w:trPr/>
        <w:tc>
          <w:tcPr>
            <w:tcW w:w="3117"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6833"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117" w:type="dxa"/>
            <w:tcBorders/>
            <w:shd w:fill="CCEEFF" w:val="clear"/>
            <w:vAlign w:val="bottom"/>
          </w:tcPr>
          <w:p>
            <w:pPr>
              <w:pStyle w:val="TableContents"/>
              <w:spacing w:before="0" w:after="0"/>
              <w:ind w:left="225" w:right="0" w:hanging="225"/>
              <w:rPr/>
            </w:pPr>
            <w:r>
              <w:rPr/>
              <w:t>Outstanding at September 30, 2009</w:t>
            </w:r>
          </w:p>
        </w:tc>
        <w:tc>
          <w:tcPr>
            <w:tcW w:w="25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789,266</w:t>
            </w:r>
          </w:p>
        </w:tc>
        <w:tc>
          <w:tcPr>
            <w:tcW w:w="12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w:t>
            </w:r>
          </w:p>
        </w:tc>
        <w:tc>
          <w:tcPr>
            <w:tcW w:w="1154" w:type="dxa"/>
            <w:tcBorders/>
            <w:shd w:fill="CCEEFF" w:val="clear"/>
            <w:vAlign w:val="bottom"/>
          </w:tcPr>
          <w:p>
            <w:pPr>
              <w:pStyle w:val="TableContents"/>
              <w:spacing w:before="0" w:after="283"/>
              <w:jc w:val="right"/>
              <w:rPr/>
            </w:pPr>
            <w:r>
              <w:rPr/>
              <w:t>3.48</w:t>
            </w:r>
          </w:p>
        </w:tc>
        <w:tc>
          <w:tcPr>
            <w:tcW w:w="9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49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3117" w:type="dxa"/>
            <w:tcBorders/>
            <w:shd w:fill="auto" w:val="clear"/>
            <w:vAlign w:val="bottom"/>
          </w:tcPr>
          <w:p>
            <w:pPr>
              <w:pStyle w:val="TableContents"/>
              <w:spacing w:before="0" w:after="0"/>
              <w:ind w:left="450" w:right="0" w:hanging="225"/>
              <w:rPr/>
            </w:pPr>
            <w:r>
              <w:rPr/>
              <w:t>Granted</w:t>
            </w:r>
          </w:p>
        </w:tc>
        <w:tc>
          <w:tcPr>
            <w:tcW w:w="25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117" w:type="dxa"/>
            <w:tcBorders/>
            <w:shd w:fill="CCEEFF" w:val="clear"/>
            <w:vAlign w:val="bottom"/>
          </w:tcPr>
          <w:p>
            <w:pPr>
              <w:pStyle w:val="TableContents"/>
              <w:spacing w:before="0" w:after="0"/>
              <w:ind w:left="450" w:right="0" w:hanging="225"/>
              <w:rPr/>
            </w:pPr>
            <w:r>
              <w:rPr/>
              <w:t>Forfeited</w:t>
            </w:r>
          </w:p>
        </w:tc>
        <w:tc>
          <w:tcPr>
            <w:tcW w:w="25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962" w:type="dxa"/>
            <w:tcBorders/>
            <w:shd w:fill="CCEEFF" w:val="clear"/>
            <w:vAlign w:val="bottom"/>
          </w:tcPr>
          <w:p>
            <w:pPr>
              <w:pStyle w:val="TableContents"/>
              <w:spacing w:before="0" w:after="283"/>
              <w:jc w:val="right"/>
              <w:rPr/>
            </w:pPr>
            <w:r>
              <w:rPr/>
              <w:t>(1,666</w:t>
            </w:r>
          </w:p>
        </w:tc>
        <w:tc>
          <w:tcPr>
            <w:tcW w:w="122"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15.05</w:t>
            </w:r>
          </w:p>
        </w:tc>
        <w:tc>
          <w:tcPr>
            <w:tcW w:w="9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49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3117" w:type="dxa"/>
            <w:tcBorders/>
            <w:shd w:fill="auto" w:val="clear"/>
            <w:vAlign w:val="bottom"/>
          </w:tcPr>
          <w:p>
            <w:pPr>
              <w:pStyle w:val="TableContents"/>
              <w:spacing w:before="0" w:after="0"/>
              <w:ind w:left="450" w:right="0" w:hanging="225"/>
              <w:rPr/>
            </w:pPr>
            <w:r>
              <w:rPr/>
              <w:t>Expired</w:t>
            </w:r>
          </w:p>
        </w:tc>
        <w:tc>
          <w:tcPr>
            <w:tcW w:w="25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3117" w:type="dxa"/>
            <w:tcBorders/>
            <w:shd w:fill="CCEEFF" w:val="clear"/>
            <w:vAlign w:val="bottom"/>
          </w:tcPr>
          <w:p>
            <w:pPr>
              <w:pStyle w:val="TableContents"/>
              <w:spacing w:before="0" w:after="0"/>
              <w:ind w:left="450" w:right="0" w:hanging="225"/>
              <w:rPr/>
            </w:pPr>
            <w:r>
              <w:rPr/>
              <w:t>Exercised</w:t>
            </w:r>
          </w:p>
        </w:tc>
        <w:tc>
          <w:tcPr>
            <w:tcW w:w="25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962" w:type="dxa"/>
            <w:tcBorders/>
            <w:shd w:fill="CCEEFF" w:val="clear"/>
            <w:vAlign w:val="bottom"/>
          </w:tcPr>
          <w:p>
            <w:pPr>
              <w:pStyle w:val="TableContents"/>
              <w:spacing w:before="0" w:after="283"/>
              <w:jc w:val="right"/>
              <w:rPr/>
            </w:pPr>
            <w:r>
              <w:rPr/>
              <w:t>(494,202</w:t>
            </w:r>
          </w:p>
        </w:tc>
        <w:tc>
          <w:tcPr>
            <w:tcW w:w="122"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3.24</w:t>
            </w:r>
          </w:p>
        </w:tc>
        <w:tc>
          <w:tcPr>
            <w:tcW w:w="9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49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3117" w:type="dxa"/>
            <w:tcBorders/>
            <w:shd w:fill="auto" w:val="clear"/>
            <w:vAlign w:val="center"/>
          </w:tcPr>
          <w:p>
            <w:pPr>
              <w:pStyle w:val="TableContents"/>
              <w:spacing w:before="0" w:after="0"/>
              <w:ind w:left="225" w:right="0" w:hanging="225"/>
              <w:rPr/>
            </w:pPr>
            <w:r>
              <w:rPr/>
              <w:t> </w:t>
            </w:r>
          </w:p>
        </w:tc>
        <w:tc>
          <w:tcPr>
            <w:tcW w:w="255"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4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1185"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r>
      <w:tr>
        <w:trPr/>
        <w:tc>
          <w:tcPr>
            <w:tcW w:w="3117" w:type="dxa"/>
            <w:tcBorders/>
            <w:shd w:fill="auto" w:val="clear"/>
            <w:vAlign w:val="bottom"/>
          </w:tcPr>
          <w:p>
            <w:pPr>
              <w:pStyle w:val="TableContents"/>
              <w:spacing w:before="0" w:after="0"/>
              <w:ind w:left="225" w:right="0" w:hanging="225"/>
              <w:rPr/>
            </w:pPr>
            <w:r>
              <w:rPr/>
              <w:t>Outstanding at September 30, 2010</w:t>
            </w:r>
          </w:p>
        </w:tc>
        <w:tc>
          <w:tcPr>
            <w:tcW w:w="25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293,398</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154" w:type="dxa"/>
            <w:tcBorders/>
            <w:shd w:fill="auto" w:val="clear"/>
            <w:vAlign w:val="bottom"/>
          </w:tcPr>
          <w:p>
            <w:pPr>
              <w:pStyle w:val="TableContents"/>
              <w:spacing w:before="0" w:after="283"/>
              <w:jc w:val="right"/>
              <w:rPr/>
            </w:pPr>
            <w:r>
              <w:rPr/>
              <w:t>3.81</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3.39</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4,761</w:t>
            </w:r>
          </w:p>
        </w:tc>
        <w:tc>
          <w:tcPr>
            <w:tcW w:w="101" w:type="dxa"/>
            <w:tcBorders/>
            <w:shd w:fill="auto" w:val="clear"/>
            <w:vAlign w:val="bottom"/>
          </w:tcPr>
          <w:p>
            <w:pPr>
              <w:pStyle w:val="TableContents"/>
              <w:spacing w:before="0" w:after="283"/>
              <w:rPr/>
            </w:pPr>
            <w:r>
              <w:rPr/>
              <w:t> </w:t>
            </w:r>
          </w:p>
        </w:tc>
      </w:tr>
      <w:tr>
        <w:trPr/>
        <w:tc>
          <w:tcPr>
            <w:tcW w:w="3117" w:type="dxa"/>
            <w:tcBorders/>
            <w:shd w:fill="CCEEFF" w:val="clear"/>
            <w:vAlign w:val="bottom"/>
          </w:tcPr>
          <w:p>
            <w:pPr>
              <w:pStyle w:val="TableContents"/>
              <w:spacing w:before="0" w:after="0"/>
              <w:ind w:left="225" w:right="0" w:hanging="225"/>
              <w:rPr/>
            </w:pPr>
            <w:r>
              <w:rPr/>
              <w:t>Vested and expected to vest</w:t>
            </w:r>
          </w:p>
        </w:tc>
        <w:tc>
          <w:tcPr>
            <w:tcW w:w="25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293,398</w:t>
            </w:r>
          </w:p>
        </w:tc>
        <w:tc>
          <w:tcPr>
            <w:tcW w:w="12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w:t>
            </w:r>
          </w:p>
        </w:tc>
        <w:tc>
          <w:tcPr>
            <w:tcW w:w="1154" w:type="dxa"/>
            <w:tcBorders/>
            <w:shd w:fill="CCEEFF" w:val="clear"/>
            <w:vAlign w:val="bottom"/>
          </w:tcPr>
          <w:p>
            <w:pPr>
              <w:pStyle w:val="TableContents"/>
              <w:spacing w:before="0" w:after="283"/>
              <w:jc w:val="right"/>
              <w:rPr/>
            </w:pPr>
            <w:r>
              <w:rPr/>
              <w:t>3.81</w:t>
            </w:r>
          </w:p>
        </w:tc>
        <w:tc>
          <w:tcPr>
            <w:tcW w:w="9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490" w:type="dxa"/>
            <w:tcBorders/>
            <w:shd w:fill="CCEEFF" w:val="clear"/>
            <w:vAlign w:val="bottom"/>
          </w:tcPr>
          <w:p>
            <w:pPr>
              <w:pStyle w:val="TableContents"/>
              <w:spacing w:before="0" w:after="283"/>
              <w:jc w:val="right"/>
              <w:rPr/>
            </w:pPr>
            <w:r>
              <w:rPr/>
              <w:t>3.39</w:t>
            </w:r>
          </w:p>
        </w:tc>
        <w:tc>
          <w:tcPr>
            <w:tcW w:w="92"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left"/>
              <w:rPr/>
            </w:pPr>
            <w:r>
              <w:rPr/>
              <w:t>$</w:t>
            </w:r>
          </w:p>
        </w:tc>
        <w:tc>
          <w:tcPr>
            <w:tcW w:w="1185" w:type="dxa"/>
            <w:tcBorders/>
            <w:shd w:fill="CCEEFF" w:val="clear"/>
            <w:vAlign w:val="bottom"/>
          </w:tcPr>
          <w:p>
            <w:pPr>
              <w:pStyle w:val="TableContents"/>
              <w:spacing w:before="0" w:after="283"/>
              <w:jc w:val="right"/>
              <w:rPr/>
            </w:pPr>
            <w:r>
              <w:rPr/>
              <w:t>4,761</w:t>
            </w:r>
          </w:p>
        </w:tc>
        <w:tc>
          <w:tcPr>
            <w:tcW w:w="101" w:type="dxa"/>
            <w:tcBorders/>
            <w:shd w:fill="CCEEFF" w:val="clear"/>
            <w:vAlign w:val="bottom"/>
          </w:tcPr>
          <w:p>
            <w:pPr>
              <w:pStyle w:val="TableContents"/>
              <w:spacing w:before="0" w:after="283"/>
              <w:rPr/>
            </w:pPr>
            <w:r>
              <w:rPr/>
              <w:t> </w:t>
            </w:r>
          </w:p>
        </w:tc>
      </w:tr>
      <w:tr>
        <w:trPr/>
        <w:tc>
          <w:tcPr>
            <w:tcW w:w="3117" w:type="dxa"/>
            <w:tcBorders/>
            <w:shd w:fill="auto" w:val="clear"/>
            <w:vAlign w:val="bottom"/>
          </w:tcPr>
          <w:p>
            <w:pPr>
              <w:pStyle w:val="TableContents"/>
              <w:spacing w:before="0" w:after="0"/>
              <w:ind w:left="225" w:right="0" w:hanging="225"/>
              <w:rPr/>
            </w:pPr>
            <w:r>
              <w:rPr/>
              <w:t>Vested at September 30, 2010</w:t>
            </w:r>
          </w:p>
        </w:tc>
        <w:tc>
          <w:tcPr>
            <w:tcW w:w="25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293,398</w:t>
            </w:r>
          </w:p>
        </w:tc>
        <w:tc>
          <w:tcPr>
            <w:tcW w:w="12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154" w:type="dxa"/>
            <w:tcBorders/>
            <w:shd w:fill="auto" w:val="clear"/>
            <w:vAlign w:val="bottom"/>
          </w:tcPr>
          <w:p>
            <w:pPr>
              <w:pStyle w:val="TableContents"/>
              <w:spacing w:before="0" w:after="283"/>
              <w:jc w:val="right"/>
              <w:rPr/>
            </w:pPr>
            <w:r>
              <w:rPr/>
              <w:t>3.81</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3.39</w:t>
            </w:r>
          </w:p>
        </w:tc>
        <w:tc>
          <w:tcPr>
            <w:tcW w:w="92"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1185" w:type="dxa"/>
            <w:tcBorders/>
            <w:shd w:fill="auto" w:val="clear"/>
            <w:vAlign w:val="bottom"/>
          </w:tcPr>
          <w:p>
            <w:pPr>
              <w:pStyle w:val="TableContents"/>
              <w:spacing w:before="0" w:after="283"/>
              <w:jc w:val="right"/>
              <w:rPr/>
            </w:pPr>
            <w:r>
              <w:rPr/>
              <w:t>4,761</w:t>
            </w:r>
          </w:p>
        </w:tc>
        <w:tc>
          <w:tcPr>
            <w:tcW w:w="101"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 options were granted in fiscal 2010, 2009 or 2008.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Stock option exercises resulted in the issuance of 494,202 shares of Class A Common Stock in fiscal 2010 for total proceeds of $1.6 million. Stock option exercises resulted in the issuance of 1,528,048 shares of Class A Common Stock in fiscal 2009 for total proceeds of $4.9 million. Stock option and warrant exercises resulted in the issuance of 236,413 shares of Class A Common Stock in fiscal 2008 for total proceeds of $0.5 million. The tax benefit realized from stock option exercises was $2.1 million in fiscal 2010, $1.4 million in fiscal 2009, and $0.6 million in fiscal 2008. The total intrinsic value of stock options exercised was $7.7 million in fiscal 2010, $15.5 million in fiscal 2009, and $3.1 million in fiscal 2008.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unexercised warrants expired July 25, 2009 in accordance with their terms. </w:t>
      </w:r>
    </w:p>
    <w:p>
      <w:pPr>
        <w:pStyle w:val="TextBody"/>
        <w:jc w:val="center"/>
        <w:rPr>
          <w:rFonts w:ascii="Times New Roman;Times;serif" w:hAnsi="Times New Roman;Times;serif"/>
          <w:sz w:val="17"/>
        </w:rPr>
      </w:pPr>
      <w:r>
        <w:rPr>
          <w:rFonts w:ascii="Times New Roman;Times;serif" w:hAnsi="Times New Roman;Times;serif"/>
          <w:sz w:val="17"/>
        </w:rPr>
        <w:t xml:space="preserve">71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J: Income Taxes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Significant components of the income tax provision are as follows: </w:t>
      </w:r>
    </w:p>
    <w:tbl>
      <w:tblPr>
        <w:tblW w:w="5000" w:type="pct"/>
        <w:jc w:val="center"/>
        <w:tblInd w:w="0" w:type="dxa"/>
        <w:tblCellMar>
          <w:top w:w="0" w:type="dxa"/>
          <w:left w:w="0" w:type="dxa"/>
          <w:bottom w:w="0" w:type="dxa"/>
          <w:right w:w="0" w:type="dxa"/>
        </w:tblCellMar>
      </w:tblPr>
      <w:tblGrid>
        <w:gridCol w:w="5910"/>
        <w:gridCol w:w="465"/>
        <w:gridCol w:w="141"/>
        <w:gridCol w:w="699"/>
        <w:gridCol w:w="124"/>
        <w:gridCol w:w="465"/>
        <w:gridCol w:w="141"/>
        <w:gridCol w:w="699"/>
        <w:gridCol w:w="124"/>
        <w:gridCol w:w="465"/>
        <w:gridCol w:w="141"/>
        <w:gridCol w:w="699"/>
        <w:gridCol w:w="132"/>
      </w:tblGrid>
      <w:tr>
        <w:trPr/>
        <w:tc>
          <w:tcPr>
            <w:tcW w:w="591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591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3698"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32" w:type="dxa"/>
            <w:tcBorders/>
            <w:shd w:fill="auto" w:val="clear"/>
            <w:vAlign w:val="bottom"/>
          </w:tcPr>
          <w:p>
            <w:pPr>
              <w:pStyle w:val="TableContents"/>
              <w:spacing w:before="0" w:after="283"/>
              <w:rPr/>
            </w:pPr>
            <w:r>
              <w:rPr/>
              <w:t> </w:t>
            </w:r>
          </w:p>
        </w:tc>
      </w:tr>
      <w:tr>
        <w:trPr/>
        <w:tc>
          <w:tcPr>
            <w:tcW w:w="591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8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8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84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32" w:type="dxa"/>
            <w:tcBorders/>
            <w:shd w:fill="auto" w:val="clear"/>
            <w:vAlign w:val="bottom"/>
          </w:tcPr>
          <w:p>
            <w:pPr>
              <w:pStyle w:val="TableContents"/>
              <w:spacing w:before="0" w:after="283"/>
              <w:rPr/>
            </w:pPr>
            <w:r>
              <w:rPr/>
              <w:t> </w:t>
            </w:r>
          </w:p>
        </w:tc>
      </w:tr>
      <w:tr>
        <w:trPr/>
        <w:tc>
          <w:tcPr>
            <w:tcW w:w="5910"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3698" w:type="dxa"/>
            <w:gridSpan w:val="10"/>
            <w:tcBorders/>
            <w:shd w:fill="auto" w:val="clear"/>
            <w:vAlign w:val="bottom"/>
          </w:tcPr>
          <w:p>
            <w:pPr>
              <w:pStyle w:val="TableContents"/>
              <w:spacing w:before="0" w:after="283"/>
              <w:jc w:val="center"/>
              <w:rPr>
                <w:i/>
              </w:rPr>
            </w:pPr>
            <w:r>
              <w:rPr>
                <w:i/>
              </w:rPr>
              <w:t>(In thousands)</w:t>
            </w:r>
          </w:p>
        </w:tc>
        <w:tc>
          <w:tcPr>
            <w:tcW w:w="132" w:type="dxa"/>
            <w:tcBorders/>
            <w:shd w:fill="auto" w:val="clear"/>
            <w:vAlign w:val="bottom"/>
          </w:tcPr>
          <w:p>
            <w:pPr>
              <w:pStyle w:val="TableContents"/>
              <w:spacing w:before="0" w:after="283"/>
              <w:rPr/>
            </w:pPr>
            <w:r>
              <w:rPr/>
              <w:t> </w:t>
            </w:r>
          </w:p>
        </w:tc>
      </w:tr>
      <w:tr>
        <w:trPr/>
        <w:tc>
          <w:tcPr>
            <w:tcW w:w="5910" w:type="dxa"/>
            <w:tcBorders/>
            <w:shd w:fill="CCEEFF" w:val="clear"/>
            <w:vAlign w:val="bottom"/>
          </w:tcPr>
          <w:p>
            <w:pPr>
              <w:pStyle w:val="TableContents"/>
              <w:spacing w:before="0" w:after="0"/>
              <w:ind w:left="225" w:right="0" w:hanging="225"/>
              <w:rPr/>
            </w:pPr>
            <w:r>
              <w:rPr/>
              <w:t>Current</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5910" w:type="dxa"/>
            <w:tcBorders/>
            <w:shd w:fill="auto" w:val="clear"/>
            <w:vAlign w:val="bottom"/>
          </w:tcPr>
          <w:p>
            <w:pPr>
              <w:pStyle w:val="TableContents"/>
              <w:spacing w:before="0" w:after="0"/>
              <w:ind w:left="450" w:right="0" w:hanging="225"/>
              <w:rPr/>
            </w:pPr>
            <w:r>
              <w:rPr/>
              <w:t>Federal</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99" w:type="dxa"/>
            <w:tcBorders/>
            <w:shd w:fill="auto" w:val="clear"/>
            <w:vAlign w:val="bottom"/>
          </w:tcPr>
          <w:p>
            <w:pPr>
              <w:pStyle w:val="TableContents"/>
              <w:spacing w:before="0" w:after="283"/>
              <w:jc w:val="right"/>
              <w:rPr/>
            </w:pPr>
            <w:r>
              <w:rPr/>
              <w:t>54,931</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99" w:type="dxa"/>
            <w:tcBorders/>
            <w:shd w:fill="auto" w:val="clear"/>
            <w:vAlign w:val="bottom"/>
          </w:tcPr>
          <w:p>
            <w:pPr>
              <w:pStyle w:val="TableContents"/>
              <w:spacing w:before="0" w:after="283"/>
              <w:jc w:val="right"/>
              <w:rPr/>
            </w:pPr>
            <w:r>
              <w:rPr/>
              <w:t>38,898</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99" w:type="dxa"/>
            <w:tcBorders/>
            <w:shd w:fill="auto" w:val="clear"/>
            <w:vAlign w:val="bottom"/>
          </w:tcPr>
          <w:p>
            <w:pPr>
              <w:pStyle w:val="TableContents"/>
              <w:spacing w:before="0" w:after="283"/>
              <w:jc w:val="right"/>
              <w:rPr/>
            </w:pPr>
            <w:r>
              <w:rPr/>
              <w:t>30,777</w:t>
            </w:r>
          </w:p>
        </w:tc>
        <w:tc>
          <w:tcPr>
            <w:tcW w:w="132" w:type="dxa"/>
            <w:tcBorders/>
            <w:shd w:fill="auto" w:val="clear"/>
            <w:vAlign w:val="bottom"/>
          </w:tcPr>
          <w:p>
            <w:pPr>
              <w:pStyle w:val="TableContents"/>
              <w:spacing w:before="0" w:after="283"/>
              <w:rPr/>
            </w:pPr>
            <w:r>
              <w:rPr/>
              <w:t> </w:t>
            </w:r>
          </w:p>
        </w:tc>
      </w:tr>
      <w:tr>
        <w:trPr/>
        <w:tc>
          <w:tcPr>
            <w:tcW w:w="5910" w:type="dxa"/>
            <w:tcBorders/>
            <w:shd w:fill="CCEEFF" w:val="clear"/>
            <w:vAlign w:val="bottom"/>
          </w:tcPr>
          <w:p>
            <w:pPr>
              <w:pStyle w:val="TableContents"/>
              <w:spacing w:before="0" w:after="0"/>
              <w:ind w:left="450" w:right="0" w:hanging="225"/>
              <w:rPr/>
            </w:pPr>
            <w:r>
              <w:rPr/>
              <w:t>State and foreign</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2,172</w:t>
            </w:r>
          </w:p>
        </w:tc>
        <w:tc>
          <w:tcPr>
            <w:tcW w:w="12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1,519</w:t>
            </w:r>
          </w:p>
        </w:tc>
        <w:tc>
          <w:tcPr>
            <w:tcW w:w="12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1,105</w:t>
            </w:r>
          </w:p>
        </w:tc>
        <w:tc>
          <w:tcPr>
            <w:tcW w:w="132" w:type="dxa"/>
            <w:tcBorders/>
            <w:shd w:fill="CCEEFF" w:val="clear"/>
            <w:vAlign w:val="bottom"/>
          </w:tcPr>
          <w:p>
            <w:pPr>
              <w:pStyle w:val="TableContents"/>
              <w:spacing w:before="0" w:after="283"/>
              <w:rPr/>
            </w:pPr>
            <w:r>
              <w:rPr/>
              <w:t> </w:t>
            </w:r>
          </w:p>
        </w:tc>
      </w:tr>
      <w:tr>
        <w:trPr/>
        <w:tc>
          <w:tcPr>
            <w:tcW w:w="5910"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910"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57,103</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40,417</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31,882</w:t>
            </w:r>
          </w:p>
        </w:tc>
        <w:tc>
          <w:tcPr>
            <w:tcW w:w="132" w:type="dxa"/>
            <w:tcBorders/>
            <w:shd w:fill="auto" w:val="clear"/>
            <w:vAlign w:val="bottom"/>
          </w:tcPr>
          <w:p>
            <w:pPr>
              <w:pStyle w:val="TableContents"/>
              <w:spacing w:before="0" w:after="283"/>
              <w:rPr/>
            </w:pPr>
            <w:r>
              <w:rPr/>
              <w:t> </w:t>
            </w:r>
          </w:p>
        </w:tc>
      </w:tr>
      <w:tr>
        <w:trPr/>
        <w:tc>
          <w:tcPr>
            <w:tcW w:w="5910"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5910" w:type="dxa"/>
            <w:tcBorders/>
            <w:shd w:fill="CCEEFF" w:val="clear"/>
            <w:vAlign w:val="bottom"/>
          </w:tcPr>
          <w:p>
            <w:pPr>
              <w:pStyle w:val="TableContents"/>
              <w:spacing w:before="0" w:after="0"/>
              <w:ind w:left="225" w:right="0" w:hanging="225"/>
              <w:rPr/>
            </w:pPr>
            <w:r>
              <w:rPr/>
              <w:t>Deferred</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5910" w:type="dxa"/>
            <w:tcBorders/>
            <w:shd w:fill="auto" w:val="clear"/>
            <w:vAlign w:val="bottom"/>
          </w:tcPr>
          <w:p>
            <w:pPr>
              <w:pStyle w:val="TableContents"/>
              <w:spacing w:before="0" w:after="0"/>
              <w:ind w:left="450" w:right="0" w:hanging="225"/>
              <w:rPr/>
            </w:pPr>
            <w:r>
              <w:rPr/>
              <w:t>Federal</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699" w:type="dxa"/>
            <w:tcBorders/>
            <w:shd w:fill="auto" w:val="clear"/>
            <w:vAlign w:val="bottom"/>
          </w:tcPr>
          <w:p>
            <w:pPr>
              <w:pStyle w:val="TableContents"/>
              <w:spacing w:before="0" w:after="283"/>
              <w:jc w:val="right"/>
              <w:rPr/>
            </w:pPr>
            <w:r>
              <w:rPr/>
              <w:t>(2,811</w:t>
            </w:r>
          </w:p>
        </w:tc>
        <w:tc>
          <w:tcPr>
            <w:tcW w:w="124" w:type="dxa"/>
            <w:tcBorders/>
            <w:shd w:fill="auto" w:val="clear"/>
            <w:vAlign w:val="bottom"/>
          </w:tcPr>
          <w:p>
            <w:pPr>
              <w:pStyle w:val="TableContents"/>
              <w:spacing w:before="0" w:after="283"/>
              <w:rPr/>
            </w:pPr>
            <w:r>
              <w:rPr/>
              <w:t>)</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699" w:type="dxa"/>
            <w:tcBorders/>
            <w:shd w:fill="auto" w:val="clear"/>
            <w:vAlign w:val="bottom"/>
          </w:tcPr>
          <w:p>
            <w:pPr>
              <w:pStyle w:val="TableContents"/>
              <w:spacing w:before="0" w:after="283"/>
              <w:jc w:val="right"/>
              <w:rPr/>
            </w:pPr>
            <w:r>
              <w:rPr/>
              <w:t>(3,516</w:t>
            </w:r>
          </w:p>
        </w:tc>
        <w:tc>
          <w:tcPr>
            <w:tcW w:w="124" w:type="dxa"/>
            <w:tcBorders/>
            <w:shd w:fill="auto" w:val="clear"/>
            <w:vAlign w:val="bottom"/>
          </w:tcPr>
          <w:p>
            <w:pPr>
              <w:pStyle w:val="TableContents"/>
              <w:spacing w:before="0" w:after="283"/>
              <w:rPr/>
            </w:pPr>
            <w:r>
              <w:rPr/>
              <w:t>)</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699" w:type="dxa"/>
            <w:tcBorders/>
            <w:shd w:fill="auto" w:val="clear"/>
            <w:vAlign w:val="bottom"/>
          </w:tcPr>
          <w:p>
            <w:pPr>
              <w:pStyle w:val="TableContents"/>
              <w:spacing w:before="0" w:after="283"/>
              <w:jc w:val="right"/>
              <w:rPr/>
            </w:pPr>
            <w:r>
              <w:rPr/>
              <w:t>(6,119</w:t>
            </w:r>
          </w:p>
        </w:tc>
        <w:tc>
          <w:tcPr>
            <w:tcW w:w="132" w:type="dxa"/>
            <w:tcBorders/>
            <w:shd w:fill="auto" w:val="clear"/>
            <w:vAlign w:val="bottom"/>
          </w:tcPr>
          <w:p>
            <w:pPr>
              <w:pStyle w:val="TableContents"/>
              <w:spacing w:before="0" w:after="283"/>
              <w:rPr/>
            </w:pPr>
            <w:r>
              <w:rPr/>
              <w:t>)</w:t>
            </w:r>
          </w:p>
        </w:tc>
      </w:tr>
      <w:tr>
        <w:trPr/>
        <w:tc>
          <w:tcPr>
            <w:tcW w:w="5910" w:type="dxa"/>
            <w:tcBorders/>
            <w:shd w:fill="CCEEFF" w:val="clear"/>
            <w:vAlign w:val="bottom"/>
          </w:tcPr>
          <w:p>
            <w:pPr>
              <w:pStyle w:val="TableContents"/>
              <w:spacing w:before="0" w:after="0"/>
              <w:ind w:left="450" w:right="0" w:hanging="225"/>
              <w:rPr/>
            </w:pPr>
            <w:r>
              <w:rPr/>
              <w:t>State and foreign</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699" w:type="dxa"/>
            <w:tcBorders/>
            <w:shd w:fill="CCEEFF" w:val="clear"/>
            <w:vAlign w:val="bottom"/>
          </w:tcPr>
          <w:p>
            <w:pPr>
              <w:pStyle w:val="TableContents"/>
              <w:spacing w:before="0" w:after="283"/>
              <w:jc w:val="right"/>
              <w:rPr/>
            </w:pPr>
            <w:r>
              <w:rPr/>
              <w:t>(56</w:t>
            </w:r>
          </w:p>
        </w:tc>
        <w:tc>
          <w:tcPr>
            <w:tcW w:w="124" w:type="dxa"/>
            <w:tcBorders/>
            <w:shd w:fill="CCEEFF" w:val="clear"/>
            <w:vAlign w:val="bottom"/>
          </w:tcPr>
          <w:p>
            <w:pPr>
              <w:pStyle w:val="TableContents"/>
              <w:spacing w:before="0" w:after="283"/>
              <w:rPr/>
            </w:pPr>
            <w:r>
              <w:rPr/>
              <w:t>)</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699" w:type="dxa"/>
            <w:tcBorders/>
            <w:shd w:fill="CCEEFF" w:val="clear"/>
            <w:vAlign w:val="bottom"/>
          </w:tcPr>
          <w:p>
            <w:pPr>
              <w:pStyle w:val="TableContents"/>
              <w:spacing w:before="0" w:after="283"/>
              <w:jc w:val="right"/>
              <w:rPr/>
            </w:pPr>
            <w:r>
              <w:rPr/>
              <w:t>(61</w:t>
            </w:r>
          </w:p>
        </w:tc>
        <w:tc>
          <w:tcPr>
            <w:tcW w:w="124" w:type="dxa"/>
            <w:tcBorders/>
            <w:shd w:fill="CCEEFF" w:val="clear"/>
            <w:vAlign w:val="bottom"/>
          </w:tcPr>
          <w:p>
            <w:pPr>
              <w:pStyle w:val="TableContents"/>
              <w:spacing w:before="0" w:after="283"/>
              <w:rPr/>
            </w:pPr>
            <w:r>
              <w:rPr/>
              <w:t>)</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699" w:type="dxa"/>
            <w:tcBorders/>
            <w:shd w:fill="CCEEFF" w:val="clear"/>
            <w:vAlign w:val="bottom"/>
          </w:tcPr>
          <w:p>
            <w:pPr>
              <w:pStyle w:val="TableContents"/>
              <w:spacing w:before="0" w:after="283"/>
              <w:jc w:val="right"/>
              <w:rPr/>
            </w:pPr>
            <w:r>
              <w:rPr/>
              <w:t>(121</w:t>
            </w:r>
          </w:p>
        </w:tc>
        <w:tc>
          <w:tcPr>
            <w:tcW w:w="132" w:type="dxa"/>
            <w:tcBorders/>
            <w:shd w:fill="CCEEFF" w:val="clear"/>
            <w:vAlign w:val="bottom"/>
          </w:tcPr>
          <w:p>
            <w:pPr>
              <w:pStyle w:val="TableContents"/>
              <w:spacing w:before="0" w:after="283"/>
              <w:rPr/>
            </w:pPr>
            <w:r>
              <w:rPr/>
              <w:t>)</w:t>
            </w:r>
          </w:p>
        </w:tc>
      </w:tr>
      <w:tr>
        <w:trPr/>
        <w:tc>
          <w:tcPr>
            <w:tcW w:w="5910"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910"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699" w:type="dxa"/>
            <w:tcBorders/>
            <w:shd w:fill="auto" w:val="clear"/>
            <w:vAlign w:val="bottom"/>
          </w:tcPr>
          <w:p>
            <w:pPr>
              <w:pStyle w:val="TableContents"/>
              <w:spacing w:before="0" w:after="283"/>
              <w:jc w:val="right"/>
              <w:rPr/>
            </w:pPr>
            <w:r>
              <w:rPr/>
              <w:t>(2,867</w:t>
            </w:r>
          </w:p>
        </w:tc>
        <w:tc>
          <w:tcPr>
            <w:tcW w:w="124" w:type="dxa"/>
            <w:tcBorders/>
            <w:shd w:fill="auto" w:val="clear"/>
            <w:vAlign w:val="bottom"/>
          </w:tcPr>
          <w:p>
            <w:pPr>
              <w:pStyle w:val="TableContents"/>
              <w:spacing w:before="0" w:after="283"/>
              <w:rPr/>
            </w:pPr>
            <w:r>
              <w:rPr/>
              <w:t>)</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699" w:type="dxa"/>
            <w:tcBorders/>
            <w:shd w:fill="auto" w:val="clear"/>
            <w:vAlign w:val="bottom"/>
          </w:tcPr>
          <w:p>
            <w:pPr>
              <w:pStyle w:val="TableContents"/>
              <w:spacing w:before="0" w:after="283"/>
              <w:jc w:val="right"/>
              <w:rPr/>
            </w:pPr>
            <w:r>
              <w:rPr/>
              <w:t>(3,577</w:t>
            </w:r>
          </w:p>
        </w:tc>
        <w:tc>
          <w:tcPr>
            <w:tcW w:w="124" w:type="dxa"/>
            <w:tcBorders/>
            <w:shd w:fill="auto" w:val="clear"/>
            <w:vAlign w:val="bottom"/>
          </w:tcPr>
          <w:p>
            <w:pPr>
              <w:pStyle w:val="TableContents"/>
              <w:spacing w:before="0" w:after="283"/>
              <w:rPr/>
            </w:pPr>
            <w:r>
              <w:rPr/>
              <w:t>)</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699" w:type="dxa"/>
            <w:tcBorders/>
            <w:shd w:fill="auto" w:val="clear"/>
            <w:vAlign w:val="bottom"/>
          </w:tcPr>
          <w:p>
            <w:pPr>
              <w:pStyle w:val="TableContents"/>
              <w:spacing w:before="0" w:after="283"/>
              <w:jc w:val="right"/>
              <w:rPr/>
            </w:pPr>
            <w:r>
              <w:rPr/>
              <w:t>(6,240</w:t>
            </w:r>
          </w:p>
        </w:tc>
        <w:tc>
          <w:tcPr>
            <w:tcW w:w="132" w:type="dxa"/>
            <w:tcBorders/>
            <w:shd w:fill="auto" w:val="clear"/>
            <w:vAlign w:val="bottom"/>
          </w:tcPr>
          <w:p>
            <w:pPr>
              <w:pStyle w:val="TableContents"/>
              <w:spacing w:before="0" w:after="283"/>
              <w:rPr/>
            </w:pPr>
            <w:r>
              <w:rPr/>
              <w:t>)</w:t>
            </w:r>
          </w:p>
        </w:tc>
      </w:tr>
      <w:tr>
        <w:trPr/>
        <w:tc>
          <w:tcPr>
            <w:tcW w:w="5910"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5910"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910" w:type="dxa"/>
            <w:tcBorders/>
            <w:shd w:fill="CCEEFF" w:val="clear"/>
            <w:vAlign w:val="bottom"/>
          </w:tcPr>
          <w:p>
            <w:pPr>
              <w:pStyle w:val="TableContents"/>
              <w:spacing w:before="0" w:after="0"/>
              <w:ind w:left="225" w:right="0" w:hanging="225"/>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99" w:type="dxa"/>
            <w:tcBorders/>
            <w:shd w:fill="CCEEFF" w:val="clear"/>
            <w:vAlign w:val="bottom"/>
          </w:tcPr>
          <w:p>
            <w:pPr>
              <w:pStyle w:val="TableContents"/>
              <w:spacing w:before="0" w:after="283"/>
              <w:jc w:val="right"/>
              <w:rPr/>
            </w:pPr>
            <w:r>
              <w:rPr/>
              <w:t>54,236</w:t>
            </w:r>
          </w:p>
        </w:tc>
        <w:tc>
          <w:tcPr>
            <w:tcW w:w="12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99" w:type="dxa"/>
            <w:tcBorders/>
            <w:shd w:fill="CCEEFF" w:val="clear"/>
            <w:vAlign w:val="bottom"/>
          </w:tcPr>
          <w:p>
            <w:pPr>
              <w:pStyle w:val="TableContents"/>
              <w:spacing w:before="0" w:after="283"/>
              <w:jc w:val="right"/>
              <w:rPr/>
            </w:pPr>
            <w:r>
              <w:rPr/>
              <w:t>36,840</w:t>
            </w:r>
          </w:p>
        </w:tc>
        <w:tc>
          <w:tcPr>
            <w:tcW w:w="124"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99" w:type="dxa"/>
            <w:tcBorders/>
            <w:shd w:fill="CCEEFF" w:val="clear"/>
            <w:vAlign w:val="bottom"/>
          </w:tcPr>
          <w:p>
            <w:pPr>
              <w:pStyle w:val="TableContents"/>
              <w:spacing w:before="0" w:after="283"/>
              <w:jc w:val="right"/>
              <w:rPr/>
            </w:pPr>
            <w:r>
              <w:rPr/>
              <w:t>25,642</w:t>
            </w:r>
          </w:p>
        </w:tc>
        <w:tc>
          <w:tcPr>
            <w:tcW w:w="132" w:type="dxa"/>
            <w:tcBorders/>
            <w:shd w:fill="CCEEFF" w:val="clear"/>
            <w:vAlign w:val="bottom"/>
          </w:tcPr>
          <w:p>
            <w:pPr>
              <w:pStyle w:val="TableContents"/>
              <w:spacing w:before="0" w:after="283"/>
              <w:rPr/>
            </w:pPr>
            <w:r>
              <w:rPr/>
              <w:t> </w:t>
            </w:r>
          </w:p>
        </w:tc>
      </w:tr>
      <w:tr>
        <w:trPr/>
        <w:tc>
          <w:tcPr>
            <w:tcW w:w="5910"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65" w:type="dxa"/>
            <w:tcBorders/>
            <w:shd w:fill="auto" w:val="clear"/>
            <w:vAlign w:val="center"/>
          </w:tcPr>
          <w:p>
            <w:pPr>
              <w:pStyle w:val="TableContents"/>
              <w:spacing w:before="0" w:after="283"/>
              <w:rPr/>
            </w:pPr>
            <w:r>
              <w:rPr/>
              <w:t> </w:t>
            </w:r>
          </w:p>
        </w:tc>
        <w:tc>
          <w:tcPr>
            <w:tcW w:w="8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reconciliation of income taxes calculated at the statutory rate and the provision for income taxes attributable to continuing operations is as follows: </w:t>
      </w:r>
    </w:p>
    <w:tbl>
      <w:tblPr>
        <w:tblW w:w="5000" w:type="pct"/>
        <w:jc w:val="center"/>
        <w:tblInd w:w="0" w:type="dxa"/>
        <w:tblCellMar>
          <w:top w:w="0" w:type="dxa"/>
          <w:left w:w="0" w:type="dxa"/>
          <w:bottom w:w="0" w:type="dxa"/>
          <w:right w:w="0" w:type="dxa"/>
        </w:tblCellMar>
      </w:tblPr>
      <w:tblGrid>
        <w:gridCol w:w="5428"/>
        <w:gridCol w:w="398"/>
        <w:gridCol w:w="165"/>
        <w:gridCol w:w="813"/>
        <w:gridCol w:w="215"/>
        <w:gridCol w:w="398"/>
        <w:gridCol w:w="165"/>
        <w:gridCol w:w="813"/>
        <w:gridCol w:w="214"/>
        <w:gridCol w:w="398"/>
        <w:gridCol w:w="165"/>
        <w:gridCol w:w="813"/>
        <w:gridCol w:w="220"/>
      </w:tblGrid>
      <w:tr>
        <w:trPr/>
        <w:tc>
          <w:tcPr>
            <w:tcW w:w="5428"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r>
      <w:tr>
        <w:trPr/>
        <w:tc>
          <w:tcPr>
            <w:tcW w:w="5428"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159"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220" w:type="dxa"/>
            <w:tcBorders/>
            <w:shd w:fill="auto" w:val="clear"/>
            <w:vAlign w:val="bottom"/>
          </w:tcPr>
          <w:p>
            <w:pPr>
              <w:pStyle w:val="TableContents"/>
              <w:spacing w:before="0" w:after="283"/>
              <w:rPr/>
            </w:pPr>
            <w:r>
              <w:rPr/>
              <w:t> </w:t>
            </w:r>
          </w:p>
        </w:tc>
      </w:tr>
      <w:tr>
        <w:trPr/>
        <w:tc>
          <w:tcPr>
            <w:tcW w:w="5428"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21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21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7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220" w:type="dxa"/>
            <w:tcBorders/>
            <w:shd w:fill="auto" w:val="clear"/>
            <w:vAlign w:val="bottom"/>
          </w:tcPr>
          <w:p>
            <w:pPr>
              <w:pStyle w:val="TableContents"/>
              <w:spacing w:before="0" w:after="283"/>
              <w:rPr/>
            </w:pPr>
            <w:r>
              <w:rPr/>
              <w:t> </w:t>
            </w:r>
          </w:p>
        </w:tc>
      </w:tr>
      <w:tr>
        <w:trPr/>
        <w:tc>
          <w:tcPr>
            <w:tcW w:w="5428"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159" w:type="dxa"/>
            <w:gridSpan w:val="10"/>
            <w:tcBorders/>
            <w:shd w:fill="auto" w:val="clear"/>
            <w:vAlign w:val="bottom"/>
          </w:tcPr>
          <w:p>
            <w:pPr>
              <w:pStyle w:val="TableContents"/>
              <w:spacing w:before="0" w:after="283"/>
              <w:jc w:val="center"/>
              <w:rPr>
                <w:i/>
              </w:rPr>
            </w:pPr>
            <w:r>
              <w:rPr>
                <w:i/>
              </w:rPr>
              <w:t>(In thousands)</w:t>
            </w:r>
          </w:p>
        </w:tc>
        <w:tc>
          <w:tcPr>
            <w:tcW w:w="220" w:type="dxa"/>
            <w:tcBorders/>
            <w:shd w:fill="auto" w:val="clear"/>
            <w:vAlign w:val="bottom"/>
          </w:tcPr>
          <w:p>
            <w:pPr>
              <w:pStyle w:val="TableContents"/>
              <w:spacing w:before="0" w:after="283"/>
              <w:rPr/>
            </w:pPr>
            <w:r>
              <w:rPr/>
              <w:t> </w:t>
            </w:r>
          </w:p>
        </w:tc>
      </w:tr>
      <w:tr>
        <w:trPr/>
        <w:tc>
          <w:tcPr>
            <w:tcW w:w="5428" w:type="dxa"/>
            <w:tcBorders/>
            <w:shd w:fill="CCEEFF" w:val="clear"/>
            <w:vAlign w:val="bottom"/>
          </w:tcPr>
          <w:p>
            <w:pPr>
              <w:pStyle w:val="TableContents"/>
              <w:spacing w:before="0" w:after="0"/>
              <w:ind w:left="225" w:right="0" w:hanging="225"/>
              <w:rPr/>
            </w:pPr>
            <w:r>
              <w:rPr/>
              <w:t>Income taxes at the federal statutory rate</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3" w:type="dxa"/>
            <w:tcBorders/>
            <w:shd w:fill="CCEEFF" w:val="clear"/>
            <w:vAlign w:val="bottom"/>
          </w:tcPr>
          <w:p>
            <w:pPr>
              <w:pStyle w:val="TableContents"/>
              <w:spacing w:before="0" w:after="283"/>
              <w:jc w:val="right"/>
              <w:rPr/>
            </w:pPr>
            <w:r>
              <w:rPr/>
              <w:t>53,035</w:t>
            </w:r>
          </w:p>
        </w:tc>
        <w:tc>
          <w:tcPr>
            <w:tcW w:w="21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3" w:type="dxa"/>
            <w:tcBorders/>
            <w:shd w:fill="CCEEFF" w:val="clear"/>
            <w:vAlign w:val="bottom"/>
          </w:tcPr>
          <w:p>
            <w:pPr>
              <w:pStyle w:val="TableContents"/>
              <w:spacing w:before="0" w:after="283"/>
              <w:jc w:val="right"/>
              <w:rPr/>
            </w:pPr>
            <w:r>
              <w:rPr/>
              <w:t>36,859</w:t>
            </w:r>
          </w:p>
        </w:tc>
        <w:tc>
          <w:tcPr>
            <w:tcW w:w="214"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3" w:type="dxa"/>
            <w:tcBorders/>
            <w:shd w:fill="CCEEFF" w:val="clear"/>
            <w:vAlign w:val="bottom"/>
          </w:tcPr>
          <w:p>
            <w:pPr>
              <w:pStyle w:val="TableContents"/>
              <w:spacing w:before="0" w:after="283"/>
              <w:jc w:val="right"/>
              <w:rPr/>
            </w:pPr>
            <w:r>
              <w:rPr/>
              <w:t>27,325</w:t>
            </w:r>
          </w:p>
        </w:tc>
        <w:tc>
          <w:tcPr>
            <w:tcW w:w="220" w:type="dxa"/>
            <w:tcBorders/>
            <w:shd w:fill="CCEEFF" w:val="clear"/>
            <w:vAlign w:val="bottom"/>
          </w:tcPr>
          <w:p>
            <w:pPr>
              <w:pStyle w:val="TableContents"/>
              <w:spacing w:before="0" w:after="283"/>
              <w:rPr/>
            </w:pPr>
            <w:r>
              <w:rPr/>
              <w:t> </w:t>
            </w:r>
          </w:p>
        </w:tc>
      </w:tr>
      <w:tr>
        <w:trPr/>
        <w:tc>
          <w:tcPr>
            <w:tcW w:w="5428" w:type="dxa"/>
            <w:tcBorders/>
            <w:shd w:fill="auto" w:val="clear"/>
            <w:vAlign w:val="bottom"/>
          </w:tcPr>
          <w:p>
            <w:pPr>
              <w:pStyle w:val="TableContents"/>
              <w:spacing w:before="0" w:after="0"/>
              <w:ind w:left="225" w:right="0" w:hanging="225"/>
              <w:rPr/>
            </w:pPr>
            <w:r>
              <w:rPr/>
              <w:t>Non-deductible expense related to incentive stock options</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w:t>
            </w:r>
          </w:p>
        </w:tc>
        <w:tc>
          <w:tcPr>
            <w:tcW w:w="21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112</w:t>
            </w:r>
          </w:p>
        </w:tc>
        <w:tc>
          <w:tcPr>
            <w:tcW w:w="21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117</w:t>
            </w:r>
          </w:p>
        </w:tc>
        <w:tc>
          <w:tcPr>
            <w:tcW w:w="220" w:type="dxa"/>
            <w:tcBorders/>
            <w:shd w:fill="auto" w:val="clear"/>
            <w:vAlign w:val="bottom"/>
          </w:tcPr>
          <w:p>
            <w:pPr>
              <w:pStyle w:val="TableContents"/>
              <w:spacing w:before="0" w:after="283"/>
              <w:rPr/>
            </w:pPr>
            <w:r>
              <w:rPr/>
              <w:t> </w:t>
            </w:r>
          </w:p>
        </w:tc>
      </w:tr>
      <w:tr>
        <w:trPr/>
        <w:tc>
          <w:tcPr>
            <w:tcW w:w="5428" w:type="dxa"/>
            <w:tcBorders/>
            <w:shd w:fill="CCEEFF" w:val="clear"/>
            <w:vAlign w:val="bottom"/>
          </w:tcPr>
          <w:p>
            <w:pPr>
              <w:pStyle w:val="TableContents"/>
              <w:spacing w:before="0" w:after="0"/>
              <w:ind w:left="225" w:right="0" w:hanging="225"/>
              <w:rPr/>
            </w:pPr>
            <w:r>
              <w:rPr/>
              <w:t>State income tax, net of federal benefit</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2,172</w:t>
            </w:r>
          </w:p>
        </w:tc>
        <w:tc>
          <w:tcPr>
            <w:tcW w:w="21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1,519</w:t>
            </w:r>
          </w:p>
        </w:tc>
        <w:tc>
          <w:tcPr>
            <w:tcW w:w="214"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1,105</w:t>
            </w:r>
          </w:p>
        </w:tc>
        <w:tc>
          <w:tcPr>
            <w:tcW w:w="220" w:type="dxa"/>
            <w:tcBorders/>
            <w:shd w:fill="CCEEFF" w:val="clear"/>
            <w:vAlign w:val="bottom"/>
          </w:tcPr>
          <w:p>
            <w:pPr>
              <w:pStyle w:val="TableContents"/>
              <w:spacing w:before="0" w:after="283"/>
              <w:rPr/>
            </w:pPr>
            <w:r>
              <w:rPr/>
              <w:t> </w:t>
            </w:r>
          </w:p>
        </w:tc>
      </w:tr>
      <w:tr>
        <w:trPr/>
        <w:tc>
          <w:tcPr>
            <w:tcW w:w="5428" w:type="dxa"/>
            <w:tcBorders/>
            <w:shd w:fill="auto" w:val="clear"/>
            <w:vAlign w:val="bottom"/>
          </w:tcPr>
          <w:p>
            <w:pPr>
              <w:pStyle w:val="TableContents"/>
              <w:spacing w:before="0" w:after="0"/>
              <w:ind w:left="225" w:right="0" w:hanging="225"/>
              <w:rPr/>
            </w:pPr>
            <w:r>
              <w:rPr/>
              <w:t>Change in valuation allowance</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1,273</w:t>
            </w:r>
          </w:p>
        </w:tc>
        <w:tc>
          <w:tcPr>
            <w:tcW w:w="21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157</w:t>
            </w:r>
          </w:p>
        </w:tc>
        <w:tc>
          <w:tcPr>
            <w:tcW w:w="21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3" w:type="dxa"/>
            <w:tcBorders/>
            <w:shd w:fill="auto" w:val="clear"/>
            <w:vAlign w:val="bottom"/>
          </w:tcPr>
          <w:p>
            <w:pPr>
              <w:pStyle w:val="TableContents"/>
              <w:spacing w:before="0" w:after="283"/>
              <w:jc w:val="right"/>
              <w:rPr/>
            </w:pPr>
            <w:r>
              <w:rPr/>
              <w:t>(159</w:t>
            </w:r>
          </w:p>
        </w:tc>
        <w:tc>
          <w:tcPr>
            <w:tcW w:w="220" w:type="dxa"/>
            <w:tcBorders/>
            <w:shd w:fill="auto" w:val="clear"/>
            <w:vAlign w:val="bottom"/>
          </w:tcPr>
          <w:p>
            <w:pPr>
              <w:pStyle w:val="TableContents"/>
              <w:spacing w:before="0" w:after="283"/>
              <w:rPr/>
            </w:pPr>
            <w:r>
              <w:rPr/>
              <w:t>)</w:t>
            </w:r>
          </w:p>
        </w:tc>
      </w:tr>
      <w:tr>
        <w:trPr/>
        <w:tc>
          <w:tcPr>
            <w:tcW w:w="5428" w:type="dxa"/>
            <w:tcBorders/>
            <w:shd w:fill="CCEEFF" w:val="clear"/>
            <w:vAlign w:val="bottom"/>
          </w:tcPr>
          <w:p>
            <w:pPr>
              <w:pStyle w:val="TableContents"/>
              <w:spacing w:before="0" w:after="0"/>
              <w:ind w:left="225" w:right="0" w:hanging="225"/>
              <w:rPr/>
            </w:pPr>
            <w:r>
              <w:rPr/>
              <w:t>Federal tax credits</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13" w:type="dxa"/>
            <w:tcBorders/>
            <w:shd w:fill="CCEEFF" w:val="clear"/>
            <w:vAlign w:val="bottom"/>
          </w:tcPr>
          <w:p>
            <w:pPr>
              <w:pStyle w:val="TableContents"/>
              <w:spacing w:before="0" w:after="283"/>
              <w:jc w:val="right"/>
              <w:rPr/>
            </w:pPr>
            <w:r>
              <w:rPr/>
              <w:t>(134</w:t>
            </w:r>
          </w:p>
        </w:tc>
        <w:tc>
          <w:tcPr>
            <w:tcW w:w="215" w:type="dxa"/>
            <w:tcBorders/>
            <w:shd w:fill="CCEEFF" w:val="clear"/>
            <w:vAlign w:val="bottom"/>
          </w:tcPr>
          <w:p>
            <w:pPr>
              <w:pStyle w:val="TableContents"/>
              <w:spacing w:before="0" w:after="283"/>
              <w:rPr/>
            </w:pPr>
            <w:r>
              <w:rPr/>
              <w:t>)</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13" w:type="dxa"/>
            <w:tcBorders/>
            <w:shd w:fill="CCEEFF" w:val="clear"/>
            <w:vAlign w:val="bottom"/>
          </w:tcPr>
          <w:p>
            <w:pPr>
              <w:pStyle w:val="TableContents"/>
              <w:spacing w:before="0" w:after="283"/>
              <w:jc w:val="right"/>
              <w:rPr/>
            </w:pPr>
            <w:r>
              <w:rPr/>
              <w:t>(181</w:t>
            </w:r>
          </w:p>
        </w:tc>
        <w:tc>
          <w:tcPr>
            <w:tcW w:w="214" w:type="dxa"/>
            <w:tcBorders/>
            <w:shd w:fill="CCEEFF" w:val="clear"/>
            <w:vAlign w:val="bottom"/>
          </w:tcPr>
          <w:p>
            <w:pPr>
              <w:pStyle w:val="TableContents"/>
              <w:spacing w:before="0" w:after="283"/>
              <w:rPr/>
            </w:pPr>
            <w:r>
              <w:rPr/>
              <w:t>)</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w:t>
            </w:r>
          </w:p>
        </w:tc>
        <w:tc>
          <w:tcPr>
            <w:tcW w:w="220" w:type="dxa"/>
            <w:tcBorders/>
            <w:shd w:fill="CCEEFF" w:val="clear"/>
            <w:vAlign w:val="bottom"/>
          </w:tcPr>
          <w:p>
            <w:pPr>
              <w:pStyle w:val="TableContents"/>
              <w:spacing w:before="0" w:after="283"/>
              <w:rPr/>
            </w:pPr>
            <w:r>
              <w:rPr/>
              <w:t> </w:t>
            </w:r>
          </w:p>
        </w:tc>
      </w:tr>
      <w:tr>
        <w:trPr/>
        <w:tc>
          <w:tcPr>
            <w:tcW w:w="5428" w:type="dxa"/>
            <w:tcBorders/>
            <w:shd w:fill="auto" w:val="clear"/>
            <w:vAlign w:val="bottom"/>
          </w:tcPr>
          <w:p>
            <w:pPr>
              <w:pStyle w:val="TableContents"/>
              <w:spacing w:before="0" w:after="0"/>
              <w:ind w:left="225" w:right="0" w:hanging="225"/>
              <w:rPr/>
            </w:pPr>
            <w:r>
              <w:rPr/>
              <w:t>Foreign tax credit</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3" w:type="dxa"/>
            <w:tcBorders/>
            <w:shd w:fill="auto" w:val="clear"/>
            <w:vAlign w:val="bottom"/>
          </w:tcPr>
          <w:p>
            <w:pPr>
              <w:pStyle w:val="TableContents"/>
              <w:spacing w:before="0" w:after="283"/>
              <w:jc w:val="right"/>
              <w:rPr/>
            </w:pPr>
            <w:r>
              <w:rPr/>
              <w:t>(2,849</w:t>
            </w:r>
          </w:p>
        </w:tc>
        <w:tc>
          <w:tcPr>
            <w:tcW w:w="215" w:type="dxa"/>
            <w:tcBorders/>
            <w:shd w:fill="auto" w:val="clear"/>
            <w:vAlign w:val="bottom"/>
          </w:tcPr>
          <w:p>
            <w:pPr>
              <w:pStyle w:val="TableContents"/>
              <w:spacing w:before="0" w:after="283"/>
              <w:rPr/>
            </w:pPr>
            <w:r>
              <w:rPr/>
              <w:t>)</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3" w:type="dxa"/>
            <w:tcBorders/>
            <w:shd w:fill="auto" w:val="clear"/>
            <w:vAlign w:val="bottom"/>
          </w:tcPr>
          <w:p>
            <w:pPr>
              <w:pStyle w:val="TableContents"/>
              <w:spacing w:before="0" w:after="283"/>
              <w:jc w:val="right"/>
              <w:rPr/>
            </w:pPr>
            <w:r>
              <w:rPr/>
              <w:t>(1,228</w:t>
            </w:r>
          </w:p>
        </w:tc>
        <w:tc>
          <w:tcPr>
            <w:tcW w:w="214" w:type="dxa"/>
            <w:tcBorders/>
            <w:shd w:fill="auto" w:val="clear"/>
            <w:vAlign w:val="bottom"/>
          </w:tcPr>
          <w:p>
            <w:pPr>
              <w:pStyle w:val="TableContents"/>
              <w:spacing w:before="0" w:after="283"/>
              <w:rPr/>
            </w:pPr>
            <w:r>
              <w:rPr/>
              <w:t>)</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3" w:type="dxa"/>
            <w:tcBorders/>
            <w:shd w:fill="auto" w:val="clear"/>
            <w:vAlign w:val="bottom"/>
          </w:tcPr>
          <w:p>
            <w:pPr>
              <w:pStyle w:val="TableContents"/>
              <w:spacing w:before="0" w:after="283"/>
              <w:jc w:val="right"/>
              <w:rPr/>
            </w:pPr>
            <w:r>
              <w:rPr/>
              <w:t>(3,409</w:t>
            </w:r>
          </w:p>
        </w:tc>
        <w:tc>
          <w:tcPr>
            <w:tcW w:w="220" w:type="dxa"/>
            <w:tcBorders/>
            <w:shd w:fill="auto" w:val="clear"/>
            <w:vAlign w:val="bottom"/>
          </w:tcPr>
          <w:p>
            <w:pPr>
              <w:pStyle w:val="TableContents"/>
              <w:spacing w:before="0" w:after="283"/>
              <w:rPr/>
            </w:pPr>
            <w:r>
              <w:rPr/>
              <w:t>)</w:t>
            </w:r>
          </w:p>
        </w:tc>
      </w:tr>
      <w:tr>
        <w:trPr/>
        <w:tc>
          <w:tcPr>
            <w:tcW w:w="5428" w:type="dxa"/>
            <w:tcBorders/>
            <w:shd w:fill="CCEEFF" w:val="clear"/>
            <w:vAlign w:val="bottom"/>
          </w:tcPr>
          <w:p>
            <w:pPr>
              <w:pStyle w:val="TableContents"/>
              <w:spacing w:before="0" w:after="0"/>
              <w:ind w:left="225" w:right="0" w:hanging="225"/>
              <w:rPr/>
            </w:pPr>
            <w:r>
              <w:rPr/>
              <w:t>Other</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738</w:t>
            </w:r>
          </w:p>
        </w:tc>
        <w:tc>
          <w:tcPr>
            <w:tcW w:w="21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13" w:type="dxa"/>
            <w:tcBorders/>
            <w:shd w:fill="CCEEFF" w:val="clear"/>
            <w:vAlign w:val="bottom"/>
          </w:tcPr>
          <w:p>
            <w:pPr>
              <w:pStyle w:val="TableContents"/>
              <w:spacing w:before="0" w:after="283"/>
              <w:jc w:val="right"/>
              <w:rPr/>
            </w:pPr>
            <w:r>
              <w:rPr/>
              <w:t>(398</w:t>
            </w:r>
          </w:p>
        </w:tc>
        <w:tc>
          <w:tcPr>
            <w:tcW w:w="214" w:type="dxa"/>
            <w:tcBorders/>
            <w:shd w:fill="CCEEFF" w:val="clear"/>
            <w:vAlign w:val="bottom"/>
          </w:tcPr>
          <w:p>
            <w:pPr>
              <w:pStyle w:val="TableContents"/>
              <w:spacing w:before="0" w:after="283"/>
              <w:rPr/>
            </w:pPr>
            <w:r>
              <w:rPr/>
              <w:t>)</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663</w:t>
            </w:r>
          </w:p>
        </w:tc>
        <w:tc>
          <w:tcPr>
            <w:tcW w:w="220" w:type="dxa"/>
            <w:tcBorders/>
            <w:shd w:fill="CCEEFF" w:val="clear"/>
            <w:vAlign w:val="bottom"/>
          </w:tcPr>
          <w:p>
            <w:pPr>
              <w:pStyle w:val="TableContents"/>
              <w:spacing w:before="0" w:after="283"/>
              <w:rPr/>
            </w:pPr>
            <w:r>
              <w:rPr/>
              <w:t> </w:t>
            </w:r>
          </w:p>
        </w:tc>
      </w:tr>
      <w:tr>
        <w:trPr/>
        <w:tc>
          <w:tcPr>
            <w:tcW w:w="5428"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0" w:type="dxa"/>
            <w:tcBorders/>
            <w:shd w:fill="auto" w:val="clear"/>
            <w:vAlign w:val="center"/>
          </w:tcPr>
          <w:p>
            <w:pPr>
              <w:pStyle w:val="TableContents"/>
              <w:spacing w:before="0" w:after="283"/>
              <w:rPr/>
            </w:pPr>
            <w:r>
              <w:rPr/>
              <w:t> </w:t>
            </w:r>
          </w:p>
        </w:tc>
      </w:tr>
      <w:tr>
        <w:trPr/>
        <w:tc>
          <w:tcPr>
            <w:tcW w:w="5428" w:type="dxa"/>
            <w:tcBorders/>
            <w:shd w:fill="auto" w:val="clear"/>
            <w:vAlign w:val="bottom"/>
          </w:tcPr>
          <w:p>
            <w:pPr>
              <w:pStyle w:val="TableContents"/>
              <w:spacing w:before="0" w:after="0"/>
              <w:ind w:left="450" w:right="0" w:hanging="225"/>
              <w:rPr/>
            </w:pPr>
            <w:r>
              <w:rPr/>
              <w:t>Total provision</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3" w:type="dxa"/>
            <w:tcBorders/>
            <w:shd w:fill="auto" w:val="clear"/>
            <w:vAlign w:val="bottom"/>
          </w:tcPr>
          <w:p>
            <w:pPr>
              <w:pStyle w:val="TableContents"/>
              <w:spacing w:before="0" w:after="283"/>
              <w:jc w:val="right"/>
              <w:rPr/>
            </w:pPr>
            <w:r>
              <w:rPr/>
              <w:t>54,236</w:t>
            </w:r>
          </w:p>
        </w:tc>
        <w:tc>
          <w:tcPr>
            <w:tcW w:w="21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3" w:type="dxa"/>
            <w:tcBorders/>
            <w:shd w:fill="auto" w:val="clear"/>
            <w:vAlign w:val="bottom"/>
          </w:tcPr>
          <w:p>
            <w:pPr>
              <w:pStyle w:val="TableContents"/>
              <w:spacing w:before="0" w:after="283"/>
              <w:jc w:val="right"/>
              <w:rPr/>
            </w:pPr>
            <w:r>
              <w:rPr/>
              <w:t>36,840</w:t>
            </w:r>
          </w:p>
        </w:tc>
        <w:tc>
          <w:tcPr>
            <w:tcW w:w="21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3" w:type="dxa"/>
            <w:tcBorders/>
            <w:shd w:fill="auto" w:val="clear"/>
            <w:vAlign w:val="bottom"/>
          </w:tcPr>
          <w:p>
            <w:pPr>
              <w:pStyle w:val="TableContents"/>
              <w:spacing w:before="0" w:after="283"/>
              <w:jc w:val="right"/>
              <w:rPr/>
            </w:pPr>
            <w:r>
              <w:rPr/>
              <w:t>25,642</w:t>
            </w:r>
          </w:p>
        </w:tc>
        <w:tc>
          <w:tcPr>
            <w:tcW w:w="220" w:type="dxa"/>
            <w:tcBorders/>
            <w:shd w:fill="auto" w:val="clear"/>
            <w:vAlign w:val="bottom"/>
          </w:tcPr>
          <w:p>
            <w:pPr>
              <w:pStyle w:val="TableContents"/>
              <w:spacing w:before="0" w:after="283"/>
              <w:rPr/>
            </w:pPr>
            <w:r>
              <w:rPr/>
              <w:t> </w:t>
            </w:r>
          </w:p>
        </w:tc>
      </w:tr>
      <w:tr>
        <w:trPr/>
        <w:tc>
          <w:tcPr>
            <w:tcW w:w="5428"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0" w:type="dxa"/>
            <w:tcBorders/>
            <w:shd w:fill="auto" w:val="clear"/>
            <w:vAlign w:val="center"/>
          </w:tcPr>
          <w:p>
            <w:pPr>
              <w:pStyle w:val="TableContents"/>
              <w:spacing w:before="0" w:after="283"/>
              <w:rPr/>
            </w:pPr>
            <w:r>
              <w:rPr/>
              <w:t> </w:t>
            </w:r>
          </w:p>
        </w:tc>
      </w:tr>
      <w:tr>
        <w:trPr/>
        <w:tc>
          <w:tcPr>
            <w:tcW w:w="5428" w:type="dxa"/>
            <w:tcBorders/>
            <w:shd w:fill="auto" w:val="clear"/>
            <w:vAlign w:val="bottom"/>
          </w:tcPr>
          <w:p>
            <w:pPr>
              <w:pStyle w:val="TableContents"/>
              <w:spacing w:before="0" w:after="0"/>
              <w:ind w:left="225" w:right="0" w:hanging="225"/>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r>
      <w:tr>
        <w:trPr/>
        <w:tc>
          <w:tcPr>
            <w:tcW w:w="5428" w:type="dxa"/>
            <w:tcBorders/>
            <w:shd w:fill="CCEEFF" w:val="clear"/>
            <w:vAlign w:val="bottom"/>
          </w:tcPr>
          <w:p>
            <w:pPr>
              <w:pStyle w:val="TableContents"/>
              <w:spacing w:before="0" w:after="0"/>
              <w:ind w:left="225" w:right="0" w:hanging="225"/>
              <w:rPr/>
            </w:pPr>
            <w:r>
              <w:rPr/>
              <w:t>Effective Tax Rate</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13" w:type="dxa"/>
            <w:tcBorders/>
            <w:shd w:fill="CCEEFF" w:val="clear"/>
            <w:vAlign w:val="bottom"/>
          </w:tcPr>
          <w:p>
            <w:pPr>
              <w:pStyle w:val="TableContents"/>
              <w:spacing w:before="0" w:after="283"/>
              <w:jc w:val="right"/>
              <w:rPr/>
            </w:pPr>
            <w:r>
              <w:rPr/>
              <w:t>35.8</w:t>
            </w:r>
          </w:p>
        </w:tc>
        <w:tc>
          <w:tcPr>
            <w:tcW w:w="215" w:type="dxa"/>
            <w:tcBorders/>
            <w:shd w:fill="CCEEFF" w:val="clear"/>
            <w:vAlign w:val="bottom"/>
          </w:tcPr>
          <w:p>
            <w:pPr>
              <w:pStyle w:val="TableContents"/>
              <w:spacing w:before="0" w:after="283"/>
              <w:rPr/>
            </w:pPr>
            <w:r>
              <w:rPr/>
              <w:t>%</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13" w:type="dxa"/>
            <w:tcBorders/>
            <w:shd w:fill="CCEEFF" w:val="clear"/>
            <w:vAlign w:val="bottom"/>
          </w:tcPr>
          <w:p>
            <w:pPr>
              <w:pStyle w:val="TableContents"/>
              <w:spacing w:before="0" w:after="283"/>
              <w:jc w:val="right"/>
              <w:rPr/>
            </w:pPr>
            <w:r>
              <w:rPr/>
              <w:t>35.0</w:t>
            </w:r>
          </w:p>
        </w:tc>
        <w:tc>
          <w:tcPr>
            <w:tcW w:w="214" w:type="dxa"/>
            <w:tcBorders/>
            <w:shd w:fill="CCEEFF" w:val="clear"/>
            <w:vAlign w:val="bottom"/>
          </w:tcPr>
          <w:p>
            <w:pPr>
              <w:pStyle w:val="TableContents"/>
              <w:spacing w:before="0" w:after="283"/>
              <w:rPr/>
            </w:pPr>
            <w:r>
              <w:rPr/>
              <w:t>%</w:t>
            </w:r>
          </w:p>
        </w:tc>
        <w:tc>
          <w:tcPr>
            <w:tcW w:w="398"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13" w:type="dxa"/>
            <w:tcBorders/>
            <w:shd w:fill="CCEEFF" w:val="clear"/>
            <w:vAlign w:val="bottom"/>
          </w:tcPr>
          <w:p>
            <w:pPr>
              <w:pStyle w:val="TableContents"/>
              <w:spacing w:before="0" w:after="283"/>
              <w:jc w:val="right"/>
              <w:rPr/>
            </w:pPr>
            <w:r>
              <w:rPr/>
              <w:t>32.8</w:t>
            </w:r>
          </w:p>
        </w:tc>
        <w:tc>
          <w:tcPr>
            <w:tcW w:w="220" w:type="dxa"/>
            <w:tcBorders/>
            <w:shd w:fill="CCEEFF" w:val="clear"/>
            <w:vAlign w:val="bottom"/>
          </w:tcPr>
          <w:p>
            <w:pPr>
              <w:pStyle w:val="TableContents"/>
              <w:spacing w:before="0" w:after="283"/>
              <w:rPr/>
            </w:pPr>
            <w:r>
              <w:rPr/>
              <w:t>%</w:t>
            </w:r>
          </w:p>
        </w:tc>
      </w:tr>
      <w:tr>
        <w:trPr/>
        <w:tc>
          <w:tcPr>
            <w:tcW w:w="5428"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4"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fiscal 2010 effective tax rate increased to 35.8% from 35.0% in fiscal 2009. The increase in the fiscal 2010 effective tax rate is due primarily to a valuation allowance established on our foreign net operating losses during the start-up phase of operations in Canada. If we are able to generate taxable income in Canada in future years, this valuation allowance may then be reversed and the related deferred tax assets realized. In 2008, we recognized the benefit of a previously under-utilized foreign tax credit related to our investment in Albemarle &amp; Bond Holdings PLC (reported above as Foreign tax credit) by electing to use the gross method rather than the net method in claiming this credit on our U.S. federal taxes. This resulted in a $3.4 million (4.4% of pre-tax income) reduction in income tax expense compared to what would have been recognized under the net method. Of the $3.4 million total, $1.0 million (1.3% of pre-tax income) related to a reduction of taxes related to Albemarle &amp; Bonds 2008 earnings and $2.4 million (3.1% of pre-tax income) resulted from our ability to claim the larger credit by making the same election on amended prior year tax returns and by applying the same approach to Albemarle &amp; Bonds undistributed earnings from years prior to 2008. The one-time 2008 recognition of additional credits available on prior years tax returns and the absence of such a one-time credit in the year ended September 30, 2009 is the primary reason for the difference in the fiscal 2009 and 2008 effective tax rates. Taking into account all the above factors and our expectations, we estimate our effective tax rate in the year ending September 30, 2011 will be approximately 35.5%. </w:t>
      </w:r>
    </w:p>
    <w:p>
      <w:pPr>
        <w:pStyle w:val="TextBody"/>
        <w:jc w:val="center"/>
        <w:rPr>
          <w:rFonts w:ascii="Times New Roman;Times;serif" w:hAnsi="Times New Roman;Times;serif"/>
          <w:sz w:val="17"/>
        </w:rPr>
      </w:pPr>
      <w:r>
        <w:rPr>
          <w:rFonts w:ascii="Times New Roman;Times;serif" w:hAnsi="Times New Roman;Times;serif"/>
          <w:sz w:val="17"/>
        </w:rPr>
        <w:t xml:space="preserve">72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Significant components of our deferred tax assets and liabilities as of September 30 are as follows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321"/>
        <w:gridCol w:w="476"/>
        <w:gridCol w:w="141"/>
        <w:gridCol w:w="703"/>
        <w:gridCol w:w="125"/>
        <w:gridCol w:w="476"/>
        <w:gridCol w:w="141"/>
        <w:gridCol w:w="703"/>
        <w:gridCol w:w="119"/>
      </w:tblGrid>
      <w:tr>
        <w:trPr/>
        <w:tc>
          <w:tcPr>
            <w:tcW w:w="7321"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19" w:type="dxa"/>
            <w:tcBorders/>
            <w:shd w:fill="auto" w:val="cle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2289" w:type="dxa"/>
            <w:gridSpan w:val="6"/>
            <w:tcBorders/>
            <w:shd w:fill="auto" w:val="clear"/>
            <w:vAlign w:val="bottom"/>
          </w:tcPr>
          <w:p>
            <w:pPr>
              <w:pStyle w:val="TableContents"/>
              <w:spacing w:before="0" w:after="283"/>
              <w:jc w:val="center"/>
              <w:rPr>
                <w:i/>
              </w:rPr>
            </w:pPr>
            <w:r>
              <w:rPr>
                <w:i/>
              </w:rPr>
              <w:t>(In thousands)</w:t>
            </w:r>
          </w:p>
        </w:tc>
        <w:tc>
          <w:tcPr>
            <w:tcW w:w="119" w:type="dxa"/>
            <w:tcBorders/>
            <w:shd w:fill="auto" w:val="clear"/>
            <w:vAlign w:val="bottom"/>
          </w:tcPr>
          <w:p>
            <w:pPr>
              <w:pStyle w:val="TableContents"/>
              <w:spacing w:before="0" w:after="283"/>
              <w:rPr/>
            </w:pPr>
            <w:r>
              <w:rPr/>
              <w:t> </w:t>
            </w:r>
          </w:p>
        </w:tc>
      </w:tr>
      <w:tr>
        <w:trPr/>
        <w:tc>
          <w:tcPr>
            <w:tcW w:w="7321" w:type="dxa"/>
            <w:tcBorders/>
            <w:shd w:fill="CCEEFF" w:val="clear"/>
            <w:vAlign w:val="bottom"/>
          </w:tcPr>
          <w:p>
            <w:pPr>
              <w:pStyle w:val="TableContents"/>
              <w:spacing w:before="0" w:after="0"/>
              <w:ind w:left="225" w:right="0" w:hanging="225"/>
              <w:rPr/>
            </w:pPr>
            <w:r>
              <w:rPr/>
              <w:t>Deferred tax assets:</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0"/>
              <w:ind w:left="450" w:right="0" w:hanging="225"/>
              <w:rPr/>
            </w:pPr>
            <w:r>
              <w:rPr/>
              <w:t>Book over tax depreciation</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3,894</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8,253</w:t>
            </w:r>
          </w:p>
        </w:tc>
        <w:tc>
          <w:tcPr>
            <w:tcW w:w="119" w:type="dxa"/>
            <w:tcBorders/>
            <w:shd w:fill="auto" w:val="clear"/>
            <w:vAlign w:val="bottom"/>
          </w:tcPr>
          <w:p>
            <w:pPr>
              <w:pStyle w:val="TableContents"/>
              <w:spacing w:before="0" w:after="283"/>
              <w:rPr/>
            </w:pPr>
            <w:r>
              <w:rPr/>
              <w:t> </w:t>
            </w:r>
          </w:p>
        </w:tc>
      </w:tr>
      <w:tr>
        <w:trPr/>
        <w:tc>
          <w:tcPr>
            <w:tcW w:w="7321" w:type="dxa"/>
            <w:tcBorders/>
            <w:shd w:fill="CCEEFF" w:val="clear"/>
            <w:vAlign w:val="bottom"/>
          </w:tcPr>
          <w:p>
            <w:pPr>
              <w:pStyle w:val="TableContents"/>
              <w:spacing w:before="0" w:after="0"/>
              <w:ind w:left="450" w:right="0" w:hanging="225"/>
              <w:rPr/>
            </w:pPr>
            <w:r>
              <w:rPr/>
              <w:t>Tax over book inventory</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9,836</w:t>
            </w:r>
          </w:p>
        </w:tc>
        <w:tc>
          <w:tcPr>
            <w:tcW w:w="125"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9,081</w:t>
            </w:r>
          </w:p>
        </w:tc>
        <w:tc>
          <w:tcPr>
            <w:tcW w:w="119" w:type="dxa"/>
            <w:tcBorders/>
            <w:shd w:fill="CCEEFF" w:val="cle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0"/>
              <w:ind w:left="450" w:right="0" w:hanging="225"/>
              <w:rPr/>
            </w:pPr>
            <w:r>
              <w:rPr/>
              <w:t>Accrued liabilities</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11,041</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4,480</w:t>
            </w:r>
          </w:p>
        </w:tc>
        <w:tc>
          <w:tcPr>
            <w:tcW w:w="119" w:type="dxa"/>
            <w:tcBorders/>
            <w:shd w:fill="auto" w:val="clear"/>
            <w:vAlign w:val="bottom"/>
          </w:tcPr>
          <w:p>
            <w:pPr>
              <w:pStyle w:val="TableContents"/>
              <w:spacing w:before="0" w:after="283"/>
              <w:rPr/>
            </w:pPr>
            <w:r>
              <w:rPr/>
              <w:t> </w:t>
            </w:r>
          </w:p>
        </w:tc>
      </w:tr>
      <w:tr>
        <w:trPr/>
        <w:tc>
          <w:tcPr>
            <w:tcW w:w="7321" w:type="dxa"/>
            <w:tcBorders/>
            <w:shd w:fill="CCEEFF" w:val="clear"/>
            <w:vAlign w:val="bottom"/>
          </w:tcPr>
          <w:p>
            <w:pPr>
              <w:pStyle w:val="TableContents"/>
              <w:spacing w:before="0" w:after="0"/>
              <w:ind w:left="450" w:right="0" w:hanging="225"/>
              <w:rPr/>
            </w:pPr>
            <w:r>
              <w:rPr/>
              <w:t>Pawn service charges receivable</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3,552</w:t>
            </w:r>
          </w:p>
        </w:tc>
        <w:tc>
          <w:tcPr>
            <w:tcW w:w="125"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3,042</w:t>
            </w:r>
          </w:p>
        </w:tc>
        <w:tc>
          <w:tcPr>
            <w:tcW w:w="119" w:type="dxa"/>
            <w:tcBorders/>
            <w:shd w:fill="CCEEFF" w:val="cle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0"/>
              <w:ind w:left="450" w:right="0" w:hanging="225"/>
              <w:rPr/>
            </w:pPr>
            <w:r>
              <w:rPr/>
              <w:t>Stock compensation</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2,838</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3,365</w:t>
            </w:r>
          </w:p>
        </w:tc>
        <w:tc>
          <w:tcPr>
            <w:tcW w:w="119" w:type="dxa"/>
            <w:tcBorders/>
            <w:shd w:fill="auto" w:val="clear"/>
            <w:vAlign w:val="bottom"/>
          </w:tcPr>
          <w:p>
            <w:pPr>
              <w:pStyle w:val="TableContents"/>
              <w:spacing w:before="0" w:after="283"/>
              <w:rPr/>
            </w:pPr>
            <w:r>
              <w:rPr/>
              <w:t> </w:t>
            </w:r>
          </w:p>
        </w:tc>
      </w:tr>
      <w:tr>
        <w:trPr/>
        <w:tc>
          <w:tcPr>
            <w:tcW w:w="7321" w:type="dxa"/>
            <w:tcBorders/>
            <w:shd w:fill="CCEEFF" w:val="clear"/>
            <w:vAlign w:val="bottom"/>
          </w:tcPr>
          <w:p>
            <w:pPr>
              <w:pStyle w:val="TableContents"/>
              <w:spacing w:before="0" w:after="0"/>
              <w:ind w:left="450" w:right="0" w:hanging="225"/>
              <w:rPr/>
            </w:pPr>
            <w:r>
              <w:rPr/>
              <w:t>Net operating loss carry-forward on foreign operations</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1,273</w:t>
            </w:r>
          </w:p>
        </w:tc>
        <w:tc>
          <w:tcPr>
            <w:tcW w:w="125"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r>
      <w:tr>
        <w:trPr/>
        <w:tc>
          <w:tcPr>
            <w:tcW w:w="7321" w:type="dxa"/>
            <w:tcBorders/>
            <w:shd w:fill="auto" w:val="clear"/>
            <w:vAlign w:val="center"/>
          </w:tcPr>
          <w:p>
            <w:pPr>
              <w:pStyle w:val="TableContents"/>
              <w:spacing w:before="0" w:after="0"/>
              <w:ind w:left="225" w:right="0" w:hanging="225"/>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7321" w:type="dxa"/>
            <w:tcBorders/>
            <w:shd w:fill="auto" w:val="clear"/>
            <w:vAlign w:val="bottom"/>
          </w:tcPr>
          <w:p>
            <w:pPr>
              <w:pStyle w:val="TableContents"/>
              <w:spacing w:before="0" w:after="0"/>
              <w:ind w:left="225" w:right="0" w:hanging="225"/>
              <w:rPr/>
            </w:pPr>
            <w:r>
              <w:rPr/>
              <w:t>Total deferred tax assets</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32,434</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28,221</w:t>
            </w:r>
          </w:p>
        </w:tc>
        <w:tc>
          <w:tcPr>
            <w:tcW w:w="119" w:type="dxa"/>
            <w:tcBorders/>
            <w:shd w:fill="auto" w:val="cle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0"/>
              <w:ind w:left="225" w:right="0" w:hanging="225"/>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7321" w:type="dxa"/>
            <w:tcBorders/>
            <w:shd w:fill="CCEEFF" w:val="clear"/>
            <w:vAlign w:val="bottom"/>
          </w:tcPr>
          <w:p>
            <w:pPr>
              <w:pStyle w:val="TableContents"/>
              <w:spacing w:before="0" w:after="0"/>
              <w:ind w:left="225" w:right="0" w:hanging="225"/>
              <w:rPr/>
            </w:pPr>
            <w:r>
              <w:rPr/>
              <w:t>Deferred tax liabilities:</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0"/>
              <w:ind w:left="450" w:right="0" w:hanging="225"/>
              <w:rPr/>
            </w:pPr>
            <w:r>
              <w:rPr/>
              <w:t>Tax over book amortization</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5,122</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3,844</w:t>
            </w:r>
          </w:p>
        </w:tc>
        <w:tc>
          <w:tcPr>
            <w:tcW w:w="119" w:type="dxa"/>
            <w:tcBorders/>
            <w:shd w:fill="auto" w:val="clear"/>
            <w:vAlign w:val="bottom"/>
          </w:tcPr>
          <w:p>
            <w:pPr>
              <w:pStyle w:val="TableContents"/>
              <w:spacing w:before="0" w:after="283"/>
              <w:rPr/>
            </w:pPr>
            <w:r>
              <w:rPr/>
              <w:t> </w:t>
            </w:r>
          </w:p>
        </w:tc>
      </w:tr>
      <w:tr>
        <w:trPr/>
        <w:tc>
          <w:tcPr>
            <w:tcW w:w="7321" w:type="dxa"/>
            <w:tcBorders/>
            <w:shd w:fill="CCEEFF" w:val="clear"/>
            <w:vAlign w:val="bottom"/>
          </w:tcPr>
          <w:p>
            <w:pPr>
              <w:pStyle w:val="TableContents"/>
              <w:spacing w:before="0" w:after="0"/>
              <w:ind w:left="450" w:right="0" w:hanging="225"/>
              <w:rPr/>
            </w:pPr>
            <w:r>
              <w:rPr/>
              <w:t>Foreign income and dividends</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2,163</w:t>
            </w:r>
          </w:p>
        </w:tc>
        <w:tc>
          <w:tcPr>
            <w:tcW w:w="125"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1,554</w:t>
            </w:r>
          </w:p>
        </w:tc>
        <w:tc>
          <w:tcPr>
            <w:tcW w:w="119" w:type="dxa"/>
            <w:tcBorders/>
            <w:shd w:fill="CCEEFF" w:val="cle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0"/>
              <w:ind w:left="450" w:right="0" w:hanging="225"/>
              <w:rPr/>
            </w:pPr>
            <w:r>
              <w:rPr/>
              <w:t>Prepaid expenses</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608</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842</w:t>
            </w:r>
          </w:p>
        </w:tc>
        <w:tc>
          <w:tcPr>
            <w:tcW w:w="119" w:type="dxa"/>
            <w:tcBorders/>
            <w:shd w:fill="auto" w:val="clear"/>
            <w:vAlign w:val="bottom"/>
          </w:tcPr>
          <w:p>
            <w:pPr>
              <w:pStyle w:val="TableContents"/>
              <w:spacing w:before="0" w:after="283"/>
              <w:rPr/>
            </w:pPr>
            <w:r>
              <w:rPr/>
              <w:t> </w:t>
            </w:r>
          </w:p>
        </w:tc>
      </w:tr>
      <w:tr>
        <w:trPr/>
        <w:tc>
          <w:tcPr>
            <w:tcW w:w="7321" w:type="dxa"/>
            <w:tcBorders/>
            <w:shd w:fill="auto" w:val="clear"/>
            <w:vAlign w:val="center"/>
          </w:tcPr>
          <w:p>
            <w:pPr>
              <w:pStyle w:val="TableContents"/>
              <w:spacing w:before="0" w:after="0"/>
              <w:ind w:left="225" w:right="0" w:hanging="225"/>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7321" w:type="dxa"/>
            <w:tcBorders/>
            <w:shd w:fill="CCEEFF" w:val="clear"/>
            <w:vAlign w:val="bottom"/>
          </w:tcPr>
          <w:p>
            <w:pPr>
              <w:pStyle w:val="TableContents"/>
              <w:spacing w:before="0" w:after="0"/>
              <w:ind w:left="225" w:right="0" w:hanging="225"/>
              <w:rPr/>
            </w:pPr>
            <w:r>
              <w:rPr/>
              <w:t>Total deferred tax liabilities</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7,893</w:t>
            </w:r>
          </w:p>
        </w:tc>
        <w:tc>
          <w:tcPr>
            <w:tcW w:w="125"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6,240</w:t>
            </w:r>
          </w:p>
        </w:tc>
        <w:tc>
          <w:tcPr>
            <w:tcW w:w="119" w:type="dxa"/>
            <w:tcBorders/>
            <w:shd w:fill="CCEEFF" w:val="clear"/>
            <w:vAlign w:val="bottom"/>
          </w:tcPr>
          <w:p>
            <w:pPr>
              <w:pStyle w:val="TableContents"/>
              <w:spacing w:before="0" w:after="283"/>
              <w:rPr/>
            </w:pPr>
            <w:r>
              <w:rPr/>
              <w:t> </w:t>
            </w:r>
          </w:p>
        </w:tc>
      </w:tr>
      <w:tr>
        <w:trPr/>
        <w:tc>
          <w:tcPr>
            <w:tcW w:w="7321" w:type="dxa"/>
            <w:tcBorders/>
            <w:shd w:fill="auto" w:val="clear"/>
            <w:vAlign w:val="center"/>
          </w:tcPr>
          <w:p>
            <w:pPr>
              <w:pStyle w:val="TableContents"/>
              <w:spacing w:before="0" w:after="0"/>
              <w:ind w:left="225" w:right="0" w:hanging="225"/>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7321" w:type="dxa"/>
            <w:tcBorders/>
            <w:shd w:fill="auto" w:val="clear"/>
            <w:vAlign w:val="bottom"/>
          </w:tcPr>
          <w:p>
            <w:pPr>
              <w:pStyle w:val="TableContents"/>
              <w:spacing w:before="0" w:after="0"/>
              <w:ind w:left="225" w:right="0" w:hanging="225"/>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0"/>
              <w:ind w:left="225" w:right="0" w:hanging="225"/>
              <w:rPr/>
            </w:pPr>
            <w:r>
              <w:rPr/>
              <w:t>Net deferred tax asset</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24,541</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21,981</w:t>
            </w:r>
          </w:p>
        </w:tc>
        <w:tc>
          <w:tcPr>
            <w:tcW w:w="119" w:type="dxa"/>
            <w:tcBorders/>
            <w:shd w:fill="auto" w:val="clear"/>
            <w:vAlign w:val="bottom"/>
          </w:tcPr>
          <w:p>
            <w:pPr>
              <w:pStyle w:val="TableContents"/>
              <w:spacing w:before="0" w:after="283"/>
              <w:rPr/>
            </w:pPr>
            <w:r>
              <w:rPr/>
              <w:t> </w:t>
            </w:r>
          </w:p>
        </w:tc>
      </w:tr>
      <w:tr>
        <w:trPr/>
        <w:tc>
          <w:tcPr>
            <w:tcW w:w="7321" w:type="dxa"/>
            <w:tcBorders/>
            <w:shd w:fill="CCEEFF" w:val="clear"/>
            <w:vAlign w:val="bottom"/>
          </w:tcPr>
          <w:p>
            <w:pPr>
              <w:pStyle w:val="TableContents"/>
              <w:spacing w:before="0" w:after="0"/>
              <w:ind w:left="225" w:right="0" w:hanging="225"/>
              <w:rPr/>
            </w:pPr>
            <w:r>
              <w:rPr/>
              <w:t>Valuation allowance</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03" w:type="dxa"/>
            <w:tcBorders/>
            <w:shd w:fill="CCEEFF" w:val="clear"/>
            <w:vAlign w:val="bottom"/>
          </w:tcPr>
          <w:p>
            <w:pPr>
              <w:pStyle w:val="TableContents"/>
              <w:spacing w:before="0" w:after="283"/>
              <w:jc w:val="right"/>
              <w:rPr/>
            </w:pPr>
            <w:r>
              <w:rPr/>
              <w:t>(1,273</w:t>
            </w:r>
          </w:p>
        </w:tc>
        <w:tc>
          <w:tcPr>
            <w:tcW w:w="125" w:type="dxa"/>
            <w:tcBorders/>
            <w:shd w:fill="CCEEFF" w:val="clear"/>
            <w:vAlign w:val="bottom"/>
          </w:tcPr>
          <w:p>
            <w:pPr>
              <w:pStyle w:val="TableContents"/>
              <w:spacing w:before="0" w:after="283"/>
              <w:rPr/>
            </w:pPr>
            <w:r>
              <w:rPr/>
              <w:t>)</w:t>
            </w:r>
          </w:p>
        </w:tc>
        <w:tc>
          <w:tcPr>
            <w:tcW w:w="4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r>
      <w:tr>
        <w:trPr/>
        <w:tc>
          <w:tcPr>
            <w:tcW w:w="7321" w:type="dxa"/>
            <w:tcBorders/>
            <w:shd w:fill="auto" w:val="clear"/>
            <w:vAlign w:val="center"/>
          </w:tcPr>
          <w:p>
            <w:pPr>
              <w:pStyle w:val="TableContents"/>
              <w:spacing w:before="0" w:after="0"/>
              <w:ind w:left="225" w:right="0" w:hanging="225"/>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7321" w:type="dxa"/>
            <w:tcBorders/>
            <w:shd w:fill="auto" w:val="clear"/>
            <w:vAlign w:val="bottom"/>
          </w:tcPr>
          <w:p>
            <w:pPr>
              <w:pStyle w:val="TableContents"/>
              <w:spacing w:before="0" w:after="0"/>
              <w:ind w:left="225" w:right="0" w:hanging="225"/>
              <w:rPr/>
            </w:pPr>
            <w:r>
              <w:rPr/>
              <w:t>Net deferred tax asset</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23,268</w:t>
            </w:r>
          </w:p>
        </w:tc>
        <w:tc>
          <w:tcPr>
            <w:tcW w:w="12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3" w:type="dxa"/>
            <w:tcBorders/>
            <w:shd w:fill="auto" w:val="clear"/>
            <w:vAlign w:val="bottom"/>
          </w:tcPr>
          <w:p>
            <w:pPr>
              <w:pStyle w:val="TableContents"/>
              <w:spacing w:before="0" w:after="283"/>
              <w:jc w:val="right"/>
              <w:rPr/>
            </w:pPr>
            <w:r>
              <w:rPr/>
              <w:t>21,981</w:t>
            </w:r>
          </w:p>
        </w:tc>
        <w:tc>
          <w:tcPr>
            <w:tcW w:w="119" w:type="dxa"/>
            <w:tcBorders/>
            <w:shd w:fill="auto" w:val="clear"/>
            <w:vAlign w:val="bottom"/>
          </w:tcPr>
          <w:p>
            <w:pPr>
              <w:pStyle w:val="TableContents"/>
              <w:spacing w:before="0" w:after="283"/>
              <w:rPr/>
            </w:pPr>
            <w:r>
              <w:rPr/>
              <w:t> </w:t>
            </w:r>
          </w:p>
        </w:tc>
      </w:tr>
      <w:tr>
        <w:trPr/>
        <w:tc>
          <w:tcPr>
            <w:tcW w:w="7321" w:type="dxa"/>
            <w:tcBorders/>
            <w:shd w:fill="auto" w:val="clear"/>
            <w:vAlign w:val="center"/>
          </w:tcPr>
          <w:p>
            <w:pPr>
              <w:pStyle w:val="TableContents"/>
              <w:spacing w:before="0" w:after="0"/>
              <w:ind w:left="225" w:right="0" w:hanging="225"/>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76" w:type="dxa"/>
            <w:tcBorders/>
            <w:shd w:fill="auto" w:val="clear"/>
            <w:vAlign w:val="center"/>
          </w:tcPr>
          <w:p>
            <w:pPr>
              <w:pStyle w:val="TableContents"/>
              <w:spacing w:before="0" w:after="283"/>
              <w:rPr/>
            </w:pPr>
            <w:r>
              <w:rPr/>
              <w:t> </w:t>
            </w:r>
          </w:p>
        </w:tc>
        <w:tc>
          <w:tcPr>
            <w:tcW w:w="8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Substantially all of our operating income was generated from U.S. operations during 2009 and 2010, and we have elected to have our Mexican operations treated as a foreign branch of a U.S. subsidiary for U.S. income tax purposes. At September 30, 2010 and 2009, we provided deferred income taxes on all undistributed earnings from Albemarle &amp; Bond. Such earnings have been reinvested in foreign operations except for dividends at September 30, 2010 and 2009 of approximately $2,348,000 and $1,634,000. At September 30, 2010, we provided deferred income taxes on all undistributed earnings from Cash Converters. Such earnings have been reinvested in foreign operations except for dividends at September 30, 2010 of approximately $1,494,000. Any taxes paid to foreign governments on these earnings may be used in whole or in part as credits against the U.S. tax on any dividends distributed from such earnings.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October 1, 2007, we adopted FASB ASC 740-10-25 (Accounting for Uncertainty in Income Taxes). To be recognized in the financial statements, a tax position must be more-likely-than-not to be sustained upon examination, based on the technical merits of the position. In making the determination of sustainability, we must presume the appropriate taxing authority with full knowledge of all relevant information will examine tax positions. FASB ASC 740-10-25 also prescribes how the benefit should be measured, including the consideration of any penalties and interest. It requires that the standard be applied to the balances of tax assets and liabilities as of the beginning of the period of adoption and that a corresponding adjustment be made to the opening balance of equity. As a result of the adoption of FASB ASC 740-10-25, we recognized a $106,000 liability, including $8,600 of penalties and interest, for unrecognized state income tax benefits net of federal taxes, and recorded this as a cumulative adjustment to our beginning retained earnings at October 1, 2007. We recorded an additional $380,000 uncertain tax position in fiscal 2008, and reversed it in fiscal 2009 due to a change in accounting method for tax purposes.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recognize interest and penalties related to unrecognized tax benefits as federal income tax expense on our statement of operations. </w:t>
      </w:r>
    </w:p>
    <w:p>
      <w:pPr>
        <w:pStyle w:val="TextBody"/>
        <w:jc w:val="center"/>
        <w:rPr>
          <w:rFonts w:ascii="Times New Roman;Times;serif" w:hAnsi="Times New Roman;Times;serif"/>
          <w:sz w:val="17"/>
        </w:rPr>
      </w:pPr>
      <w:r>
        <w:rPr>
          <w:rFonts w:ascii="Times New Roman;Times;serif" w:hAnsi="Times New Roman;Times;serif"/>
          <w:sz w:val="17"/>
        </w:rPr>
        <w:t xml:space="preserve">73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Below is a reconciliation of the beginning and ending unrecognized tax benefits for the periods since adoption of FASB ASC 740-10-25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798"/>
        <w:gridCol w:w="497"/>
        <w:gridCol w:w="143"/>
        <w:gridCol w:w="636"/>
        <w:gridCol w:w="131"/>
      </w:tblGrid>
      <w:tr>
        <w:trPr/>
        <w:tc>
          <w:tcPr>
            <w:tcW w:w="8798"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225" w:right="0" w:hanging="225"/>
              <w:rPr/>
            </w:pPr>
            <w:r>
              <w:rPr/>
              <w:t>Unrecognized tax benefits at September 30, 2007</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Addition upon initial adoption on October 1, 2007</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106</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Additions based on current year tax positions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380</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Reductions based on settlements with taxing authorities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Reductions due to lapse in statute of limitations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98" w:type="dxa"/>
            <w:tcBorders/>
            <w:shd w:fill="auto" w:val="clear"/>
            <w:vAlign w:val="bottom"/>
          </w:tcPr>
          <w:p>
            <w:pPr>
              <w:pStyle w:val="TableContents"/>
              <w:spacing w:before="0" w:after="0"/>
              <w:ind w:left="225" w:right="0" w:hanging="225"/>
              <w:rPr/>
            </w:pPr>
            <w:r>
              <w:rPr/>
              <w:t>Unrecognized tax benefits at September 30, 2008</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486</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Reduction based on prior year tax positions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(380</w:t>
            </w:r>
          </w:p>
        </w:tc>
        <w:tc>
          <w:tcPr>
            <w:tcW w:w="131" w:type="dxa"/>
            <w:tcBorders/>
            <w:shd w:fill="CCEEFF" w:val="clear"/>
            <w:vAlign w:val="bottom"/>
          </w:tcPr>
          <w:p>
            <w:pPr>
              <w:pStyle w:val="TableContents"/>
              <w:spacing w:before="0" w:after="283"/>
              <w:rPr/>
            </w:pPr>
            <w:r>
              <w:rPr/>
              <w:t>)</w:t>
            </w:r>
          </w:p>
        </w:tc>
      </w:tr>
      <w:tr>
        <w:trPr/>
        <w:tc>
          <w:tcPr>
            <w:tcW w:w="8798" w:type="dxa"/>
            <w:tcBorders/>
            <w:shd w:fill="auto" w:val="clear"/>
            <w:vAlign w:val="bottom"/>
          </w:tcPr>
          <w:p>
            <w:pPr>
              <w:pStyle w:val="TableContents"/>
              <w:spacing w:before="0" w:after="0"/>
              <w:ind w:left="450" w:right="0" w:hanging="225"/>
              <w:rPr/>
            </w:pPr>
            <w:r>
              <w:rPr/>
              <w:t>Additions based on current year tax positions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Reductions based on settlements with taxing authorities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Reductions due to lapse in statute of limitations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225" w:right="0" w:hanging="225"/>
              <w:rPr/>
            </w:pPr>
            <w:r>
              <w:rPr/>
              <w:t>Unrecognized tax benefits at September 30, 2009</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106</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 based on prior year tax positions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Additions based on current year tax positions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8798" w:type="dxa"/>
            <w:tcBorders/>
            <w:shd w:fill="auto" w:val="clear"/>
            <w:vAlign w:val="bottom"/>
          </w:tcPr>
          <w:p>
            <w:pPr>
              <w:pStyle w:val="TableContents"/>
              <w:spacing w:before="0" w:after="0"/>
              <w:ind w:left="450" w:right="0" w:hanging="225"/>
              <w:rPr/>
            </w:pPr>
            <w:r>
              <w:rPr/>
              <w:t>Reductions based on settlements with taxing authorities</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8798" w:type="dxa"/>
            <w:tcBorders/>
            <w:shd w:fill="CCEEFF" w:val="clear"/>
            <w:vAlign w:val="bottom"/>
          </w:tcPr>
          <w:p>
            <w:pPr>
              <w:pStyle w:val="TableContents"/>
              <w:spacing w:before="0" w:after="0"/>
              <w:ind w:left="450" w:right="0" w:hanging="225"/>
              <w:rPr/>
            </w:pPr>
            <w:r>
              <w:rPr/>
              <w:t>Reductions due to lapse in statute of limitations</w:t>
            </w:r>
          </w:p>
        </w:tc>
        <w:tc>
          <w:tcPr>
            <w:tcW w:w="4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(55</w:t>
            </w:r>
          </w:p>
        </w:tc>
        <w:tc>
          <w:tcPr>
            <w:tcW w:w="131" w:type="dxa"/>
            <w:tcBorders/>
            <w:shd w:fill="CCEEFF" w:val="clear"/>
            <w:vAlign w:val="bottom"/>
          </w:tcPr>
          <w:p>
            <w:pPr>
              <w:pStyle w:val="TableContents"/>
              <w:spacing w:before="0" w:after="283"/>
              <w:rPr/>
            </w:pPr>
            <w:r>
              <w:rPr/>
              <w:t>)</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98" w:type="dxa"/>
            <w:tcBorders/>
            <w:shd w:fill="auto" w:val="clear"/>
            <w:vAlign w:val="bottom"/>
          </w:tcPr>
          <w:p>
            <w:pPr>
              <w:pStyle w:val="TableContents"/>
              <w:spacing w:before="0" w:after="0"/>
              <w:ind w:left="225" w:right="0" w:hanging="225"/>
              <w:rPr/>
            </w:pPr>
            <w:r>
              <w:rPr/>
              <w:t>Unrecognized tax benefits at September 30, 2010</w:t>
            </w:r>
          </w:p>
        </w:tc>
        <w:tc>
          <w:tcPr>
            <w:tcW w:w="4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636" w:type="dxa"/>
            <w:tcBorders/>
            <w:shd w:fill="auto" w:val="clear"/>
            <w:vAlign w:val="bottom"/>
          </w:tcPr>
          <w:p>
            <w:pPr>
              <w:pStyle w:val="TableContents"/>
              <w:spacing w:before="0" w:after="283"/>
              <w:jc w:val="right"/>
              <w:rPr/>
            </w:pPr>
            <w:r>
              <w:rPr/>
              <w:t>51</w:t>
            </w:r>
          </w:p>
        </w:tc>
        <w:tc>
          <w:tcPr>
            <w:tcW w:w="131" w:type="dxa"/>
            <w:tcBorders/>
            <w:shd w:fill="auto" w:val="clear"/>
            <w:vAlign w:val="bottom"/>
          </w:tcPr>
          <w:p>
            <w:pPr>
              <w:pStyle w:val="TableContents"/>
              <w:spacing w:before="0" w:after="283"/>
              <w:rPr/>
            </w:pPr>
            <w:r>
              <w:rPr/>
              <w:t> </w:t>
            </w:r>
          </w:p>
        </w:tc>
      </w:tr>
      <w:tr>
        <w:trPr/>
        <w:tc>
          <w:tcPr>
            <w:tcW w:w="8798" w:type="dxa"/>
            <w:tcBorders/>
            <w:shd w:fill="auto" w:val="clear"/>
            <w:vAlign w:val="center"/>
          </w:tcPr>
          <w:p>
            <w:pPr>
              <w:pStyle w:val="TableContents"/>
              <w:spacing w:before="0" w:after="0"/>
              <w:ind w:left="225" w:right="0" w:hanging="225"/>
              <w:rPr/>
            </w:pPr>
            <w:r>
              <w:rPr/>
              <w:t> </w:t>
            </w:r>
          </w:p>
        </w:tc>
        <w:tc>
          <w:tcPr>
            <w:tcW w:w="497" w:type="dxa"/>
            <w:tcBorders/>
            <w:shd w:fill="auto" w:val="clear"/>
            <w:vAlign w:val="center"/>
          </w:tcPr>
          <w:p>
            <w:pPr>
              <w:pStyle w:val="TableContents"/>
              <w:spacing w:before="0" w:after="283"/>
              <w:rPr/>
            </w:pPr>
            <w:r>
              <w:rPr/>
              <w:t> </w:t>
            </w:r>
          </w:p>
        </w:tc>
        <w:tc>
          <w:tcPr>
            <w:tcW w:w="7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are subject to U.S., Mexican, and Canadian income taxes as well as to income taxes levied by various state and local jurisdictions. With few exceptions, we are no longer subject to examinations by tax authorities for years before the tax year ended September 30, 2006. The statutes of limitations related to our recorded liability expire between June 15, 2011 and June 15, 2012.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K: Related Party Transactions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October 1, 2009, 2008 and 2007 we entered one-year financial advisory services agreements with Madison Park, LLC, a business and financial advisory firm wholly-owned by Phillip E. Cohen, the beneficial owner of all of our outstanding Class B Voting Common Stock. Either party could terminate the agreements at any time on thirty days written notice, but neither party elected to do so. The agreements required Madison Park to provide advice on our business and long-term strategic plan, including acquisitions and strategic alliances, operating and strategic objectives, investor relations, relations with investment bankers and other members of the financial services industry, international business development and strategic investment opportunities, and financial matters. The monthly fee for the services was $300,000 in fiscal 2010, $200,000 in fiscal 2009 and $150,000 in fiscal 2008. Total payments to Madison Park were $3.6 million in fiscal 2010, $2.4 million in fiscal 2009 and $1.8 million in fiscal 2008.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October 1, 2010, we entered a new financial advisory services agreement with Madison Park with a one-year term that expires September 30, 2011. The terms of the agreement are substantially the same as those in the fiscal 2010 agreement described above, except for the monthly fee of $400,000.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Prior to approval of the Madison Park agreement and pursuant to our Policy for Review and Evaluation of Related Party Transactions, the Audit Committee of our Board of Directors implemented measures designed to ensure that the advisory services agreement with Madison Park was considered, analyzed, negotiated and approved objectively. Those measures included the engagement of an independent financial advisory firm to counsel and advise the committee in the course of its consideration and evaluation of the Madison Park relationship and the proposed terms of the new advisory services agreement and the receipt of a fairness opinion with respect to the fee to be paid to Madison Park.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consideration and discussion of a number of factors, the information and fairness opinion provided by its independent financial advisory firm, and the relationships and the interests of Mr. Cohen, the Audit Committee concluded that the advisory services agreement was fair to, and in the best interests of, the company and its stockholders and, on that basis, approved the engagement of Madison Park pursuant to the advisory services agreement. </w:t>
      </w:r>
    </w:p>
    <w:p>
      <w:pPr>
        <w:pStyle w:val="TextBody"/>
        <w:jc w:val="center"/>
        <w:rPr>
          <w:rFonts w:ascii="Times New Roman;Times;serif" w:hAnsi="Times New Roman;Times;serif"/>
          <w:sz w:val="17"/>
        </w:rPr>
      </w:pPr>
      <w:r>
        <w:rPr>
          <w:rFonts w:ascii="Times New Roman;Times;serif" w:hAnsi="Times New Roman;Times;serif"/>
          <w:sz w:val="17"/>
        </w:rPr>
        <w:t xml:space="preserve">74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L: Leases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lease various facilities and certain equipment under operating leases. Future minimum rentals due under non-cancelable leases are as follows for each of the years ending September 30: </w:t>
      </w:r>
    </w:p>
    <w:tbl>
      <w:tblPr>
        <w:tblW w:w="5000" w:type="pct"/>
        <w:jc w:val="center"/>
        <w:tblInd w:w="0" w:type="dxa"/>
        <w:tblCellMar>
          <w:top w:w="0" w:type="dxa"/>
          <w:left w:w="0" w:type="dxa"/>
          <w:bottom w:w="0" w:type="dxa"/>
          <w:right w:w="0" w:type="dxa"/>
        </w:tblCellMar>
      </w:tblPr>
      <w:tblGrid>
        <w:gridCol w:w="8615"/>
        <w:gridCol w:w="496"/>
        <w:gridCol w:w="154"/>
        <w:gridCol w:w="817"/>
        <w:gridCol w:w="123"/>
      </w:tblGrid>
      <w:tr>
        <w:trPr/>
        <w:tc>
          <w:tcPr>
            <w:tcW w:w="861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0082" w:type="dxa"/>
            <w:gridSpan w:val="4"/>
            <w:tcBorders>
              <w:bottom w:val="single" w:sz="2" w:space="0" w:color="000000"/>
            </w:tcBorders>
            <w:shd w:fill="auto" w:val="clear"/>
            <w:tcMar>
              <w:bottom w:w="28" w:type="dxa"/>
            </w:tcMar>
            <w:vAlign w:val="bottom"/>
          </w:tcPr>
          <w:p>
            <w:pPr>
              <w:pStyle w:val="TableContents"/>
              <w:spacing w:before="0" w:after="283"/>
              <w:jc w:val="center"/>
              <w:rPr>
                <w:i/>
              </w:rPr>
            </w:pPr>
            <w:r>
              <w:rPr>
                <w:i/>
              </w:rPr>
              <w:t>(In thousands)</w:t>
            </w:r>
          </w:p>
        </w:tc>
        <w:tc>
          <w:tcPr>
            <w:tcW w:w="123" w:type="dxa"/>
            <w:tcBorders/>
            <w:shd w:fill="auto" w:val="clear"/>
            <w:vAlign w:val="bottom"/>
          </w:tcPr>
          <w:p>
            <w:pPr>
              <w:pStyle w:val="TableContents"/>
              <w:spacing w:before="0" w:after="283"/>
              <w:rPr/>
            </w:pPr>
            <w:r>
              <w:rPr/>
              <w:t> </w:t>
            </w:r>
          </w:p>
        </w:tc>
      </w:tr>
      <w:tr>
        <w:trPr/>
        <w:tc>
          <w:tcPr>
            <w:tcW w:w="8615" w:type="dxa"/>
            <w:tcBorders/>
            <w:shd w:fill="CCEEFF" w:val="clear"/>
            <w:vAlign w:val="bottom"/>
          </w:tcPr>
          <w:p>
            <w:pPr>
              <w:pStyle w:val="TableContents"/>
              <w:spacing w:before="0" w:after="0"/>
              <w:ind w:left="450" w:right="0" w:hanging="225"/>
              <w:rPr/>
            </w:pPr>
            <w:r>
              <w:rPr/>
              <w:t>2011</w:t>
            </w:r>
          </w:p>
        </w:tc>
        <w:tc>
          <w:tcPr>
            <w:tcW w:w="4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37,590</w:t>
            </w:r>
          </w:p>
        </w:tc>
        <w:tc>
          <w:tcPr>
            <w:tcW w:w="123" w:type="dxa"/>
            <w:tcBorders/>
            <w:shd w:fill="CCEEFF" w:val="clear"/>
            <w:vAlign w:val="bottom"/>
          </w:tcPr>
          <w:p>
            <w:pPr>
              <w:pStyle w:val="TableContents"/>
              <w:spacing w:before="0" w:after="283"/>
              <w:rPr/>
            </w:pPr>
            <w:r>
              <w:rPr/>
              <w:t> </w:t>
            </w:r>
          </w:p>
        </w:tc>
      </w:tr>
      <w:tr>
        <w:trPr/>
        <w:tc>
          <w:tcPr>
            <w:tcW w:w="8615" w:type="dxa"/>
            <w:tcBorders/>
            <w:shd w:fill="auto" w:val="clear"/>
            <w:vAlign w:val="bottom"/>
          </w:tcPr>
          <w:p>
            <w:pPr>
              <w:pStyle w:val="TableContents"/>
              <w:spacing w:before="0" w:after="0"/>
              <w:ind w:left="450" w:right="0" w:hanging="225"/>
              <w:rPr/>
            </w:pPr>
            <w:r>
              <w:rPr/>
              <w:t>2012</w:t>
            </w:r>
          </w:p>
        </w:tc>
        <w:tc>
          <w:tcPr>
            <w:tcW w:w="4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32,927</w:t>
            </w:r>
          </w:p>
        </w:tc>
        <w:tc>
          <w:tcPr>
            <w:tcW w:w="123" w:type="dxa"/>
            <w:tcBorders/>
            <w:shd w:fill="auto" w:val="clear"/>
            <w:vAlign w:val="bottom"/>
          </w:tcPr>
          <w:p>
            <w:pPr>
              <w:pStyle w:val="TableContents"/>
              <w:spacing w:before="0" w:after="283"/>
              <w:rPr/>
            </w:pPr>
            <w:r>
              <w:rPr/>
              <w:t> </w:t>
            </w:r>
          </w:p>
        </w:tc>
      </w:tr>
      <w:tr>
        <w:trPr/>
        <w:tc>
          <w:tcPr>
            <w:tcW w:w="8615" w:type="dxa"/>
            <w:tcBorders/>
            <w:shd w:fill="CCEEFF" w:val="clear"/>
            <w:vAlign w:val="bottom"/>
          </w:tcPr>
          <w:p>
            <w:pPr>
              <w:pStyle w:val="TableContents"/>
              <w:spacing w:before="0" w:after="0"/>
              <w:ind w:left="450" w:right="0" w:hanging="225"/>
              <w:rPr/>
            </w:pPr>
            <w:r>
              <w:rPr/>
              <w:t>2013</w:t>
            </w:r>
          </w:p>
        </w:tc>
        <w:tc>
          <w:tcPr>
            <w:tcW w:w="4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26,723</w:t>
            </w:r>
          </w:p>
        </w:tc>
        <w:tc>
          <w:tcPr>
            <w:tcW w:w="123" w:type="dxa"/>
            <w:tcBorders/>
            <w:shd w:fill="CCEEFF" w:val="clear"/>
            <w:vAlign w:val="bottom"/>
          </w:tcPr>
          <w:p>
            <w:pPr>
              <w:pStyle w:val="TableContents"/>
              <w:spacing w:before="0" w:after="283"/>
              <w:rPr/>
            </w:pPr>
            <w:r>
              <w:rPr/>
              <w:t> </w:t>
            </w:r>
          </w:p>
        </w:tc>
      </w:tr>
      <w:tr>
        <w:trPr/>
        <w:tc>
          <w:tcPr>
            <w:tcW w:w="8615" w:type="dxa"/>
            <w:tcBorders/>
            <w:shd w:fill="auto" w:val="clear"/>
            <w:vAlign w:val="bottom"/>
          </w:tcPr>
          <w:p>
            <w:pPr>
              <w:pStyle w:val="TableContents"/>
              <w:spacing w:before="0" w:after="0"/>
              <w:ind w:left="450" w:right="0" w:hanging="225"/>
              <w:rPr/>
            </w:pPr>
            <w:r>
              <w:rPr/>
              <w:t>2014</w:t>
            </w:r>
          </w:p>
        </w:tc>
        <w:tc>
          <w:tcPr>
            <w:tcW w:w="4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18,082</w:t>
            </w:r>
          </w:p>
        </w:tc>
        <w:tc>
          <w:tcPr>
            <w:tcW w:w="123" w:type="dxa"/>
            <w:tcBorders/>
            <w:shd w:fill="auto" w:val="clear"/>
            <w:vAlign w:val="bottom"/>
          </w:tcPr>
          <w:p>
            <w:pPr>
              <w:pStyle w:val="TableContents"/>
              <w:spacing w:before="0" w:after="283"/>
              <w:rPr/>
            </w:pPr>
            <w:r>
              <w:rPr/>
              <w:t> </w:t>
            </w:r>
          </w:p>
        </w:tc>
      </w:tr>
      <w:tr>
        <w:trPr/>
        <w:tc>
          <w:tcPr>
            <w:tcW w:w="8615" w:type="dxa"/>
            <w:tcBorders/>
            <w:shd w:fill="CCEEFF" w:val="clear"/>
            <w:vAlign w:val="bottom"/>
          </w:tcPr>
          <w:p>
            <w:pPr>
              <w:pStyle w:val="TableContents"/>
              <w:spacing w:before="0" w:after="0"/>
              <w:ind w:left="450" w:right="0" w:hanging="225"/>
              <w:rPr/>
            </w:pPr>
            <w:r>
              <w:rPr/>
              <w:t>2015</w:t>
            </w:r>
          </w:p>
        </w:tc>
        <w:tc>
          <w:tcPr>
            <w:tcW w:w="4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11,400</w:t>
            </w:r>
          </w:p>
        </w:tc>
        <w:tc>
          <w:tcPr>
            <w:tcW w:w="123" w:type="dxa"/>
            <w:tcBorders/>
            <w:shd w:fill="CCEEFF" w:val="clear"/>
            <w:vAlign w:val="bottom"/>
          </w:tcPr>
          <w:p>
            <w:pPr>
              <w:pStyle w:val="TableContents"/>
              <w:spacing w:before="0" w:after="283"/>
              <w:rPr/>
            </w:pPr>
            <w:r>
              <w:rPr/>
              <w:t> </w:t>
            </w:r>
          </w:p>
        </w:tc>
      </w:tr>
      <w:tr>
        <w:trPr/>
        <w:tc>
          <w:tcPr>
            <w:tcW w:w="8615" w:type="dxa"/>
            <w:tcBorders/>
            <w:shd w:fill="auto" w:val="clear"/>
            <w:vAlign w:val="bottom"/>
          </w:tcPr>
          <w:p>
            <w:pPr>
              <w:pStyle w:val="TableContents"/>
              <w:spacing w:before="0" w:after="0"/>
              <w:ind w:left="225" w:right="0" w:hanging="225"/>
              <w:rPr/>
            </w:pPr>
            <w:r>
              <w:rPr/>
              <w:t>Thereafter</w:t>
            </w:r>
          </w:p>
        </w:tc>
        <w:tc>
          <w:tcPr>
            <w:tcW w:w="4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17,673</w:t>
            </w:r>
          </w:p>
        </w:tc>
        <w:tc>
          <w:tcPr>
            <w:tcW w:w="123" w:type="dxa"/>
            <w:tcBorders/>
            <w:shd w:fill="auto" w:val="clear"/>
            <w:vAlign w:val="bottom"/>
          </w:tcPr>
          <w:p>
            <w:pPr>
              <w:pStyle w:val="TableContents"/>
              <w:spacing w:before="0" w:after="283"/>
              <w:rPr/>
            </w:pPr>
            <w:r>
              <w:rPr/>
              <w:t> </w:t>
            </w:r>
          </w:p>
        </w:tc>
      </w:tr>
      <w:tr>
        <w:trPr/>
        <w:tc>
          <w:tcPr>
            <w:tcW w:w="8615" w:type="dxa"/>
            <w:tcBorders/>
            <w:shd w:fill="auto" w:val="clear"/>
            <w:vAlign w:val="center"/>
          </w:tcPr>
          <w:p>
            <w:pPr>
              <w:pStyle w:val="TableContents"/>
              <w:spacing w:before="0" w:after="0"/>
              <w:ind w:left="225" w:right="0" w:hanging="225"/>
              <w:rPr/>
            </w:pPr>
            <w:r>
              <w:rPr/>
              <w:t> </w:t>
            </w:r>
          </w:p>
        </w:tc>
        <w:tc>
          <w:tcPr>
            <w:tcW w:w="496" w:type="dxa"/>
            <w:tcBorders/>
            <w:shd w:fill="auto" w:val="clear"/>
            <w:vAlign w:val="center"/>
          </w:tcPr>
          <w:p>
            <w:pPr>
              <w:pStyle w:val="TableContents"/>
              <w:spacing w:before="0" w:after="283"/>
              <w:rPr/>
            </w:pPr>
            <w:r>
              <w:rPr/>
              <w:t> </w:t>
            </w:r>
          </w:p>
        </w:tc>
        <w:tc>
          <w:tcPr>
            <w:tcW w:w="9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8615" w:type="dxa"/>
            <w:tcBorders/>
            <w:shd w:fill="CCEEFF" w:val="clear"/>
            <w:vAlign w:val="bottom"/>
          </w:tcPr>
          <w:p>
            <w:pPr>
              <w:pStyle w:val="TableContents"/>
              <w:spacing w:before="0" w:after="0"/>
              <w:ind w:left="225" w:right="0" w:hanging="225"/>
              <w:rPr/>
            </w:pPr>
            <w:r>
              <w:rPr/>
              <w:t> </w:t>
            </w:r>
          </w:p>
        </w:tc>
        <w:tc>
          <w:tcPr>
            <w:tcW w:w="4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144,395</w:t>
            </w:r>
          </w:p>
        </w:tc>
        <w:tc>
          <w:tcPr>
            <w:tcW w:w="123" w:type="dxa"/>
            <w:tcBorders/>
            <w:shd w:fill="CCEEFF" w:val="clear"/>
            <w:vAlign w:val="bottom"/>
          </w:tcPr>
          <w:p>
            <w:pPr>
              <w:pStyle w:val="TableContents"/>
              <w:spacing w:before="0" w:after="283"/>
              <w:rPr/>
            </w:pPr>
            <w:r>
              <w:rPr/>
              <w:t> </w:t>
            </w:r>
          </w:p>
        </w:tc>
      </w:tr>
      <w:tr>
        <w:trPr/>
        <w:tc>
          <w:tcPr>
            <w:tcW w:w="8615" w:type="dxa"/>
            <w:tcBorders/>
            <w:shd w:fill="auto" w:val="clear"/>
            <w:vAlign w:val="center"/>
          </w:tcPr>
          <w:p>
            <w:pPr>
              <w:pStyle w:val="TableContents"/>
              <w:spacing w:before="0" w:after="0"/>
              <w:ind w:left="225" w:right="0" w:hanging="225"/>
              <w:rPr/>
            </w:pPr>
            <w:r>
              <w:rPr/>
              <w:t> </w:t>
            </w:r>
          </w:p>
        </w:tc>
        <w:tc>
          <w:tcPr>
            <w:tcW w:w="496" w:type="dxa"/>
            <w:tcBorders/>
            <w:shd w:fill="auto" w:val="clear"/>
            <w:vAlign w:val="center"/>
          </w:tcPr>
          <w:p>
            <w:pPr>
              <w:pStyle w:val="TableContents"/>
              <w:spacing w:before="0" w:after="283"/>
              <w:rPr/>
            </w:pPr>
            <w:r>
              <w:rPr/>
              <w:t> </w:t>
            </w:r>
          </w:p>
        </w:tc>
        <w:tc>
          <w:tcPr>
            <w:tcW w:w="9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sublease some of the above facilities. Annual future minimum rentals expected under these subleases amount to $66,000 in fiscal 2011 through 2013, $59,500 in fiscal 2014, and none thereafter.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an initial lease term of generally three to ten years, our lease agreements typically allow renewals in three to five-year increments.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Net rent expense for the years ending September 30, 2010, 2009 and 2008 was $39.3 million, $34.9 million and $26.7 million. Net rent expense includes the collection of sublease rent revenue of approximately $132,000, $81,000 and $52,000 for the years ended September 30, 2010, 2009 and 2008.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Prior to fiscal 2008, we completed several sale-leaseback transactions of previously owned facilities. Losses on sales were recognized immediately, and gains were deferred and are being amortized as a reduction of lease expense over the terms of the related leases. The remaining unamortized long-term portion of these deferred gains, amounting to $2.5 million at September 30, 2010, is included in Deferred gains and other long-term liabilities in our consolidated balance sheet. The short-term portion, included in Accounts payable and other accrued expenses was $0.4 million at September 30, 2010. Future rentals on these sale-leasebacks are included in the above schedule of future minimum rentals. Terms of these leases are consistent with the terms on our other lease agreements.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M: Employment Agreements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January 1, 2009, we entered into an Employment and Compensation Agreement with our Chief Executive Officer, Joseph L. Rotunda. That agreement expired on October 8, 2010, and Mr. Rotunda retired from his positions as Chief Executive Officer and a member of the Board of Directors on October 31, 2010. The agreement provided Mr. Rotunda with certain severance and termination benefits if he served the full term of the agreement (through October 8, 2010). These benefits include (1) a cash payment in an amount equal to one years base salary plus his most recent annual incentive bonus award (total of approximately $3.4 million, payable on January 7, 2011) and (2) a five-year consulting agreement that provides for the following: an annual consulting fee of $500,000; an annual incentive bonus with a target amount equal to 50% of the annual fee and a maximum amount equal to 100% of the annual fee; and reimbursement of reasonable business expenses. The company has also agreed to continue the healthcare benefits for Mr. Rotunda during the term of the consulting agreement. If the consulting agreement is terminated by reason of Mr. Rotundas death or disability, he will be entitled to payment of an amount equal to one years annual consulting fee plus one year of incentive bonus (calculated at the target amount) and continuation of healthcare benefits for Mr. Rotunda and/or his spouse (as applicable) for one year. In addition, if the company terminates the consulting agreement (other than due to a material breach by Mr. Rotunda) or Mr. Rotunda terminates the consulting agreement because of a material breach by the company, then the company will pay Mr. Rotunda an amount of cash equal to all annual consulting fees that would have been payable to Mr. Rotunda had the agreement continued until the expiration of the five-year term, plus an additional $500,000 in lieu of subsequent annual incentive bonuses, and shall continue to provide the healthcare benefits for Mr. Rotunda until the expiration of the five-year term. </w:t>
      </w:r>
    </w:p>
    <w:p>
      <w:pPr>
        <w:pStyle w:val="TextBody"/>
        <w:jc w:val="center"/>
        <w:rPr>
          <w:rFonts w:ascii="Times New Roman;Times;serif" w:hAnsi="Times New Roman;Times;serif"/>
          <w:sz w:val="17"/>
        </w:rPr>
      </w:pPr>
      <w:r>
        <w:rPr>
          <w:rFonts w:ascii="Times New Roman;Times;serif" w:hAnsi="Times New Roman;Times;serif"/>
          <w:sz w:val="17"/>
        </w:rPr>
        <w:t xml:space="preserve">75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October 8, 2010, the Board of Directors, acting pursuant to the terms of the restricted stock award agreement and with the recommendation of the Compensation Committee, determined that Mr. Rotunda had satisfied the specified conditions for the accelerated vesting of all his unvested restricted stock (having served the full term of his employment agreement and successfully implemented a transition plan to a new Chief Executive Officer) and approved the vesting of the remaining 756,000 unvested shares on October 31, 2010, the effective date of Mr. Rotundas retirement.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August 3, 2009, we entered into an employment agreement with Paul E. Rothamel, who became President in February 2010 and Chief Executive Officer on November 1, 2010. The agreement provides for certain benefits (principally, a payment equal to one year of then-current base salary) if (a) Mr. Rothamel terminates his employment for good reason (including a change in control), (b) we terminate Mr. Rothamels employment without cause, or (c) Mr. Rothamel dies or becomes totally and permanently disabled during his active employment. Mr. Rothamel is subject to confidentiality obligations and, for a period of two years following the termination of his employment, is prohibited from competing with us, soliciting our customers or soliciting our employees. The agreement has an initial term of two years, and will be renewed for successive one-year terms unless either party gives 90-days notice to terminate.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February 11, 2010, we entered into an Employment and Post-Employment Agreement with Robert A. Kasenter, Senior Vice President of Administration. Under the terms of that agreement, we agreed to employ Mr. Kasenter through October 4, 2010 at his then-current compensation and benefits, agreed to grant him 30,000 shares of restricted stock upon his successful recruitment and on-boarding of a new executive manager for our Human Resources function, and agreed that, upon his retirement, we would enter into a three-year consulting agreement that provides for the following: an annual consulting fee of $375,000; continuation of healthcare benefits during the term of the consulting agreement; and reimbursement of reasonable business expenses. If the consulting agreement is terminated by reason of Mr. Kasenters death or disability, he will be entitled to a payment equal to one years annual consulting fee and continuation of healthcare benefits for Mr. Kasenter and/or his spouse (as applicable) for one year. In addition, if we terminate the consulting agreement (other than due to a material breach by Mr. Kasenter) or Mr. Kasenter terminates the consulting agreement because of a material breach by the company, then we will pay Mr. Kasenter an amount equal to all annual consulting fees that would have been payable to Mr. Kasenter had the agreement continued until the expiration of the three-year term and shall continue to provide the healthcare benefits for Mr. Kasenter until the expiration of the three-year term.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provides the following additional severance or change-in-control benefits to its executive officers: </w:t>
      </w:r>
    </w:p>
    <w:tbl>
      <w:tblPr>
        <w:tblW w:w="5000" w:type="pct"/>
        <w:jc w:val="left"/>
        <w:tblInd w:w="0" w:type="dxa"/>
        <w:tblCellMar>
          <w:top w:w="0" w:type="dxa"/>
          <w:left w:w="0" w:type="dxa"/>
          <w:bottom w:w="0" w:type="dxa"/>
          <w:right w:w="0" w:type="dxa"/>
        </w:tblCellMar>
      </w:tblPr>
      <w:tblGrid>
        <w:gridCol w:w="202"/>
        <w:gridCol w:w="126"/>
        <w:gridCol w:w="9877"/>
      </w:tblGrid>
      <w:tr>
        <w:trPr/>
        <w:tc>
          <w:tcPr>
            <w:tcW w:w="202"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77" w:type="dxa"/>
            <w:tcBorders/>
            <w:shd w:fill="auto" w:val="clear"/>
          </w:tcPr>
          <w:p>
            <w:pPr>
              <w:pStyle w:val="TableContents"/>
              <w:spacing w:before="0" w:after="283"/>
              <w:rPr/>
            </w:pPr>
            <w:r>
              <w:rPr/>
              <w:t>The terms of employment for certain of our executive officers provide that the executive officer will receive salary continuation for one year if his or her employment is terminated by the company without cause.</w:t>
            </w:r>
          </w:p>
        </w:tc>
      </w:tr>
    </w:tbl>
    <w:tbl>
      <w:tblPr>
        <w:tblW w:w="5000" w:type="pct"/>
        <w:jc w:val="left"/>
        <w:tblInd w:w="0" w:type="dxa"/>
        <w:tblCellMar>
          <w:top w:w="0" w:type="dxa"/>
          <w:left w:w="0" w:type="dxa"/>
          <w:bottom w:w="0" w:type="dxa"/>
          <w:right w:w="0" w:type="dxa"/>
        </w:tblCellMar>
      </w:tblPr>
      <w:tblGrid>
        <w:gridCol w:w="202"/>
        <w:gridCol w:w="125"/>
        <w:gridCol w:w="9878"/>
      </w:tblGrid>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Sterling B. Brinkley, Chairman of the Board, received a restricted stock award on October 2, 2006 that provides for accelerated vesting of some or all of the unvested shares under certain circumstances, including death or disability, failure to be re-elected to his current position or termination of employment without cause.</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b/>
              </w:rPr>
            </w:pPr>
            <w:r>
              <w:rPr>
                <w:b/>
              </w:rPr>
              <w:t></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Generally, restricted stock awards, including those granted to the executive officers, provide for accelerated vesting of some or all of the unvested shares in the event of the holders death or disability.</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N: Retirement Plans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sponsor a 401(k) retirement savings plan under which eligible employees may contribute a portion of pre-tax earnings. In our sole discretion, we may match employee contributions in the form of our Class A Common Stock. A participant vests in the matching contributions pro rata over their first four years of service and is 100% vested in all matching contributions after four years of service. During fiscal 2010, 2009 and 2008, we incurred expense of approximately $260,000, $178,000 and $135,000 in matching contributions. During fiscal 2009, after our acquisition of Value Financial Services, Inc. but prior to merging its 401(k) plan into the EZCORP, Inc. plan on April 6, 2009, we recognized $97,000 of expense related to cash matching contributions we made to the Value Financial Services, Inc. 401(k) Plan. </w:t>
      </w:r>
    </w:p>
    <w:p>
      <w:pPr>
        <w:pStyle w:val="TextBody"/>
        <w:jc w:val="center"/>
        <w:rPr>
          <w:rFonts w:ascii="Times New Roman;Times;serif" w:hAnsi="Times New Roman;Times;serif"/>
          <w:sz w:val="17"/>
        </w:rPr>
      </w:pPr>
      <w:r>
        <w:rPr>
          <w:rFonts w:ascii="Times New Roman;Times;serif" w:hAnsi="Times New Roman;Times;serif"/>
          <w:sz w:val="17"/>
        </w:rPr>
        <w:t xml:space="preserve">76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(60 years old and five years of active service) while actively employed by us. Contributions to the Supplemental Executive Retirement Plan for fiscal 2010, 2009 and 2008 were approximately $746,000, $579,000 and $407,000. These amounts are amortized to expense based on the vesting schedule. The amount of the amortized expense in fiscal 2010, 2009 and 2008 was approximately $562,000, $463,000 and $419,000.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O: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P: Quarterly Information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210"/>
        <w:gridCol w:w="258"/>
        <w:gridCol w:w="193"/>
        <w:gridCol w:w="1079"/>
        <w:gridCol w:w="91"/>
        <w:gridCol w:w="258"/>
        <w:gridCol w:w="229"/>
        <w:gridCol w:w="1281"/>
        <w:gridCol w:w="91"/>
        <w:gridCol w:w="258"/>
        <w:gridCol w:w="206"/>
        <w:gridCol w:w="1152"/>
        <w:gridCol w:w="91"/>
        <w:gridCol w:w="258"/>
        <w:gridCol w:w="219"/>
        <w:gridCol w:w="1229"/>
        <w:gridCol w:w="102"/>
      </w:tblGrid>
      <w:tr>
        <w:trPr/>
        <w:tc>
          <w:tcPr>
            <w:tcW w:w="321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gridSpan w:val="2"/>
            <w:tcBorders>
              <w:bottom w:val="single" w:sz="2" w:space="0" w:color="000000"/>
            </w:tcBorders>
            <w:shd w:fill="auto" w:val="clear"/>
            <w:tcMar>
              <w:bottom w:w="28" w:type="dxa"/>
            </w:tcMar>
            <w:vAlign w:val="bottom"/>
          </w:tcPr>
          <w:p>
            <w:pPr>
              <w:pStyle w:val="TableContents"/>
              <w:spacing w:before="0" w:after="283"/>
              <w:jc w:val="center"/>
              <w:rPr/>
            </w:pPr>
            <w:r>
              <w:rPr/>
              <w:t>First Quarter</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510" w:type="dxa"/>
            <w:gridSpan w:val="2"/>
            <w:tcBorders>
              <w:bottom w:val="single" w:sz="2" w:space="0" w:color="000000"/>
            </w:tcBorders>
            <w:shd w:fill="auto" w:val="clear"/>
            <w:tcMar>
              <w:bottom w:w="28" w:type="dxa"/>
            </w:tcMar>
            <w:vAlign w:val="bottom"/>
          </w:tcPr>
          <w:p>
            <w:pPr>
              <w:pStyle w:val="TableContents"/>
              <w:spacing w:before="0" w:after="283"/>
              <w:jc w:val="center"/>
              <w:rPr/>
            </w:pPr>
            <w:r>
              <w:rPr/>
              <w:t>Second Quarter</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358" w:type="dxa"/>
            <w:gridSpan w:val="2"/>
            <w:tcBorders>
              <w:bottom w:val="single" w:sz="2" w:space="0" w:color="000000"/>
            </w:tcBorders>
            <w:shd w:fill="auto" w:val="clear"/>
            <w:tcMar>
              <w:bottom w:w="28" w:type="dxa"/>
            </w:tcMar>
            <w:vAlign w:val="bottom"/>
          </w:tcPr>
          <w:p>
            <w:pPr>
              <w:pStyle w:val="TableContents"/>
              <w:spacing w:before="0" w:after="283"/>
              <w:jc w:val="center"/>
              <w:rPr/>
            </w:pPr>
            <w:r>
              <w:rPr/>
              <w:t>Third Quarter</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48" w:type="dxa"/>
            <w:gridSpan w:val="2"/>
            <w:tcBorders>
              <w:bottom w:val="single" w:sz="2" w:space="0" w:color="000000"/>
            </w:tcBorders>
            <w:shd w:fill="auto" w:val="clear"/>
            <w:tcMar>
              <w:bottom w:w="28" w:type="dxa"/>
            </w:tcMar>
            <w:vAlign w:val="bottom"/>
          </w:tcPr>
          <w:p>
            <w:pPr>
              <w:pStyle w:val="TableContents"/>
              <w:spacing w:before="0" w:after="283"/>
              <w:jc w:val="center"/>
              <w:rPr/>
            </w:pPr>
            <w:r>
              <w:rPr/>
              <w:t>Fourth Quarter</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6635" w:type="dxa"/>
            <w:gridSpan w:val="14"/>
            <w:tcBorders/>
            <w:shd w:fill="auto" w:val="clear"/>
            <w:vAlign w:val="bottom"/>
          </w:tcPr>
          <w:p>
            <w:pPr>
              <w:pStyle w:val="TableContents"/>
              <w:spacing w:before="0" w:after="283"/>
              <w:jc w:val="center"/>
              <w:rPr>
                <w:i/>
              </w:rPr>
            </w:pPr>
            <w:r>
              <w:rPr>
                <w:i/>
              </w:rPr>
              <w:t>(In thousands, except per share amounts)</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b/>
              </w:rPr>
            </w:pPr>
            <w:r>
              <w:rPr>
                <w:b/>
              </w:rPr>
              <w:t>Year Ended September 30, 2010</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Total revenues</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184,751</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81" w:type="dxa"/>
            <w:tcBorders/>
            <w:shd w:fill="auto" w:val="clear"/>
            <w:vAlign w:val="bottom"/>
          </w:tcPr>
          <w:p>
            <w:pPr>
              <w:pStyle w:val="TableContents"/>
              <w:spacing w:before="0" w:after="283"/>
              <w:jc w:val="right"/>
              <w:rPr/>
            </w:pPr>
            <w:r>
              <w:rPr/>
              <w:t>176,584</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173,542</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198,168</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Net revenues</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112,931</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jc w:val="right"/>
              <w:rPr/>
            </w:pPr>
            <w:r>
              <w:rPr/>
              <w:t>109,705</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104,804</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120,039</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Net income</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25,707</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jc w:val="right"/>
              <w:rPr/>
            </w:pPr>
            <w:r>
              <w:rPr/>
              <w:t>23,773</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19,962</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27,852</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Earnings per common share:</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450" w:right="0" w:hanging="225"/>
              <w:rPr/>
            </w:pPr>
            <w:r>
              <w:rPr/>
              <w:t>Basic</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0.53</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81" w:type="dxa"/>
            <w:tcBorders/>
            <w:shd w:fill="auto" w:val="clear"/>
            <w:vAlign w:val="bottom"/>
          </w:tcPr>
          <w:p>
            <w:pPr>
              <w:pStyle w:val="TableContents"/>
              <w:spacing w:before="0" w:after="283"/>
              <w:jc w:val="right"/>
              <w:rPr/>
            </w:pPr>
            <w:r>
              <w:rPr/>
              <w:t>0.49</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0.41</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0.57</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450" w:right="0" w:hanging="225"/>
              <w:rPr/>
            </w:pPr>
            <w:r>
              <w:rPr/>
              <w:t>Diluted</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0.52</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81" w:type="dxa"/>
            <w:tcBorders/>
            <w:shd w:fill="CCEEFF" w:val="clear"/>
            <w:vAlign w:val="bottom"/>
          </w:tcPr>
          <w:p>
            <w:pPr>
              <w:pStyle w:val="TableContents"/>
              <w:spacing w:before="0" w:after="283"/>
              <w:jc w:val="right"/>
              <w:rPr/>
            </w:pPr>
            <w:r>
              <w:rPr/>
              <w:t>0.48</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0.40</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0.56</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b/>
              </w:rPr>
            </w:pPr>
            <w:r>
              <w:rPr>
                <w:b/>
              </w:rPr>
              <w:t>Year Ended September 30, 2009</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Total revenues</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128,615</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81" w:type="dxa"/>
            <w:tcBorders/>
            <w:shd w:fill="CCEEFF" w:val="clear"/>
            <w:vAlign w:val="bottom"/>
          </w:tcPr>
          <w:p>
            <w:pPr>
              <w:pStyle w:val="TableContents"/>
              <w:spacing w:before="0" w:after="283"/>
              <w:jc w:val="right"/>
              <w:rPr/>
            </w:pPr>
            <w:r>
              <w:rPr/>
              <w:t>156,266</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147,774</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164,801</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Net revenues</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78,699</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jc w:val="right"/>
              <w:rPr/>
            </w:pPr>
            <w:r>
              <w:rPr/>
              <w:t>94,726</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88,087</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98,422</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225" w:right="0" w:hanging="225"/>
              <w:rPr/>
            </w:pPr>
            <w:r>
              <w:rPr/>
              <w:t>Net income</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14,828</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81" w:type="dxa"/>
            <w:tcBorders/>
            <w:shd w:fill="CCEEFF" w:val="clear"/>
            <w:vAlign w:val="bottom"/>
          </w:tcPr>
          <w:p>
            <w:pPr>
              <w:pStyle w:val="TableContents"/>
              <w:spacing w:before="0" w:after="283"/>
              <w:jc w:val="right"/>
              <w:rPr/>
            </w:pPr>
            <w:r>
              <w:rPr/>
              <w:t>18,320</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14,385</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20,939</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225" w:right="0" w:hanging="225"/>
              <w:rPr/>
            </w:pPr>
            <w:r>
              <w:rPr/>
              <w:t>Earnings per common share:</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8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210" w:type="dxa"/>
            <w:tcBorders/>
            <w:shd w:fill="CCEEFF" w:val="clear"/>
            <w:vAlign w:val="bottom"/>
          </w:tcPr>
          <w:p>
            <w:pPr>
              <w:pStyle w:val="TableContents"/>
              <w:spacing w:before="0" w:after="0"/>
              <w:ind w:left="450" w:right="0" w:hanging="225"/>
              <w:rPr/>
            </w:pPr>
            <w:r>
              <w:rPr/>
              <w:t>Basic</w:t>
            </w:r>
          </w:p>
        </w:tc>
        <w:tc>
          <w:tcPr>
            <w:tcW w:w="25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0.34</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81" w:type="dxa"/>
            <w:tcBorders/>
            <w:shd w:fill="CCEEFF" w:val="clear"/>
            <w:vAlign w:val="bottom"/>
          </w:tcPr>
          <w:p>
            <w:pPr>
              <w:pStyle w:val="TableContents"/>
              <w:spacing w:before="0" w:after="283"/>
              <w:jc w:val="right"/>
              <w:rPr/>
            </w:pPr>
            <w:r>
              <w:rPr/>
              <w:t>0.38</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52" w:type="dxa"/>
            <w:tcBorders/>
            <w:shd w:fill="CCEEFF" w:val="clear"/>
            <w:vAlign w:val="bottom"/>
          </w:tcPr>
          <w:p>
            <w:pPr>
              <w:pStyle w:val="TableContents"/>
              <w:spacing w:before="0" w:after="283"/>
              <w:jc w:val="right"/>
              <w:rPr/>
            </w:pPr>
            <w:r>
              <w:rPr/>
              <w:t>0.30</w:t>
            </w:r>
          </w:p>
        </w:tc>
        <w:tc>
          <w:tcPr>
            <w:tcW w:w="9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0.43</w:t>
            </w:r>
          </w:p>
        </w:tc>
        <w:tc>
          <w:tcPr>
            <w:tcW w:w="102" w:type="dxa"/>
            <w:tcBorders/>
            <w:shd w:fill="CCEEFF" w:val="clear"/>
            <w:vAlign w:val="bottom"/>
          </w:tcPr>
          <w:p>
            <w:pPr>
              <w:pStyle w:val="TableContents"/>
              <w:spacing w:before="0" w:after="283"/>
              <w:rPr/>
            </w:pPr>
            <w:r>
              <w:rPr/>
              <w:t> </w:t>
            </w:r>
          </w:p>
        </w:tc>
      </w:tr>
      <w:tr>
        <w:trPr/>
        <w:tc>
          <w:tcPr>
            <w:tcW w:w="3210" w:type="dxa"/>
            <w:tcBorders/>
            <w:shd w:fill="auto" w:val="clear"/>
            <w:vAlign w:val="bottom"/>
          </w:tcPr>
          <w:p>
            <w:pPr>
              <w:pStyle w:val="TableContents"/>
              <w:spacing w:before="0" w:after="0"/>
              <w:ind w:left="450" w:right="0" w:hanging="225"/>
              <w:rPr/>
            </w:pPr>
            <w:r>
              <w:rPr/>
              <w:t>Diluted</w:t>
            </w:r>
          </w:p>
        </w:tc>
        <w:tc>
          <w:tcPr>
            <w:tcW w:w="25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0.33</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81" w:type="dxa"/>
            <w:tcBorders/>
            <w:shd w:fill="auto" w:val="clear"/>
            <w:vAlign w:val="bottom"/>
          </w:tcPr>
          <w:p>
            <w:pPr>
              <w:pStyle w:val="TableContents"/>
              <w:spacing w:before="0" w:after="283"/>
              <w:jc w:val="right"/>
              <w:rPr/>
            </w:pPr>
            <w:r>
              <w:rPr/>
              <w:t>0.37</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52" w:type="dxa"/>
            <w:tcBorders/>
            <w:shd w:fill="auto" w:val="clear"/>
            <w:vAlign w:val="bottom"/>
          </w:tcPr>
          <w:p>
            <w:pPr>
              <w:pStyle w:val="TableContents"/>
              <w:spacing w:before="0" w:after="283"/>
              <w:jc w:val="right"/>
              <w:rPr/>
            </w:pPr>
            <w:r>
              <w:rPr/>
              <w:t>0.29</w:t>
            </w:r>
          </w:p>
        </w:tc>
        <w:tc>
          <w:tcPr>
            <w:tcW w:w="9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0.42</w:t>
            </w:r>
          </w:p>
        </w:tc>
        <w:tc>
          <w:tcPr>
            <w:tcW w:w="102"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Q: Comprehensive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Comprehensive income includes net income and other revenues, expenses, gains and losses that are excluded from net income but are included as a component of total stockholders equity. Comprehensive income for fiscal 2010, 2009 and 2008 was $95.5 million, $61.3 million and $52.4 million. The difference between comprehensive income and net income results primarily from the effect of foreign currency translation adjustments. At September 30, 2010, the accumulated balance of foreign currency activity excluded from net income was $(8.4) million, net of applicable tax of $2.0 million. The net $(6.4) million is presented as Accumulated other comprehensive income (loss) in the balance sheet at September 30, 2010. </w:t>
      </w:r>
    </w:p>
    <w:p>
      <w:pPr>
        <w:pStyle w:val="TextBody"/>
        <w:jc w:val="center"/>
        <w:rPr>
          <w:rFonts w:ascii="Times New Roman;Times;serif" w:hAnsi="Times New Roman;Times;serif"/>
          <w:sz w:val="17"/>
        </w:rPr>
      </w:pPr>
      <w:r>
        <w:rPr>
          <w:rFonts w:ascii="Times New Roman;Times;serif" w:hAnsi="Times New Roman;Times;serif"/>
          <w:sz w:val="17"/>
        </w:rPr>
        <w:t xml:space="preserve">77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R: Operating Segment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and internal reporting as three reportable segments with operating results reported separately for each segment. </w:t>
      </w:r>
    </w:p>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The U.S. Pawn Operations segment offers pawn related activities in our 390 U.S. pawn stores, offers signature loans in 53 pawn stores and six EZMONEY stores and offers auto title loans in 58 pawn stores.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The Empeño Fácil segment offers pawn related activities in 115 Mexico pawn stores.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The EZMONEY Operations segment offers signature loans in 444 U.S. EZMONEY stores and 51 Canadian CASHMAX stores. The segment offers auto title loans in 390 of its U.S. EZMONEY stores.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inter-segment revenues, and the amounts below were determined in accordance with the same accounting principles used in our consolidated financial statements. The following tables present operating segment information: </w:t>
      </w:r>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190"/>
        <w:gridCol w:w="1051"/>
        <w:gridCol w:w="101"/>
        <w:gridCol w:w="329"/>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5873" w:type="dxa"/>
            <w:gridSpan w:val="14"/>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Year Ended September 30,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214,598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13,522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228,120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Scrap Sales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163,667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7,389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355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171,411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154,505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9,190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163,695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1,930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137,385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139,315</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1,659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16,048</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17,707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12,268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508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12,797</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548,627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30,609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153,809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733,045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131,825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8,459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140,284</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Scrap cost of goods sold</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104,531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6,137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170</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110,838</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641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31,068</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31,709</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236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2,499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2,735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Net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311,394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16,013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120,072</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447,479</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161,145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11,658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63,861</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236,664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150,249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4,355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56,211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210,815</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190"/>
        <w:gridCol w:w="1051"/>
        <w:gridCol w:w="101"/>
        <w:gridCol w:w="329"/>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1"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5873" w:type="dxa"/>
            <w:gridSpan w:val="14"/>
            <w:tcBorders/>
            <w:shd w:fill="auto" w:val="clear"/>
            <w:vAlign w:val="bottom"/>
          </w:tcPr>
          <w:p>
            <w:pPr>
              <w:pStyle w:val="TableContents"/>
              <w:spacing w:before="0" w:after="283"/>
              <w:jc w:val="center"/>
              <w:rPr>
                <w:i/>
              </w:rPr>
            </w:pPr>
            <w:r>
              <w:rPr>
                <w:i/>
              </w:rPr>
              <w:t>(in thousands)</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Year Ended September 30, 2009:</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196,035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8,639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204,674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Scrap Sales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117,013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1,900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118,922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124,396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5,773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130,169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2,293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131,051</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133,344</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Auto title loan fees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1,313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2,276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3,589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Other</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6,646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112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6,758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Total revenues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447,696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16,424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133,336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597,456</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Merchandise cost of goods sold</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121,170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5,392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126,562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Scrap cost of goods sold</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75,744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1,277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77,027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Signature loan bad debt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828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32,725</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33,553</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Auto title loan bad debt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256</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380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Net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249,830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9,755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100,349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359,934</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140,525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5,833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59,879</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206,237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109,305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3,922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40,470</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153,697</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Year Ended September 30, 2008:</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Merchandise Sales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149,932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5,896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155,828</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Scrap Sales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75,815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917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76,732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Pawn service charges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89,431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4,813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94,244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Signature loan fees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2,782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125,696</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128,478</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Other</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2,116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2,121</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320,076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11,631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125,696</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457,403</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Merchandise cost of goods sold</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88,918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3,694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92,612</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Scrap cost of goods sold</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46,224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566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46,790</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Signature loan bad debt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1,108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36,042</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37,150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Net revenues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183,826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7,371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89,654</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280,851</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pPr>
            <w:r>
              <w:rPr/>
              <w:t>Operations expense</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98,581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4,141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56,205</w:t>
            </w:r>
          </w:p>
        </w:tc>
        <w:tc>
          <w:tcPr>
            <w:tcW w:w="101"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158,927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Store operating income</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85,245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3,230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33,449</w:t>
            </w:r>
          </w:p>
        </w:tc>
        <w:tc>
          <w:tcPr>
            <w:tcW w:w="10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121,924</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store operating income, as shown above, to our consolidated income before income taxes: </w:t>
      </w:r>
    </w:p>
    <w:tbl>
      <w:tblPr>
        <w:tblW w:w="5000" w:type="pct"/>
        <w:jc w:val="center"/>
        <w:tblInd w:w="0" w:type="dxa"/>
        <w:tblCellMar>
          <w:top w:w="0" w:type="dxa"/>
          <w:left w:w="0" w:type="dxa"/>
          <w:bottom w:w="0" w:type="dxa"/>
          <w:right w:w="0" w:type="dxa"/>
        </w:tblCellMar>
      </w:tblPr>
      <w:tblGrid>
        <w:gridCol w:w="5688"/>
        <w:gridCol w:w="426"/>
        <w:gridCol w:w="149"/>
        <w:gridCol w:w="801"/>
        <w:gridCol w:w="127"/>
        <w:gridCol w:w="426"/>
        <w:gridCol w:w="149"/>
        <w:gridCol w:w="800"/>
        <w:gridCol w:w="127"/>
        <w:gridCol w:w="426"/>
        <w:gridCol w:w="149"/>
        <w:gridCol w:w="801"/>
        <w:gridCol w:w="136"/>
      </w:tblGrid>
      <w:tr>
        <w:trPr/>
        <w:tc>
          <w:tcPr>
            <w:tcW w:w="5688"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688"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3955"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36" w:type="dxa"/>
            <w:tcBorders/>
            <w:shd w:fill="auto" w:val="clear"/>
            <w:vAlign w:val="bottom"/>
          </w:tcPr>
          <w:p>
            <w:pPr>
              <w:pStyle w:val="TableContents"/>
              <w:spacing w:before="0" w:after="283"/>
              <w:rPr/>
            </w:pPr>
            <w:r>
              <w:rPr/>
              <w:t> </w:t>
            </w:r>
          </w:p>
        </w:tc>
      </w:tr>
      <w:tr>
        <w:trPr/>
        <w:tc>
          <w:tcPr>
            <w:tcW w:w="5688"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9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136" w:type="dxa"/>
            <w:tcBorders/>
            <w:shd w:fill="auto" w:val="clear"/>
            <w:vAlign w:val="bottom"/>
          </w:tcPr>
          <w:p>
            <w:pPr>
              <w:pStyle w:val="TableContents"/>
              <w:spacing w:before="0" w:after="283"/>
              <w:rPr/>
            </w:pPr>
            <w:r>
              <w:rPr/>
              <w:t> </w:t>
            </w:r>
          </w:p>
        </w:tc>
      </w:tr>
      <w:tr>
        <w:trPr/>
        <w:tc>
          <w:tcPr>
            <w:tcW w:w="5688"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3955" w:type="dxa"/>
            <w:gridSpan w:val="10"/>
            <w:tcBorders/>
            <w:shd w:fill="auto" w:val="clear"/>
            <w:vAlign w:val="bottom"/>
          </w:tcPr>
          <w:p>
            <w:pPr>
              <w:pStyle w:val="TableContents"/>
              <w:spacing w:before="0" w:after="283"/>
              <w:jc w:val="center"/>
              <w:rPr>
                <w:i/>
              </w:rPr>
            </w:pPr>
            <w:r>
              <w:rPr>
                <w:i/>
              </w:rPr>
              <w:t>(in thousands)</w:t>
            </w:r>
          </w:p>
        </w:tc>
        <w:tc>
          <w:tcPr>
            <w:tcW w:w="136" w:type="dxa"/>
            <w:tcBorders/>
            <w:shd w:fill="auto" w:val="clear"/>
            <w:vAlign w:val="bottom"/>
          </w:tcPr>
          <w:p>
            <w:pPr>
              <w:pStyle w:val="TableContents"/>
              <w:spacing w:before="0" w:after="283"/>
              <w:rPr/>
            </w:pPr>
            <w:r>
              <w:rPr/>
              <w:t> </w:t>
            </w:r>
          </w:p>
        </w:tc>
      </w:tr>
      <w:tr>
        <w:trPr/>
        <w:tc>
          <w:tcPr>
            <w:tcW w:w="5688" w:type="dxa"/>
            <w:tcBorders/>
            <w:shd w:fill="CCEEFF" w:val="clear"/>
            <w:vAlign w:val="bottom"/>
          </w:tcPr>
          <w:p>
            <w:pPr>
              <w:pStyle w:val="TableContents"/>
              <w:spacing w:before="0" w:after="0"/>
              <w:ind w:left="225" w:right="0" w:hanging="225"/>
              <w:rPr/>
            </w:pPr>
            <w:r>
              <w:rPr/>
              <w:t>Consolidated store operating income</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210,815</w:t>
            </w:r>
          </w:p>
        </w:tc>
        <w:tc>
          <w:tcPr>
            <w:tcW w:w="12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153,697</w:t>
            </w:r>
          </w:p>
        </w:tc>
        <w:tc>
          <w:tcPr>
            <w:tcW w:w="12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121,924</w:t>
            </w:r>
          </w:p>
        </w:tc>
        <w:tc>
          <w:tcPr>
            <w:tcW w:w="136" w:type="dxa"/>
            <w:tcBorders/>
            <w:shd w:fill="CCEEFF" w:val="clear"/>
            <w:vAlign w:val="bottom"/>
          </w:tcPr>
          <w:p>
            <w:pPr>
              <w:pStyle w:val="TableContents"/>
              <w:spacing w:before="0" w:after="283"/>
              <w:rPr/>
            </w:pPr>
            <w:r>
              <w:rPr/>
              <w:t> </w:t>
            </w:r>
          </w:p>
        </w:tc>
      </w:tr>
      <w:tr>
        <w:trPr/>
        <w:tc>
          <w:tcPr>
            <w:tcW w:w="5688" w:type="dxa"/>
            <w:tcBorders/>
            <w:shd w:fill="auto" w:val="clear"/>
            <w:vAlign w:val="bottom"/>
          </w:tcPr>
          <w:p>
            <w:pPr>
              <w:pStyle w:val="TableContents"/>
              <w:spacing w:before="0" w:after="0"/>
              <w:ind w:left="225" w:right="0" w:hanging="225"/>
              <w:rPr/>
            </w:pPr>
            <w:r>
              <w:rPr/>
              <w:t>Administrative expenses</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52,740</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40,497</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34,951</w:t>
            </w:r>
          </w:p>
        </w:tc>
        <w:tc>
          <w:tcPr>
            <w:tcW w:w="136" w:type="dxa"/>
            <w:tcBorders/>
            <w:shd w:fill="auto" w:val="clear"/>
            <w:vAlign w:val="bottom"/>
          </w:tcPr>
          <w:p>
            <w:pPr>
              <w:pStyle w:val="TableContents"/>
              <w:spacing w:before="0" w:after="283"/>
              <w:rPr/>
            </w:pPr>
            <w:r>
              <w:rPr/>
              <w:t> </w:t>
            </w:r>
          </w:p>
        </w:tc>
      </w:tr>
      <w:tr>
        <w:trPr/>
        <w:tc>
          <w:tcPr>
            <w:tcW w:w="5688" w:type="dxa"/>
            <w:tcBorders/>
            <w:shd w:fill="CCEEFF" w:val="clear"/>
            <w:vAlign w:val="bottom"/>
          </w:tcPr>
          <w:p>
            <w:pPr>
              <w:pStyle w:val="TableContents"/>
              <w:spacing w:before="0" w:after="0"/>
              <w:ind w:left="225" w:right="0" w:hanging="225"/>
              <w:rPr/>
            </w:pPr>
            <w:r>
              <w:rPr/>
              <w:t>Depreciation and amortization</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14,661</w:t>
            </w:r>
          </w:p>
        </w:tc>
        <w:tc>
          <w:tcPr>
            <w:tcW w:w="12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12,746</w:t>
            </w:r>
          </w:p>
        </w:tc>
        <w:tc>
          <w:tcPr>
            <w:tcW w:w="12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12,354</w:t>
            </w:r>
          </w:p>
        </w:tc>
        <w:tc>
          <w:tcPr>
            <w:tcW w:w="136" w:type="dxa"/>
            <w:tcBorders/>
            <w:shd w:fill="CCEEFF" w:val="clear"/>
            <w:vAlign w:val="bottom"/>
          </w:tcPr>
          <w:p>
            <w:pPr>
              <w:pStyle w:val="TableContents"/>
              <w:spacing w:before="0" w:after="283"/>
              <w:rPr/>
            </w:pPr>
            <w:r>
              <w:rPr/>
              <w:t> </w:t>
            </w:r>
          </w:p>
        </w:tc>
      </w:tr>
      <w:tr>
        <w:trPr/>
        <w:tc>
          <w:tcPr>
            <w:tcW w:w="5688" w:type="dxa"/>
            <w:tcBorders/>
            <w:shd w:fill="auto" w:val="clear"/>
            <w:vAlign w:val="bottom"/>
          </w:tcPr>
          <w:p>
            <w:pPr>
              <w:pStyle w:val="TableContents"/>
              <w:spacing w:before="0" w:after="0"/>
              <w:ind w:left="225" w:right="0" w:hanging="225"/>
              <w:rPr/>
            </w:pPr>
            <w:r>
              <w:rPr/>
              <w:t>(Gain) / loss on sale / disposal of assets</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1,528</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(1,024</w:t>
            </w:r>
          </w:p>
        </w:tc>
        <w:tc>
          <w:tcPr>
            <w:tcW w:w="12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939</w:t>
            </w:r>
          </w:p>
        </w:tc>
        <w:tc>
          <w:tcPr>
            <w:tcW w:w="136" w:type="dxa"/>
            <w:tcBorders/>
            <w:shd w:fill="auto" w:val="clear"/>
            <w:vAlign w:val="bottom"/>
          </w:tcPr>
          <w:p>
            <w:pPr>
              <w:pStyle w:val="TableContents"/>
              <w:spacing w:before="0" w:after="283"/>
              <w:rPr/>
            </w:pPr>
            <w:r>
              <w:rPr/>
              <w:t> </w:t>
            </w:r>
          </w:p>
        </w:tc>
      </w:tr>
      <w:tr>
        <w:trPr/>
        <w:tc>
          <w:tcPr>
            <w:tcW w:w="5688" w:type="dxa"/>
            <w:tcBorders/>
            <w:shd w:fill="CCEEFF" w:val="clear"/>
            <w:vAlign w:val="bottom"/>
          </w:tcPr>
          <w:p>
            <w:pPr>
              <w:pStyle w:val="TableContents"/>
              <w:spacing w:before="0" w:after="0"/>
              <w:ind w:left="225" w:right="0" w:hanging="225"/>
              <w:rPr/>
            </w:pPr>
            <w:r>
              <w:rPr/>
              <w:t>Interest income</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01" w:type="dxa"/>
            <w:tcBorders/>
            <w:shd w:fill="CCEEFF" w:val="clear"/>
            <w:vAlign w:val="bottom"/>
          </w:tcPr>
          <w:p>
            <w:pPr>
              <w:pStyle w:val="TableContents"/>
              <w:spacing w:before="0" w:after="283"/>
              <w:jc w:val="right"/>
              <w:rPr/>
            </w:pPr>
            <w:r>
              <w:rPr/>
              <w:t>(186</w:t>
            </w:r>
          </w:p>
        </w:tc>
        <w:tc>
          <w:tcPr>
            <w:tcW w:w="12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(281</w:t>
            </w:r>
          </w:p>
        </w:tc>
        <w:tc>
          <w:tcPr>
            <w:tcW w:w="12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01" w:type="dxa"/>
            <w:tcBorders/>
            <w:shd w:fill="CCEEFF" w:val="clear"/>
            <w:vAlign w:val="bottom"/>
          </w:tcPr>
          <w:p>
            <w:pPr>
              <w:pStyle w:val="TableContents"/>
              <w:spacing w:before="0" w:after="283"/>
              <w:jc w:val="right"/>
              <w:rPr/>
            </w:pPr>
            <w:r>
              <w:rPr/>
              <w:t>(477</w:t>
            </w:r>
          </w:p>
        </w:tc>
        <w:tc>
          <w:tcPr>
            <w:tcW w:w="136" w:type="dxa"/>
            <w:tcBorders/>
            <w:shd w:fill="CCEEFF" w:val="clear"/>
            <w:vAlign w:val="bottom"/>
          </w:tcPr>
          <w:p>
            <w:pPr>
              <w:pStyle w:val="TableContents"/>
              <w:spacing w:before="0" w:after="283"/>
              <w:rPr/>
            </w:pPr>
            <w:r>
              <w:rPr/>
              <w:t>)</w:t>
            </w:r>
          </w:p>
        </w:tc>
      </w:tr>
      <w:tr>
        <w:trPr/>
        <w:tc>
          <w:tcPr>
            <w:tcW w:w="5688" w:type="dxa"/>
            <w:tcBorders/>
            <w:shd w:fill="auto" w:val="clear"/>
            <w:vAlign w:val="bottom"/>
          </w:tcPr>
          <w:p>
            <w:pPr>
              <w:pStyle w:val="TableContents"/>
              <w:spacing w:before="0" w:after="0"/>
              <w:ind w:left="225" w:right="0" w:hanging="225"/>
              <w:rPr/>
            </w:pPr>
            <w:r>
              <w:rPr/>
              <w:t>Interest expense</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1,385</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1,425</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420</w:t>
            </w:r>
          </w:p>
        </w:tc>
        <w:tc>
          <w:tcPr>
            <w:tcW w:w="136" w:type="dxa"/>
            <w:tcBorders/>
            <w:shd w:fill="auto" w:val="clear"/>
            <w:vAlign w:val="bottom"/>
          </w:tcPr>
          <w:p>
            <w:pPr>
              <w:pStyle w:val="TableContents"/>
              <w:spacing w:before="0" w:after="283"/>
              <w:rPr/>
            </w:pPr>
            <w:r>
              <w:rPr/>
              <w:t> </w:t>
            </w:r>
          </w:p>
        </w:tc>
      </w:tr>
      <w:tr>
        <w:trPr/>
        <w:tc>
          <w:tcPr>
            <w:tcW w:w="5688" w:type="dxa"/>
            <w:tcBorders/>
            <w:shd w:fill="CCEEFF" w:val="clear"/>
            <w:vAlign w:val="bottom"/>
          </w:tcPr>
          <w:p>
            <w:pPr>
              <w:pStyle w:val="TableContents"/>
              <w:spacing w:before="0" w:after="0"/>
              <w:ind w:left="225" w:right="0" w:hanging="225"/>
              <w:rPr/>
            </w:pPr>
            <w:r>
              <w:rPr/>
              <w:t>Equity in net income of unconsolidated affiliates</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01" w:type="dxa"/>
            <w:tcBorders/>
            <w:shd w:fill="CCEEFF" w:val="clear"/>
            <w:vAlign w:val="bottom"/>
          </w:tcPr>
          <w:p>
            <w:pPr>
              <w:pStyle w:val="TableContents"/>
              <w:spacing w:before="0" w:after="283"/>
              <w:jc w:val="right"/>
              <w:rPr/>
            </w:pPr>
            <w:r>
              <w:rPr/>
              <w:t>(10,750</w:t>
            </w:r>
          </w:p>
        </w:tc>
        <w:tc>
          <w:tcPr>
            <w:tcW w:w="12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(5,016</w:t>
            </w:r>
          </w:p>
        </w:tc>
        <w:tc>
          <w:tcPr>
            <w:tcW w:w="12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801" w:type="dxa"/>
            <w:tcBorders/>
            <w:shd w:fill="CCEEFF" w:val="clear"/>
            <w:vAlign w:val="bottom"/>
          </w:tcPr>
          <w:p>
            <w:pPr>
              <w:pStyle w:val="TableContents"/>
              <w:spacing w:before="0" w:after="283"/>
              <w:jc w:val="right"/>
              <w:rPr/>
            </w:pPr>
            <w:r>
              <w:rPr/>
              <w:t>(4,342</w:t>
            </w:r>
          </w:p>
        </w:tc>
        <w:tc>
          <w:tcPr>
            <w:tcW w:w="136" w:type="dxa"/>
            <w:tcBorders/>
            <w:shd w:fill="CCEEFF" w:val="clear"/>
            <w:vAlign w:val="bottom"/>
          </w:tcPr>
          <w:p>
            <w:pPr>
              <w:pStyle w:val="TableContents"/>
              <w:spacing w:before="0" w:after="283"/>
              <w:rPr/>
            </w:pPr>
            <w:r>
              <w:rPr/>
              <w:t>)</w:t>
            </w:r>
          </w:p>
        </w:tc>
      </w:tr>
      <w:tr>
        <w:trPr/>
        <w:tc>
          <w:tcPr>
            <w:tcW w:w="5688" w:type="dxa"/>
            <w:tcBorders/>
            <w:shd w:fill="auto" w:val="clear"/>
            <w:vAlign w:val="bottom"/>
          </w:tcPr>
          <w:p>
            <w:pPr>
              <w:pStyle w:val="TableContents"/>
              <w:spacing w:before="0" w:after="0"/>
              <w:ind w:left="225" w:right="0" w:hanging="225"/>
              <w:rPr/>
            </w:pPr>
            <w:r>
              <w:rPr/>
              <w:t>Other</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801" w:type="dxa"/>
            <w:tcBorders/>
            <w:shd w:fill="auto" w:val="clear"/>
            <w:vAlign w:val="bottom"/>
          </w:tcPr>
          <w:p>
            <w:pPr>
              <w:pStyle w:val="TableContents"/>
              <w:spacing w:before="0" w:after="283"/>
              <w:jc w:val="right"/>
              <w:rPr/>
            </w:pPr>
            <w:r>
              <w:rPr/>
              <w:t>(93</w:t>
            </w:r>
          </w:p>
        </w:tc>
        <w:tc>
          <w:tcPr>
            <w:tcW w:w="12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38</w:t>
            </w:r>
          </w:p>
        </w:tc>
        <w:tc>
          <w:tcPr>
            <w:tcW w:w="12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8</w:t>
            </w:r>
          </w:p>
        </w:tc>
        <w:tc>
          <w:tcPr>
            <w:tcW w:w="136" w:type="dxa"/>
            <w:tcBorders/>
            <w:shd w:fill="auto" w:val="clear"/>
            <w:vAlign w:val="bottom"/>
          </w:tcPr>
          <w:p>
            <w:pPr>
              <w:pStyle w:val="TableContents"/>
              <w:spacing w:before="0" w:after="283"/>
              <w:rPr/>
            </w:pPr>
            <w:r>
              <w:rPr/>
              <w:t> </w:t>
            </w:r>
          </w:p>
        </w:tc>
      </w:tr>
      <w:tr>
        <w:trPr/>
        <w:tc>
          <w:tcPr>
            <w:tcW w:w="5688"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9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688" w:type="dxa"/>
            <w:tcBorders/>
            <w:shd w:fill="CCEEFF" w:val="clear"/>
            <w:vAlign w:val="bottom"/>
          </w:tcPr>
          <w:p>
            <w:pPr>
              <w:pStyle w:val="TableContents"/>
              <w:spacing w:before="0" w:after="0"/>
              <w:ind w:left="225" w:right="0" w:hanging="225"/>
              <w:rPr/>
            </w:pPr>
            <w:r>
              <w:rPr/>
              <w:t>Consolidated income before income taxes</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151,530</w:t>
            </w:r>
          </w:p>
        </w:tc>
        <w:tc>
          <w:tcPr>
            <w:tcW w:w="12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105,312</w:t>
            </w:r>
          </w:p>
        </w:tc>
        <w:tc>
          <w:tcPr>
            <w:tcW w:w="12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78,071</w:t>
            </w:r>
          </w:p>
        </w:tc>
        <w:tc>
          <w:tcPr>
            <w:tcW w:w="136" w:type="dxa"/>
            <w:tcBorders/>
            <w:shd w:fill="CCEEFF" w:val="clear"/>
            <w:vAlign w:val="bottom"/>
          </w:tcPr>
          <w:p>
            <w:pPr>
              <w:pStyle w:val="TableContents"/>
              <w:spacing w:before="0" w:after="283"/>
              <w:rPr/>
            </w:pPr>
            <w:r>
              <w:rPr/>
              <w:t> </w:t>
            </w:r>
          </w:p>
        </w:tc>
      </w:tr>
      <w:tr>
        <w:trPr/>
        <w:tc>
          <w:tcPr>
            <w:tcW w:w="5688"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9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9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9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separately identified segment assets: </w:t>
      </w:r>
    </w:p>
    <w:tbl>
      <w:tblPr>
        <w:tblW w:w="5000" w:type="pct"/>
        <w:jc w:val="center"/>
        <w:tblInd w:w="0" w:type="dxa"/>
        <w:tblCellMar>
          <w:top w:w="0" w:type="dxa"/>
          <w:left w:w="0" w:type="dxa"/>
          <w:bottom w:w="0" w:type="dxa"/>
          <w:right w:w="0" w:type="dxa"/>
        </w:tblCellMar>
      </w:tblPr>
      <w:tblGrid>
        <w:gridCol w:w="3893"/>
        <w:gridCol w:w="330"/>
        <w:gridCol w:w="172"/>
        <w:gridCol w:w="947"/>
        <w:gridCol w:w="101"/>
        <w:gridCol w:w="330"/>
        <w:gridCol w:w="160"/>
        <w:gridCol w:w="787"/>
        <w:gridCol w:w="101"/>
        <w:gridCol w:w="330"/>
        <w:gridCol w:w="210"/>
        <w:gridCol w:w="1030"/>
        <w:gridCol w:w="101"/>
        <w:gridCol w:w="330"/>
        <w:gridCol w:w="195"/>
        <w:gridCol w:w="1079"/>
        <w:gridCol w:w="109"/>
      </w:tblGrid>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pPr>
            <w:r>
              <w:rPr/>
              <w:t>U.S. Pawn</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283"/>
              <w:jc w:val="center"/>
              <w:rPr/>
            </w:pPr>
            <w:r>
              <w:rPr/>
              <w:t>Empeño</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jc w:val="center"/>
              <w:rPr/>
            </w:pPr>
            <w:r>
              <w:rPr/>
              <w:t>EZMONEY</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pPr>
            <w:r>
              <w:rPr/>
              <w:t>Fácil</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40" w:type="dxa"/>
            <w:gridSpan w:val="2"/>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Consolidated</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618" w:type="dxa"/>
            <w:gridSpan w:val="6"/>
            <w:tcBorders/>
            <w:shd w:fill="auto" w:val="clear"/>
            <w:vAlign w:val="bottom"/>
          </w:tcPr>
          <w:p>
            <w:pPr>
              <w:pStyle w:val="TableContents"/>
              <w:spacing w:before="0" w:after="283"/>
              <w:jc w:val="center"/>
              <w:rPr>
                <w:i/>
              </w:rPr>
            </w:pPr>
            <w:r>
              <w:rPr>
                <w:i/>
              </w:rPr>
              <w:t>(in thousands)</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2010:</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113,944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7,257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121,201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10,319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10,775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651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2,494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3,145</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20,830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1,053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7,177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29,060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66,542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4,935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71,502</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110,255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7,050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117,305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312,678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20,295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20,015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352,988</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231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22,709</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22,940</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236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6,589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6,825</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2009:</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98,099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3,585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101,684</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7,904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8,357</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685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978</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1,663</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17,910</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513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5,892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24,315</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61,196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2,804</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64,001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94,192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6,527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100,719</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272,535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13,429</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14,775</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300,739</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278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22,706</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22,984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276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1,910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2,186</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225" w:right="0" w:hanging="225"/>
              <w:rPr>
                <w:b/>
              </w:rPr>
            </w:pPr>
            <w:r>
              <w:rPr>
                <w:b/>
              </w:rPr>
              <w:t>Assets at September 30, 2008:</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Pawn loans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71,393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4,543</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75,936</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Signature loans,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472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6,652</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7,124</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Auto title loans,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Service charges and fees receivable, net</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12,523</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371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5,267</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18,161</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450" w:right="0" w:hanging="225"/>
              <w:rPr/>
            </w:pPr>
            <w:r>
              <w:rPr/>
              <w:t>Inventory, net</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40,357</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2,852</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43,209</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450" w:right="0" w:hanging="225"/>
              <w:rPr/>
            </w:pPr>
            <w:r>
              <w:rPr/>
              <w:t>Goodwill</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16,211</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8,165</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24,376</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Total separately identified recorded segment assets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140,956</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15,931</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11,920</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168,807</w:t>
            </w:r>
          </w:p>
        </w:tc>
        <w:tc>
          <w:tcPr>
            <w:tcW w:w="109" w:type="dxa"/>
            <w:tcBorders/>
            <w:shd w:fill="auto" w:val="clear"/>
            <w:vAlign w:val="bottom"/>
          </w:tcPr>
          <w:p>
            <w:pPr>
              <w:pStyle w:val="TableContents"/>
              <w:spacing w:before="0" w:after="283"/>
              <w:rPr/>
            </w:pPr>
            <w:r>
              <w:rPr/>
              <w:t> </w:t>
            </w:r>
          </w:p>
        </w:tc>
      </w:tr>
      <w:tr>
        <w:trPr/>
        <w:tc>
          <w:tcPr>
            <w:tcW w:w="3893" w:type="dxa"/>
            <w:tcBorders/>
            <w:shd w:fill="auto" w:val="clear"/>
            <w:vAlign w:val="center"/>
          </w:tcPr>
          <w:p>
            <w:pPr>
              <w:pStyle w:val="TableContents"/>
              <w:spacing w:before="0" w:after="0"/>
              <w:ind w:left="225" w:right="0" w:hanging="225"/>
              <w:rPr/>
            </w:pPr>
            <w:r>
              <w:rPr/>
              <w:t> </w:t>
            </w:r>
          </w:p>
        </w:tc>
        <w:tc>
          <w:tcPr>
            <w:tcW w:w="330" w:type="dxa"/>
            <w:tcBorders/>
            <w:shd w:fill="auto" w:val="clear"/>
            <w:vAlign w:val="center"/>
          </w:tcPr>
          <w:p>
            <w:pPr>
              <w:pStyle w:val="TableContents"/>
              <w:spacing w:before="0" w:after="283"/>
              <w:rPr/>
            </w:pPr>
            <w:r>
              <w:rPr/>
              <w:t> </w:t>
            </w:r>
          </w:p>
        </w:tc>
        <w:tc>
          <w:tcPr>
            <w:tcW w:w="11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c>
          <w:tcPr>
            <w:tcW w:w="12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893" w:type="dxa"/>
            <w:tcBorders/>
            <w:shd w:fill="auto" w:val="clear"/>
            <w:vAlign w:val="bottom"/>
          </w:tcPr>
          <w:p>
            <w:pPr>
              <w:pStyle w:val="TableContents"/>
              <w:spacing w:before="0" w:after="0"/>
              <w:ind w:left="225" w:right="0" w:hanging="225"/>
              <w:rPr/>
            </w:pPr>
            <w:r>
              <w:rPr/>
              <w:t> </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893" w:type="dxa"/>
            <w:tcBorders/>
            <w:shd w:fill="CCEEFF" w:val="clear"/>
            <w:vAlign w:val="bottom"/>
          </w:tcPr>
          <w:p>
            <w:pPr>
              <w:pStyle w:val="TableContents"/>
              <w:spacing w:before="0" w:after="0"/>
              <w:ind w:left="675" w:right="0" w:hanging="225"/>
              <w:rPr/>
            </w:pPr>
            <w:r>
              <w:rPr/>
              <w:t>Brokered signature loans outstanding from unaffiliated lenders</w:t>
            </w:r>
          </w:p>
        </w:tc>
        <w:tc>
          <w:tcPr>
            <w:tcW w:w="33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384</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23,168</w:t>
            </w:r>
          </w:p>
        </w:tc>
        <w:tc>
          <w:tcPr>
            <w:tcW w:w="1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79" w:type="dxa"/>
            <w:tcBorders/>
            <w:shd w:fill="CCEEFF" w:val="clear"/>
            <w:vAlign w:val="bottom"/>
          </w:tcPr>
          <w:p>
            <w:pPr>
              <w:pStyle w:val="TableContents"/>
              <w:spacing w:before="0" w:after="283"/>
              <w:jc w:val="right"/>
              <w:rPr/>
            </w:pPr>
            <w:r>
              <w:rPr/>
              <w:t>23,552</w:t>
            </w:r>
          </w:p>
        </w:tc>
        <w:tc>
          <w:tcPr>
            <w:tcW w:w="109" w:type="dxa"/>
            <w:tcBorders/>
            <w:shd w:fill="CCEEFF" w:val="clear"/>
            <w:vAlign w:val="bottom"/>
          </w:tcPr>
          <w:p>
            <w:pPr>
              <w:pStyle w:val="TableContents"/>
              <w:spacing w:before="0" w:after="283"/>
              <w:rPr/>
            </w:pPr>
            <w:r>
              <w:rPr/>
              <w:t> </w:t>
            </w:r>
          </w:p>
        </w:tc>
      </w:tr>
      <w:tr>
        <w:trPr/>
        <w:tc>
          <w:tcPr>
            <w:tcW w:w="3893" w:type="dxa"/>
            <w:tcBorders/>
            <w:shd w:fill="auto" w:val="clear"/>
            <w:vAlign w:val="bottom"/>
          </w:tcPr>
          <w:p>
            <w:pPr>
              <w:pStyle w:val="TableContents"/>
              <w:spacing w:before="0" w:after="0"/>
              <w:ind w:left="675" w:right="0" w:hanging="225"/>
              <w:rPr/>
            </w:pPr>
            <w:r>
              <w:rPr/>
              <w:t>Brokered auto title loans outstanding from unaffiliated lenders</w:t>
            </w:r>
          </w:p>
        </w:tc>
        <w:tc>
          <w:tcPr>
            <w:tcW w:w="33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79"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Brokered loans are not recorded as an asset on our balance sheet, as we do not own a participation in the loans made by unaffiliated lenders. We monitor the principal balance of these loans, as our credit service fees and bad debt are directly related to their volume due to the letters of credit we issue on these loans. The balance shown above is the gross principal balance of the loans outstanding. </w:t>
      </w:r>
    </w:p>
    <w:p>
      <w:pPr>
        <w:pStyle w:val="TextBody"/>
        <w:jc w:val="center"/>
        <w:rPr>
          <w:rFonts w:ascii="Times New Roman;Times;serif" w:hAnsi="Times New Roman;Times;serif"/>
          <w:sz w:val="17"/>
        </w:rPr>
      </w:pPr>
      <w:r>
        <w:rPr>
          <w:rFonts w:ascii="Times New Roman;Times;serif" w:hAnsi="Times New Roman;Times;serif"/>
          <w:sz w:val="17"/>
        </w:rPr>
        <w:t xml:space="preserve">80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S: Valuation Allowances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presents our significant valuation allowances and changes in those allowances in the three most recent fiscal years (in thousands): </w:t>
      </w:r>
    </w:p>
    <w:tbl>
      <w:tblPr>
        <w:tblW w:w="5000" w:type="pct"/>
        <w:jc w:val="center"/>
        <w:tblInd w:w="0" w:type="dxa"/>
        <w:tblCellMar>
          <w:top w:w="0" w:type="dxa"/>
          <w:left w:w="0" w:type="dxa"/>
          <w:bottom w:w="0" w:type="dxa"/>
          <w:right w:w="0" w:type="dxa"/>
        </w:tblCellMar>
      </w:tblPr>
      <w:tblGrid>
        <w:gridCol w:w="2516"/>
        <w:gridCol w:w="235"/>
        <w:gridCol w:w="223"/>
        <w:gridCol w:w="930"/>
        <w:gridCol w:w="91"/>
        <w:gridCol w:w="235"/>
        <w:gridCol w:w="234"/>
        <w:gridCol w:w="975"/>
        <w:gridCol w:w="91"/>
        <w:gridCol w:w="235"/>
        <w:gridCol w:w="479"/>
        <w:gridCol w:w="814"/>
        <w:gridCol w:w="91"/>
        <w:gridCol w:w="235"/>
        <w:gridCol w:w="240"/>
        <w:gridCol w:w="997"/>
        <w:gridCol w:w="91"/>
        <w:gridCol w:w="235"/>
        <w:gridCol w:w="223"/>
        <w:gridCol w:w="930"/>
        <w:gridCol w:w="105"/>
      </w:tblGrid>
      <w:tr>
        <w:trPr/>
        <w:tc>
          <w:tcPr>
            <w:tcW w:w="251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3" w:type="dxa"/>
            <w:gridSpan w:val="2"/>
            <w:tcBorders/>
            <w:shd w:fill="auto" w:val="clear"/>
            <w:vAlign w:val="bottom"/>
          </w:tcPr>
          <w:p>
            <w:pPr>
              <w:pStyle w:val="TableContents"/>
              <w:spacing w:before="0" w:after="283"/>
              <w:jc w:val="center"/>
              <w:rPr/>
            </w:pPr>
            <w:r>
              <w:rPr/>
              <w:t>Balance at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828" w:type="dxa"/>
            <w:gridSpan w:val="6"/>
            <w:tcBorders>
              <w:bottom w:val="single" w:sz="2" w:space="0" w:color="000000"/>
            </w:tcBorders>
            <w:shd w:fill="auto" w:val="clear"/>
            <w:tcMar>
              <w:bottom w:w="28" w:type="dxa"/>
            </w:tcMar>
            <w:vAlign w:val="bottom"/>
          </w:tcPr>
          <w:p>
            <w:pPr>
              <w:pStyle w:val="TableContents"/>
              <w:spacing w:before="0" w:after="283"/>
              <w:jc w:val="center"/>
              <w:rPr>
                <w:smallCaps/>
              </w:rPr>
            </w:pPr>
            <w:r>
              <w:rPr>
                <w:smallCaps/>
              </w:rPr>
              <w:t>Additions</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3" w:type="dxa"/>
            <w:gridSpan w:val="2"/>
            <w:tcBorders/>
            <w:shd w:fill="auto" w:val="clear"/>
            <w:vAlign w:val="bottom"/>
          </w:tcPr>
          <w:p>
            <w:pPr>
              <w:pStyle w:val="TableContents"/>
              <w:spacing w:before="0" w:after="283"/>
              <w:jc w:val="center"/>
              <w:rPr/>
            </w:pPr>
            <w:r>
              <w:rPr/>
              <w:t>Balance at</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3" w:type="dxa"/>
            <w:gridSpan w:val="2"/>
            <w:tcBorders/>
            <w:shd w:fill="auto" w:val="clear"/>
            <w:vAlign w:val="bottom"/>
          </w:tcPr>
          <w:p>
            <w:pPr>
              <w:pStyle w:val="TableContents"/>
              <w:spacing w:before="0" w:after="283"/>
              <w:jc w:val="center"/>
              <w:rPr/>
            </w:pPr>
            <w:r>
              <w:rPr/>
              <w:t>Beginning</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09" w:type="dxa"/>
            <w:gridSpan w:val="2"/>
            <w:tcBorders/>
            <w:shd w:fill="auto" w:val="clear"/>
            <w:vAlign w:val="bottom"/>
          </w:tcPr>
          <w:p>
            <w:pPr>
              <w:pStyle w:val="TableContents"/>
              <w:spacing w:before="0" w:after="283"/>
              <w:jc w:val="center"/>
              <w:rPr/>
            </w:pPr>
            <w:r>
              <w:rPr/>
              <w:t>Charged to</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pPr>
            <w:r>
              <w:rPr/>
              <w:t>Charged to</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3" w:type="dxa"/>
            <w:gridSpan w:val="2"/>
            <w:tcBorders/>
            <w:shd w:fill="auto" w:val="clear"/>
            <w:vAlign w:val="bottom"/>
          </w:tcPr>
          <w:p>
            <w:pPr>
              <w:pStyle w:val="TableContents"/>
              <w:spacing w:before="0" w:after="283"/>
              <w:jc w:val="center"/>
              <w:rPr/>
            </w:pPr>
            <w:r>
              <w:rPr/>
              <w:t>End</w:t>
            </w:r>
          </w:p>
        </w:tc>
        <w:tc>
          <w:tcPr>
            <w:tcW w:w="105" w:type="dxa"/>
            <w:tcBorders/>
            <w:shd w:fill="auto" w:val="clear"/>
            <w:vAlign w:val="bottom"/>
          </w:tcPr>
          <w:p>
            <w:pPr>
              <w:pStyle w:val="TableContents"/>
              <w:spacing w:before="0" w:after="283"/>
              <w:rPr/>
            </w:pPr>
            <w:r>
              <w:rPr/>
              <w:t> </w:t>
            </w:r>
          </w:p>
        </w:tc>
      </w:tr>
      <w:tr>
        <w:trPr/>
        <w:tc>
          <w:tcPr>
            <w:tcW w:w="2516" w:type="dxa"/>
            <w:tcBorders>
              <w:bottom w:val="single" w:sz="2" w:space="0" w:color="000000"/>
            </w:tcBorders>
            <w:shd w:fill="auto" w:val="clear"/>
            <w:tcMar>
              <w:bottom w:w="28" w:type="dxa"/>
            </w:tcMar>
            <w:vAlign w:val="bottom"/>
          </w:tcPr>
          <w:p>
            <w:pPr>
              <w:pStyle w:val="TableContents"/>
              <w:spacing w:before="0" w:after="283"/>
              <w:rPr/>
            </w:pPr>
            <w:r>
              <w:rPr/>
              <w:t>Description</w:t>
            </w:r>
          </w:p>
        </w:tc>
        <w:tc>
          <w:tcPr>
            <w:tcW w:w="235" w:type="dxa"/>
            <w:tcBorders/>
            <w:shd w:fill="auto" w:val="clear"/>
            <w:vAlign w:val="bottom"/>
          </w:tcPr>
          <w:p>
            <w:pPr>
              <w:pStyle w:val="TableContents"/>
              <w:spacing w:before="0" w:after="283"/>
              <w:rPr/>
            </w:pPr>
            <w:r>
              <w:rPr/>
              <w:t> </w:t>
            </w:r>
          </w:p>
        </w:tc>
        <w:tc>
          <w:tcPr>
            <w:tcW w:w="1153"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09" w:type="dxa"/>
            <w:gridSpan w:val="2"/>
            <w:tcBorders>
              <w:bottom w:val="single" w:sz="2" w:space="0" w:color="000000"/>
            </w:tcBorders>
            <w:shd w:fill="auto" w:val="clear"/>
            <w:tcMar>
              <w:bottom w:w="28" w:type="dxa"/>
            </w:tcMar>
            <w:vAlign w:val="bottom"/>
          </w:tcPr>
          <w:p>
            <w:pPr>
              <w:pStyle w:val="TableContents"/>
              <w:spacing w:before="0" w:after="283"/>
              <w:jc w:val="center"/>
              <w:rPr/>
            </w:pPr>
            <w:r>
              <w:rPr/>
              <w:t>Expense</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 Accts</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37" w:type="dxa"/>
            <w:gridSpan w:val="2"/>
            <w:tcBorders>
              <w:bottom w:val="single" w:sz="2" w:space="0" w:color="000000"/>
            </w:tcBorders>
            <w:shd w:fill="auto" w:val="clear"/>
            <w:tcMar>
              <w:bottom w:w="28" w:type="dxa"/>
            </w:tcMar>
            <w:vAlign w:val="bottom"/>
          </w:tcPr>
          <w:p>
            <w:pPr>
              <w:pStyle w:val="TableContents"/>
              <w:spacing w:before="0" w:after="283"/>
              <w:jc w:val="center"/>
              <w:rPr/>
            </w:pPr>
            <w:r>
              <w:rPr/>
              <w:t>Deductions</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3"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105" w:type="dxa"/>
            <w:tcBorders/>
            <w:shd w:fill="auto" w:val="clear"/>
            <w:vAlign w:val="bottom"/>
          </w:tcPr>
          <w:p>
            <w:pPr>
              <w:pStyle w:val="TableContents"/>
              <w:spacing w:before="0" w:after="283"/>
              <w:rPr/>
            </w:pPr>
            <w:r>
              <w:rPr/>
              <w:t> </w:t>
            </w:r>
          </w:p>
        </w:tc>
      </w:tr>
      <w:tr>
        <w:trPr/>
        <w:tc>
          <w:tcPr>
            <w:tcW w:w="10205" w:type="dxa"/>
            <w:gridSpan w:val="21"/>
            <w:tcBorders/>
            <w:shd w:fill="CCEEFF" w:val="clear"/>
            <w:vAlign w:val="bottom"/>
          </w:tcPr>
          <w:p>
            <w:pPr>
              <w:pStyle w:val="TableContents"/>
              <w:spacing w:before="0" w:after="283"/>
              <w:jc w:val="left"/>
              <w:rPr/>
            </w:pPr>
            <w:r>
              <w:rPr/>
              <w:t>Allowance for valuation of inventory:</w:t>
            </w:r>
          </w:p>
        </w:tc>
      </w:tr>
      <w:tr>
        <w:trPr/>
        <w:tc>
          <w:tcPr>
            <w:tcW w:w="2516" w:type="dxa"/>
            <w:tcBorders/>
            <w:shd w:fill="auto" w:val="clear"/>
            <w:vAlign w:val="bottom"/>
          </w:tcPr>
          <w:p>
            <w:pPr>
              <w:pStyle w:val="TableContents"/>
              <w:spacing w:before="0" w:after="0"/>
              <w:ind w:left="450" w:right="0" w:hanging="225"/>
              <w:rPr/>
            </w:pPr>
            <w:r>
              <w:rPr/>
              <w:t>Year ended September 30, 2010</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5,719</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10</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5,709</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CCEEFF" w:val="clear"/>
            <w:vAlign w:val="bottom"/>
          </w:tcPr>
          <w:p>
            <w:pPr>
              <w:pStyle w:val="TableContents"/>
              <w:spacing w:before="0" w:after="0"/>
              <w:ind w:left="450" w:right="0" w:hanging="225"/>
              <w:rPr/>
            </w:pPr>
            <w:r>
              <w:rPr/>
              <w:t>Year ended September 30, 2009</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4,028</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1,691</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997"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5,719</w:t>
            </w:r>
          </w:p>
        </w:tc>
        <w:tc>
          <w:tcPr>
            <w:tcW w:w="105" w:type="dxa"/>
            <w:tcBorders/>
            <w:shd w:fill="CCEEFF"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auto" w:val="clear"/>
            <w:vAlign w:val="bottom"/>
          </w:tcPr>
          <w:p>
            <w:pPr>
              <w:pStyle w:val="TableContents"/>
              <w:spacing w:before="0" w:after="0"/>
              <w:ind w:left="450" w:right="0" w:hanging="225"/>
              <w:rPr/>
            </w:pPr>
            <w:r>
              <w:rPr/>
              <w:t>Year ended September 30, 2008</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3,755</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273</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4,028</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auto" w:val="clear"/>
          </w:tcPr>
          <w:p>
            <w:pPr>
              <w:pStyle w:val="TableContents"/>
              <w:spacing w:before="0" w:after="0"/>
              <w:ind w:left="225" w:right="0" w:hanging="225"/>
              <w:rPr/>
            </w:pPr>
            <w:r>
              <w:rPr/>
              <w:t> </w:t>
            </w:r>
          </w:p>
        </w:tc>
        <w:tc>
          <w:tcPr>
            <w:tcW w:w="235" w:type="dxa"/>
            <w:tcBorders/>
            <w:shd w:fill="auto" w:val="clear"/>
          </w:tcPr>
          <w:p>
            <w:pPr>
              <w:pStyle w:val="TableContents"/>
              <w:spacing w:before="0" w:after="283"/>
              <w:rPr/>
            </w:pPr>
            <w:r>
              <w:rPr/>
              <w:t> </w:t>
            </w:r>
          </w:p>
        </w:tc>
        <w:tc>
          <w:tcPr>
            <w:tcW w:w="223"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34" w:type="dxa"/>
            <w:tcBorders/>
            <w:shd w:fill="auto" w:val="clear"/>
          </w:tcPr>
          <w:p>
            <w:pPr>
              <w:pStyle w:val="TableContents"/>
              <w:spacing w:before="0" w:after="283"/>
              <w:rPr/>
            </w:pPr>
            <w:r>
              <w:rPr/>
              <w:t> </w:t>
            </w:r>
          </w:p>
        </w:tc>
        <w:tc>
          <w:tcPr>
            <w:tcW w:w="975"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479" w:type="dxa"/>
            <w:tcBorders/>
            <w:shd w:fill="auto" w:val="clear"/>
          </w:tcPr>
          <w:p>
            <w:pPr>
              <w:pStyle w:val="TableContents"/>
              <w:spacing w:before="0" w:after="283"/>
              <w:rPr/>
            </w:pPr>
            <w:r>
              <w:rPr/>
              <w:t> </w:t>
            </w:r>
          </w:p>
        </w:tc>
        <w:tc>
          <w:tcPr>
            <w:tcW w:w="814"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997"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23"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r>
      <w:tr>
        <w:trPr/>
        <w:tc>
          <w:tcPr>
            <w:tcW w:w="10205" w:type="dxa"/>
            <w:gridSpan w:val="21"/>
            <w:tcBorders/>
            <w:shd w:fill="CCEEFF" w:val="clear"/>
            <w:vAlign w:val="bottom"/>
          </w:tcPr>
          <w:p>
            <w:pPr>
              <w:pStyle w:val="TableContents"/>
              <w:spacing w:before="0" w:after="283"/>
              <w:jc w:val="left"/>
              <w:rPr/>
            </w:pPr>
            <w:r>
              <w:rPr/>
              <w:t>Allowance for uncollectible pawn service charges receivable:</w:t>
            </w:r>
          </w:p>
        </w:tc>
      </w:tr>
      <w:tr>
        <w:trPr/>
        <w:tc>
          <w:tcPr>
            <w:tcW w:w="2516" w:type="dxa"/>
            <w:tcBorders/>
            <w:shd w:fill="auto" w:val="clear"/>
            <w:vAlign w:val="bottom"/>
          </w:tcPr>
          <w:p>
            <w:pPr>
              <w:pStyle w:val="TableContents"/>
              <w:spacing w:before="0" w:after="0"/>
              <w:ind w:left="450" w:right="0" w:hanging="225"/>
              <w:rPr/>
            </w:pPr>
            <w:r>
              <w:rPr/>
              <w:t>Year ended September 30, 2010</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8,521</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1,421</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9,942</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CCEEFF" w:val="clear"/>
            <w:vAlign w:val="bottom"/>
          </w:tcPr>
          <w:p>
            <w:pPr>
              <w:pStyle w:val="TableContents"/>
              <w:spacing w:before="0" w:after="0"/>
              <w:ind w:left="450" w:right="0" w:hanging="225"/>
              <w:rPr/>
            </w:pPr>
            <w:r>
              <w:rPr/>
              <w:t>Year ended September 30, 2009</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5,315</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3,206</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997"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8,521</w:t>
            </w:r>
          </w:p>
        </w:tc>
        <w:tc>
          <w:tcPr>
            <w:tcW w:w="105" w:type="dxa"/>
            <w:tcBorders/>
            <w:shd w:fill="CCEEFF"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auto" w:val="clear"/>
            <w:vAlign w:val="bottom"/>
          </w:tcPr>
          <w:p>
            <w:pPr>
              <w:pStyle w:val="TableContents"/>
              <w:spacing w:before="0" w:after="0"/>
              <w:ind w:left="450" w:right="0" w:hanging="225"/>
              <w:rPr/>
            </w:pPr>
            <w:r>
              <w:rPr/>
              <w:t>Year ended September 30, 2008</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4,847</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468</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5,315</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auto" w:val="clear"/>
          </w:tcPr>
          <w:p>
            <w:pPr>
              <w:pStyle w:val="TableContents"/>
              <w:spacing w:before="0" w:after="0"/>
              <w:ind w:left="225" w:right="0" w:hanging="225"/>
              <w:rPr/>
            </w:pPr>
            <w:r>
              <w:rPr/>
              <w:t> </w:t>
            </w:r>
          </w:p>
        </w:tc>
        <w:tc>
          <w:tcPr>
            <w:tcW w:w="235" w:type="dxa"/>
            <w:tcBorders/>
            <w:shd w:fill="auto" w:val="clear"/>
          </w:tcPr>
          <w:p>
            <w:pPr>
              <w:pStyle w:val="TableContents"/>
              <w:spacing w:before="0" w:after="283"/>
              <w:rPr/>
            </w:pPr>
            <w:r>
              <w:rPr/>
              <w:t> </w:t>
            </w:r>
          </w:p>
        </w:tc>
        <w:tc>
          <w:tcPr>
            <w:tcW w:w="223"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34" w:type="dxa"/>
            <w:tcBorders/>
            <w:shd w:fill="auto" w:val="clear"/>
          </w:tcPr>
          <w:p>
            <w:pPr>
              <w:pStyle w:val="TableContents"/>
              <w:spacing w:before="0" w:after="283"/>
              <w:rPr/>
            </w:pPr>
            <w:r>
              <w:rPr/>
              <w:t> </w:t>
            </w:r>
          </w:p>
        </w:tc>
        <w:tc>
          <w:tcPr>
            <w:tcW w:w="975"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479" w:type="dxa"/>
            <w:tcBorders/>
            <w:shd w:fill="auto" w:val="clear"/>
          </w:tcPr>
          <w:p>
            <w:pPr>
              <w:pStyle w:val="TableContents"/>
              <w:spacing w:before="0" w:after="283"/>
              <w:rPr/>
            </w:pPr>
            <w:r>
              <w:rPr/>
              <w:t> </w:t>
            </w:r>
          </w:p>
        </w:tc>
        <w:tc>
          <w:tcPr>
            <w:tcW w:w="814"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997"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23"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r>
      <w:tr>
        <w:trPr/>
        <w:tc>
          <w:tcPr>
            <w:tcW w:w="10205" w:type="dxa"/>
            <w:gridSpan w:val="21"/>
            <w:tcBorders/>
            <w:shd w:fill="CCEEFF" w:val="clear"/>
            <w:vAlign w:val="bottom"/>
          </w:tcPr>
          <w:p>
            <w:pPr>
              <w:pStyle w:val="TableContents"/>
              <w:spacing w:before="0" w:after="283"/>
              <w:jc w:val="left"/>
              <w:rPr/>
            </w:pPr>
            <w:r>
              <w:rPr/>
              <w:t>Allowance for losses on signature loans:</w:t>
            </w:r>
          </w:p>
        </w:tc>
      </w:tr>
      <w:tr>
        <w:trPr/>
        <w:tc>
          <w:tcPr>
            <w:tcW w:w="2516" w:type="dxa"/>
            <w:tcBorders/>
            <w:shd w:fill="auto" w:val="clear"/>
            <w:vAlign w:val="bottom"/>
          </w:tcPr>
          <w:p>
            <w:pPr>
              <w:pStyle w:val="TableContents"/>
              <w:spacing w:before="0" w:after="0"/>
              <w:ind w:left="450" w:right="0" w:hanging="225"/>
              <w:rPr/>
            </w:pPr>
            <w:r>
              <w:rPr/>
              <w:t>Year ended September 30, 2010</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612</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9,143</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8,929</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826</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CCEEFF" w:val="clear"/>
            <w:vAlign w:val="bottom"/>
          </w:tcPr>
          <w:p>
            <w:pPr>
              <w:pStyle w:val="TableContents"/>
              <w:spacing w:before="0" w:after="0"/>
              <w:ind w:left="450" w:right="0" w:hanging="225"/>
              <w:rPr/>
            </w:pPr>
            <w:r>
              <w:rPr/>
              <w:t>Year ended September 30, 2009</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674</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8,716</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997" w:type="dxa"/>
            <w:tcBorders/>
            <w:shd w:fill="CCEEFF" w:val="clear"/>
            <w:vAlign w:val="bottom"/>
          </w:tcPr>
          <w:p>
            <w:pPr>
              <w:pStyle w:val="TableContents"/>
              <w:spacing w:before="0" w:after="283"/>
              <w:jc w:val="right"/>
              <w:rPr/>
            </w:pPr>
            <w:r>
              <w:rPr/>
              <w:t>8,778</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612</w:t>
            </w:r>
          </w:p>
        </w:tc>
        <w:tc>
          <w:tcPr>
            <w:tcW w:w="105" w:type="dxa"/>
            <w:tcBorders/>
            <w:shd w:fill="CCEEFF"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auto" w:val="clear"/>
            <w:vAlign w:val="bottom"/>
          </w:tcPr>
          <w:p>
            <w:pPr>
              <w:pStyle w:val="TableContents"/>
              <w:spacing w:before="0" w:after="0"/>
              <w:ind w:left="450" w:right="0" w:hanging="225"/>
              <w:rPr/>
            </w:pPr>
            <w:r>
              <w:rPr/>
              <w:t>Year ended September 30, 2008</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343</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8,691</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8,360</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674</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auto" w:val="clear"/>
          </w:tcPr>
          <w:p>
            <w:pPr>
              <w:pStyle w:val="TableContents"/>
              <w:spacing w:before="0" w:after="0"/>
              <w:ind w:left="225" w:right="0" w:hanging="225"/>
              <w:rPr/>
            </w:pPr>
            <w:r>
              <w:rPr/>
              <w:t> </w:t>
            </w:r>
          </w:p>
        </w:tc>
        <w:tc>
          <w:tcPr>
            <w:tcW w:w="235" w:type="dxa"/>
            <w:tcBorders/>
            <w:shd w:fill="auto" w:val="clear"/>
          </w:tcPr>
          <w:p>
            <w:pPr>
              <w:pStyle w:val="TableContents"/>
              <w:spacing w:before="0" w:after="283"/>
              <w:rPr/>
            </w:pPr>
            <w:r>
              <w:rPr/>
              <w:t> </w:t>
            </w:r>
          </w:p>
        </w:tc>
        <w:tc>
          <w:tcPr>
            <w:tcW w:w="223"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34" w:type="dxa"/>
            <w:tcBorders/>
            <w:shd w:fill="auto" w:val="clear"/>
          </w:tcPr>
          <w:p>
            <w:pPr>
              <w:pStyle w:val="TableContents"/>
              <w:spacing w:before="0" w:after="283"/>
              <w:rPr/>
            </w:pPr>
            <w:r>
              <w:rPr/>
              <w:t> </w:t>
            </w:r>
          </w:p>
        </w:tc>
        <w:tc>
          <w:tcPr>
            <w:tcW w:w="975"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479" w:type="dxa"/>
            <w:tcBorders/>
            <w:shd w:fill="auto" w:val="clear"/>
          </w:tcPr>
          <w:p>
            <w:pPr>
              <w:pStyle w:val="TableContents"/>
              <w:spacing w:before="0" w:after="283"/>
              <w:rPr/>
            </w:pPr>
            <w:r>
              <w:rPr/>
              <w:t> </w:t>
            </w:r>
          </w:p>
        </w:tc>
        <w:tc>
          <w:tcPr>
            <w:tcW w:w="814"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997"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23"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r>
      <w:tr>
        <w:trPr/>
        <w:tc>
          <w:tcPr>
            <w:tcW w:w="10205" w:type="dxa"/>
            <w:gridSpan w:val="21"/>
            <w:tcBorders/>
            <w:shd w:fill="CCEEFF" w:val="clear"/>
            <w:vAlign w:val="bottom"/>
          </w:tcPr>
          <w:p>
            <w:pPr>
              <w:pStyle w:val="TableContents"/>
              <w:spacing w:before="0" w:after="283"/>
              <w:jc w:val="left"/>
              <w:rPr/>
            </w:pPr>
            <w:r>
              <w:rPr/>
              <w:t>Allowance for valuation of deferred tax assets:</w:t>
            </w:r>
          </w:p>
        </w:tc>
      </w:tr>
      <w:tr>
        <w:trPr/>
        <w:tc>
          <w:tcPr>
            <w:tcW w:w="2516" w:type="dxa"/>
            <w:tcBorders/>
            <w:shd w:fill="auto" w:val="clear"/>
            <w:vAlign w:val="bottom"/>
          </w:tcPr>
          <w:p>
            <w:pPr>
              <w:pStyle w:val="TableContents"/>
              <w:spacing w:before="0" w:after="0"/>
              <w:ind w:left="450" w:right="0" w:hanging="225"/>
              <w:rPr/>
            </w:pPr>
            <w:r>
              <w:rPr/>
              <w:t>Year ended September 30, 2010</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1,273</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1,273</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CCEEFF" w:val="clear"/>
            <w:vAlign w:val="bottom"/>
          </w:tcPr>
          <w:p>
            <w:pPr>
              <w:pStyle w:val="TableContents"/>
              <w:spacing w:before="0" w:after="0"/>
              <w:ind w:left="450" w:right="0" w:hanging="225"/>
              <w:rPr/>
            </w:pPr>
            <w:r>
              <w:rPr/>
              <w:t>Year ended September 30, 2009</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233</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997" w:type="dxa"/>
            <w:tcBorders/>
            <w:shd w:fill="CCEEFF" w:val="clear"/>
            <w:vAlign w:val="bottom"/>
          </w:tcPr>
          <w:p>
            <w:pPr>
              <w:pStyle w:val="TableContents"/>
              <w:spacing w:before="0" w:after="283"/>
              <w:jc w:val="right"/>
              <w:rPr/>
            </w:pPr>
            <w:r>
              <w:rPr/>
              <w:t>233</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auto" w:val="clear"/>
            <w:vAlign w:val="bottom"/>
          </w:tcPr>
          <w:p>
            <w:pPr>
              <w:pStyle w:val="TableContents"/>
              <w:spacing w:before="0" w:after="0"/>
              <w:ind w:left="450" w:right="0" w:hanging="225"/>
              <w:rPr/>
            </w:pPr>
            <w:r>
              <w:rPr/>
              <w:t>Year ended September 30, 2008</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392</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159</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233</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auto" w:val="clear"/>
          </w:tcPr>
          <w:p>
            <w:pPr>
              <w:pStyle w:val="TableContents"/>
              <w:spacing w:before="0" w:after="0"/>
              <w:ind w:left="225" w:right="0" w:hanging="225"/>
              <w:rPr/>
            </w:pPr>
            <w:r>
              <w:rPr/>
              <w:t> </w:t>
            </w:r>
          </w:p>
        </w:tc>
        <w:tc>
          <w:tcPr>
            <w:tcW w:w="235" w:type="dxa"/>
            <w:tcBorders/>
            <w:shd w:fill="auto" w:val="clear"/>
          </w:tcPr>
          <w:p>
            <w:pPr>
              <w:pStyle w:val="TableContents"/>
              <w:spacing w:before="0" w:after="283"/>
              <w:rPr/>
            </w:pPr>
            <w:r>
              <w:rPr/>
              <w:t> </w:t>
            </w:r>
          </w:p>
        </w:tc>
        <w:tc>
          <w:tcPr>
            <w:tcW w:w="223"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34" w:type="dxa"/>
            <w:tcBorders/>
            <w:shd w:fill="auto" w:val="clear"/>
          </w:tcPr>
          <w:p>
            <w:pPr>
              <w:pStyle w:val="TableContents"/>
              <w:spacing w:before="0" w:after="283"/>
              <w:rPr/>
            </w:pPr>
            <w:r>
              <w:rPr/>
              <w:t> </w:t>
            </w:r>
          </w:p>
        </w:tc>
        <w:tc>
          <w:tcPr>
            <w:tcW w:w="975"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479" w:type="dxa"/>
            <w:tcBorders/>
            <w:shd w:fill="auto" w:val="clear"/>
          </w:tcPr>
          <w:p>
            <w:pPr>
              <w:pStyle w:val="TableContents"/>
              <w:spacing w:before="0" w:after="283"/>
              <w:rPr/>
            </w:pPr>
            <w:r>
              <w:rPr/>
              <w:t> </w:t>
            </w:r>
          </w:p>
        </w:tc>
        <w:tc>
          <w:tcPr>
            <w:tcW w:w="814"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997"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223" w:type="dxa"/>
            <w:tcBorders/>
            <w:shd w:fill="auto" w:val="clear"/>
          </w:tcPr>
          <w:p>
            <w:pPr>
              <w:pStyle w:val="TableContents"/>
              <w:spacing w:before="0" w:after="283"/>
              <w:rPr/>
            </w:pPr>
            <w:r>
              <w:rPr/>
              <w:t> </w:t>
            </w:r>
          </w:p>
        </w:tc>
        <w:tc>
          <w:tcPr>
            <w:tcW w:w="930"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r>
      <w:tr>
        <w:trPr/>
        <w:tc>
          <w:tcPr>
            <w:tcW w:w="10205" w:type="dxa"/>
            <w:gridSpan w:val="21"/>
            <w:tcBorders/>
            <w:shd w:fill="CCEEFF" w:val="clear"/>
            <w:vAlign w:val="bottom"/>
          </w:tcPr>
          <w:p>
            <w:pPr>
              <w:pStyle w:val="TableContents"/>
              <w:spacing w:before="0" w:after="283"/>
              <w:jc w:val="left"/>
              <w:rPr/>
            </w:pPr>
            <w:r>
              <w:rPr/>
              <w:t>Allowance for losses on auto title loans:</w:t>
            </w:r>
          </w:p>
        </w:tc>
      </w:tr>
      <w:tr>
        <w:trPr/>
        <w:tc>
          <w:tcPr>
            <w:tcW w:w="2516" w:type="dxa"/>
            <w:tcBorders/>
            <w:shd w:fill="auto" w:val="clear"/>
            <w:vAlign w:val="bottom"/>
          </w:tcPr>
          <w:p>
            <w:pPr>
              <w:pStyle w:val="TableContents"/>
              <w:spacing w:before="0" w:after="0"/>
              <w:ind w:left="450" w:right="0" w:hanging="225"/>
              <w:rPr/>
            </w:pPr>
            <w:r>
              <w:rPr/>
              <w:t>Year ended September 30, 2010</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305</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2,445</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left"/>
              <w:rPr/>
            </w:pPr>
            <w:r>
              <w:rPr/>
              <w:t>$</w:t>
            </w:r>
          </w:p>
        </w:tc>
        <w:tc>
          <w:tcPr>
            <w:tcW w:w="814" w:type="dxa"/>
            <w:tcBorders/>
            <w:shd w:fill="auto" w:val="clear"/>
            <w:vAlign w:val="bottom"/>
          </w:tcPr>
          <w:p>
            <w:pPr>
              <w:pStyle w:val="TableContents"/>
              <w:spacing w:before="0" w:after="283"/>
              <w:jc w:val="right"/>
              <w:rPr/>
            </w:pPr>
            <w:r>
              <w:rPr/>
              <w:t></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997" w:type="dxa"/>
            <w:tcBorders/>
            <w:shd w:fill="auto" w:val="clear"/>
            <w:vAlign w:val="bottom"/>
          </w:tcPr>
          <w:p>
            <w:pPr>
              <w:pStyle w:val="TableContents"/>
              <w:spacing w:before="0" w:after="283"/>
              <w:jc w:val="right"/>
              <w:rPr/>
            </w:pPr>
            <w:r>
              <w:rPr/>
              <w:t>1,548</w:t>
            </w:r>
          </w:p>
        </w:tc>
        <w:tc>
          <w:tcPr>
            <w:tcW w:w="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1,202</w:t>
            </w:r>
          </w:p>
        </w:tc>
        <w:tc>
          <w:tcPr>
            <w:tcW w:w="105" w:type="dxa"/>
            <w:tcBorders/>
            <w:shd w:fill="auto"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2516" w:type="dxa"/>
            <w:tcBorders/>
            <w:shd w:fill="CCEEFF" w:val="clear"/>
            <w:vAlign w:val="bottom"/>
          </w:tcPr>
          <w:p>
            <w:pPr>
              <w:pStyle w:val="TableContents"/>
              <w:spacing w:before="0" w:after="0"/>
              <w:ind w:left="450" w:right="0" w:hanging="225"/>
              <w:rPr/>
            </w:pPr>
            <w:r>
              <w:rPr/>
              <w:t>Year ended September 30, 2009</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307</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left"/>
              <w:rPr/>
            </w:pPr>
            <w:r>
              <w:rPr/>
              <w:t>$</w:t>
            </w:r>
          </w:p>
        </w:tc>
        <w:tc>
          <w:tcPr>
            <w:tcW w:w="814" w:type="dxa"/>
            <w:tcBorders/>
            <w:shd w:fill="CCEEFF" w:val="clear"/>
            <w:vAlign w:val="bottom"/>
          </w:tcPr>
          <w:p>
            <w:pPr>
              <w:pStyle w:val="TableContents"/>
              <w:spacing w:before="0" w:after="283"/>
              <w:jc w:val="right"/>
              <w:rPr/>
            </w:pPr>
            <w:r>
              <w:rPr/>
              <w:t></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997" w:type="dxa"/>
            <w:tcBorders/>
            <w:shd w:fill="CCEEFF" w:val="clear"/>
            <w:vAlign w:val="bottom"/>
          </w:tcPr>
          <w:p>
            <w:pPr>
              <w:pStyle w:val="TableContents"/>
              <w:spacing w:before="0" w:after="283"/>
              <w:jc w:val="right"/>
              <w:rPr/>
            </w:pPr>
            <w:r>
              <w:rPr/>
              <w:t>2</w:t>
            </w:r>
          </w:p>
        </w:tc>
        <w:tc>
          <w:tcPr>
            <w:tcW w:w="91"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305</w:t>
            </w:r>
          </w:p>
        </w:tc>
        <w:tc>
          <w:tcPr>
            <w:tcW w:w="105" w:type="dxa"/>
            <w:tcBorders/>
            <w:shd w:fill="CCEEFF" w:val="clear"/>
            <w:vAlign w:val="bottom"/>
          </w:tcPr>
          <w:p>
            <w:pPr>
              <w:pStyle w:val="TableContents"/>
              <w:spacing w:before="0" w:after="283"/>
              <w:rPr/>
            </w:pPr>
            <w:r>
              <w:rPr/>
              <w:t> </w:t>
            </w:r>
          </w:p>
        </w:tc>
      </w:tr>
      <w:tr>
        <w:trPr/>
        <w:tc>
          <w:tcPr>
            <w:tcW w:w="2516" w:type="dxa"/>
            <w:tcBorders/>
            <w:shd w:fill="auto" w:val="clear"/>
            <w:vAlign w:val="center"/>
          </w:tcPr>
          <w:p>
            <w:pPr>
              <w:pStyle w:val="TableContents"/>
              <w:spacing w:before="0" w:after="0"/>
              <w:ind w:left="225" w:right="0" w:hanging="225"/>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1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2" w:name="114"/>
      <w:bookmarkEnd w:id="22"/>
      <w:r>
        <w:rPr>
          <w:rFonts w:ascii="Times New Roman;Times;serif" w:hAnsi="Times New Roman;Times;serif"/>
          <w:b/>
          <w:smallCaps/>
          <w:sz w:val="17"/>
        </w:rPr>
        <w:t>Item 9. Changes in and Disagreements with Accountants on Accounting and Financial Disclosure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p>
      <w:pPr>
        <w:pStyle w:val="TextBody"/>
        <w:spacing w:before="240" w:after="283"/>
        <w:jc w:val="left"/>
        <w:rPr>
          <w:rFonts w:ascii="Times New Roman;Times;serif" w:hAnsi="Times New Roman;Times;serif"/>
          <w:sz w:val="17"/>
        </w:rPr>
      </w:pPr>
      <w:bookmarkStart w:id="23" w:name="115"/>
      <w:bookmarkEnd w:id="23"/>
      <w:r>
        <w:rPr>
          <w:rFonts w:ascii="Times New Roman;Times;serif" w:hAnsi="Times New Roman;Times;serif"/>
          <w:b/>
          <w:smallCaps/>
          <w:sz w:val="17"/>
        </w:rPr>
        <w:t>Item 9A. Controls and Procedures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i/>
          <w:sz w:val="17"/>
        </w:rPr>
        <w:t>Evaluation of Disclosure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September 30, 2010. Based on that evaluation, our Chief Executive Officer and Chief Financial Officer concluded that our disclosure controls and procedures were effective as of September 30, 2010. </w:t>
      </w:r>
    </w:p>
    <w:p>
      <w:pPr>
        <w:pStyle w:val="TextBody"/>
        <w:spacing w:before="360" w:after="283"/>
        <w:jc w:val="center"/>
        <w:rPr>
          <w:rFonts w:ascii="Times New Roman;Times;serif" w:hAnsi="Times New Roman;Times;serif"/>
          <w:sz w:val="17"/>
        </w:rPr>
      </w:pPr>
      <w:r>
        <w:rPr>
          <w:rFonts w:ascii="Times New Roman;Times;serif" w:hAnsi="Times New Roman;Times;serif"/>
          <w:b/>
          <w:i/>
          <w:sz w:val="17"/>
        </w:rPr>
        <w:t>Managements Report on Internal Control Over Financial Reporting</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Management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Securities Exchange Act) is a process designed to provide reasonable assurance regarding the reliability of financial reporting and the preparation of financial statements for external reporting purposes in accordance with generally accepted accounting principles in the United States of America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Under the supervision and with the participation of our Chief Executive Officer and Chief Financial Officer, our management has assessed the effectiveness of our internal control over financial reporting as of September 30, 2010. To make this assessment, management utilized the criteria for effective internal control over financial reporting described in Internal Control  Integrated Framework issued by the Committee of Sponsoring Organizations of the Treadway Commission. Based on this assessment, management has concluded that our internal control over financial reporting was effective as of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internal control over financial reporting as of September 30, 2010 has been audited by BDO USA, LLP, the independent registered public accounting firm that audited our financial statements included in this report, and their report follows immediately. </w:t>
      </w:r>
    </w:p>
    <w:p>
      <w:pPr>
        <w:pStyle w:val="TextBody"/>
        <w:jc w:val="center"/>
        <w:rPr>
          <w:rFonts w:ascii="Times New Roman;Times;serif" w:hAnsi="Times New Roman;Times;serif"/>
          <w:sz w:val="17"/>
        </w:rPr>
      </w:pPr>
      <w:r>
        <w:rPr>
          <w:rFonts w:ascii="Times New Roman;Times;serif" w:hAnsi="Times New Roman;Times;serif"/>
          <w:sz w:val="17"/>
        </w:rPr>
        <w:t xml:space="preserve">82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Report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Board of Directors and Stockholders</w:t>
        <w:br/>
        <w:t>EZCORP, Inc.</w:t>
        <w:br/>
        <w:t xml:space="preserve">Austin,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audited EZCORP, Inc.s internal control over financial reporting as of September 30, 2010, based on criteria established in </w:t>
      </w:r>
      <w:r>
        <w:rPr>
          <w:rFonts w:ascii="Times New Roman;Times;serif" w:hAnsi="Times New Roman;Times;serif"/>
          <w:i/>
          <w:sz w:val="17"/>
        </w:rPr>
        <w:t xml:space="preserve">Internal Control  Integrated Framework </w:t>
      </w:r>
      <w:r>
        <w:rPr>
          <w:rFonts w:ascii="Times New Roman;Times;serif" w:hAnsi="Times New Roman;Times;serif"/>
          <w:sz w:val="17"/>
        </w:rPr>
        <w:t xml:space="preserve">issued by the Committee of Sponsoring Organizations of the Treadway Commission (the COSO criteria). EZCORP, Inc.s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 our opinion, EZCORP, Inc. maintained, in all material respects, effective internal control over financial reporting as of September 30, 2010, based on the COSO criteria</w:t>
      </w:r>
      <w:r>
        <w:rPr>
          <w:rFonts w:ascii="Times New Roman;Times;serif" w:hAnsi="Times New Roman;Times;serif"/>
          <w:i/>
          <w:sz w:val="17"/>
        </w:rPr>
        <w: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also have audited, in accordance with the standards of the Public Company Accounting Oversight Board (United States), the consolidated balance sheets of EZCORP, Inc. as of September 30, 2010 and 2009 and the related consolidated statements of operations, stockholders equity, and cash flows for each of the three years in the period ended September 30, 2010. We have also audited the financial statement schedule listed in the index at item 15(a)(2). Our report dated November 24, 2010 expressed an unqualified opinion thereon.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BDO USA,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Dallas, Texas</w:t>
        <w:br/>
        <w:t xml:space="preserve">November 24, 2010 </w:t>
      </w:r>
    </w:p>
    <w:p>
      <w:pPr>
        <w:pStyle w:val="TextBody"/>
        <w:jc w:val="center"/>
        <w:rPr>
          <w:rFonts w:ascii="Times New Roman;Times;serif" w:hAnsi="Times New Roman;Times;serif"/>
          <w:sz w:val="17"/>
        </w:rPr>
      </w:pPr>
      <w:r>
        <w:rPr>
          <w:rFonts w:ascii="Times New Roman;Times;serif" w:hAnsi="Times New Roman;Times;serif"/>
          <w:sz w:val="17"/>
        </w:rPr>
        <w:t xml:space="preserve">83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Changes in Internal Control Over Financial Reporting</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were no changes in our internal control over financial reporting during the fourth quarter of fiscal 2010 that have materially affected, or are reasonably likely to materially affect, our internal control over financial reporting.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Inherent Limitations on Internal Controls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 </w:t>
      </w:r>
    </w:p>
    <w:tbl>
      <w:tblPr>
        <w:tblW w:w="5000" w:type="pct"/>
        <w:jc w:val="left"/>
        <w:tblInd w:w="0" w:type="dxa"/>
        <w:tblCellMar>
          <w:top w:w="0" w:type="dxa"/>
          <w:left w:w="0" w:type="dxa"/>
          <w:bottom w:w="0" w:type="dxa"/>
          <w:right w:w="0" w:type="dxa"/>
        </w:tblCellMar>
      </w:tblPr>
      <w:tblGrid>
        <w:gridCol w:w="200"/>
        <w:gridCol w:w="124"/>
        <w:gridCol w:w="9881"/>
      </w:tblGrid>
      <w:tr>
        <w:trPr/>
        <w:tc>
          <w:tcPr>
            <w:tcW w:w="200" w:type="dxa"/>
            <w:tcBorders/>
            <w:shd w:fill="auto" w:val="clear"/>
          </w:tcPr>
          <w:p>
            <w:pPr>
              <w:pStyle w:val="TableContents"/>
              <w:spacing w:before="0" w:after="283"/>
              <w:jc w:val="left"/>
              <w:rPr>
                <w:b/>
              </w:rPr>
            </w:pPr>
            <w:r>
              <w:rPr>
                <w:b/>
              </w:rPr>
              <w:t></w:t>
            </w:r>
          </w:p>
        </w:tc>
        <w:tc>
          <w:tcPr>
            <w:tcW w:w="124"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Judgments in decision-making can be faulty, and control and process breakdowns can occur because of simple errors or mistakes.</w:t>
            </w:r>
          </w:p>
        </w:tc>
      </w:tr>
    </w:tbl>
    <w:tbl>
      <w:tblPr>
        <w:tblW w:w="5000" w:type="pct"/>
        <w:jc w:val="left"/>
        <w:tblInd w:w="0" w:type="dxa"/>
        <w:tblCellMar>
          <w:top w:w="0" w:type="dxa"/>
          <w:left w:w="0" w:type="dxa"/>
          <w:bottom w:w="0" w:type="dxa"/>
          <w:right w:w="0" w:type="dxa"/>
        </w:tblCellMar>
      </w:tblPr>
      <w:tblGrid>
        <w:gridCol w:w="208"/>
        <w:gridCol w:w="127"/>
        <w:gridCol w:w="9870"/>
      </w:tblGrid>
      <w:tr>
        <w:trPr/>
        <w:tc>
          <w:tcPr>
            <w:tcW w:w="208" w:type="dxa"/>
            <w:tcBorders/>
            <w:shd w:fill="auto" w:val="clear"/>
          </w:tcPr>
          <w:p>
            <w:pPr>
              <w:pStyle w:val="TableContents"/>
              <w:spacing w:before="0" w:after="283"/>
              <w:jc w:val="left"/>
              <w:rPr>
                <w:b/>
              </w:rPr>
            </w:pPr>
            <w:r>
              <w:rPr>
                <w:b/>
              </w:rPr>
              <w:t></w:t>
            </w:r>
          </w:p>
        </w:tc>
        <w:tc>
          <w:tcPr>
            <w:tcW w:w="127"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Controls can be circumvented by individuals, acting alone or in collusion with others, or by management override.</w:t>
            </w:r>
          </w:p>
        </w:tc>
      </w:tr>
    </w:tbl>
    <w:tbl>
      <w:tblPr>
        <w:tblW w:w="5000" w:type="pct"/>
        <w:jc w:val="left"/>
        <w:tblInd w:w="0" w:type="dxa"/>
        <w:tblCellMar>
          <w:top w:w="0" w:type="dxa"/>
          <w:left w:w="0" w:type="dxa"/>
          <w:bottom w:w="0" w:type="dxa"/>
          <w:right w:w="0" w:type="dxa"/>
        </w:tblCellMar>
      </w:tblPr>
      <w:tblGrid>
        <w:gridCol w:w="201"/>
        <w:gridCol w:w="126"/>
        <w:gridCol w:w="9878"/>
      </w:tblGrid>
      <w:tr>
        <w:trPr/>
        <w:tc>
          <w:tcPr>
            <w:tcW w:w="201"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The design of any system of controls is based in part on certain assumptions about the likelihood of future events, and there can be no assurance that any design will succeed in achieving its stated goals under all potential future conditions.</w:t>
            </w:r>
          </w:p>
        </w:tc>
      </w:tr>
    </w:tbl>
    <w:tbl>
      <w:tblPr>
        <w:tblW w:w="5000" w:type="pct"/>
        <w:jc w:val="left"/>
        <w:tblInd w:w="0" w:type="dxa"/>
        <w:tblCellMar>
          <w:top w:w="0" w:type="dxa"/>
          <w:left w:w="0" w:type="dxa"/>
          <w:bottom w:w="0" w:type="dxa"/>
          <w:right w:w="0" w:type="dxa"/>
        </w:tblCellMar>
      </w:tblPr>
      <w:tblGrid>
        <w:gridCol w:w="203"/>
        <w:gridCol w:w="126"/>
        <w:gridCol w:w="9876"/>
      </w:tblGrid>
      <w:tr>
        <w:trPr/>
        <w:tc>
          <w:tcPr>
            <w:tcW w:w="203"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76" w:type="dxa"/>
            <w:tcBorders/>
            <w:shd w:fill="auto" w:val="clear"/>
          </w:tcPr>
          <w:p>
            <w:pPr>
              <w:pStyle w:val="TableContents"/>
              <w:spacing w:before="0" w:after="283"/>
              <w:rPr/>
            </w:pPr>
            <w:r>
              <w:rPr/>
              <w:t>Over time, controls may become inadequate because of changes in conditions or deterioration in the degree of compliance with associated policies or procedures.</w:t>
            </w:r>
          </w:p>
        </w:tc>
      </w:tr>
    </w:tbl>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The design of a control system must reflect the fact that resources are constrained, and the benefits of controls must be considered relative to their costs.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of the inherent limitations in all control systems, no evaluation of controls can provide absolute assurance that all control issues and instances of fraud, if any, have been detected. </w:t>
      </w:r>
    </w:p>
    <w:p>
      <w:pPr>
        <w:pStyle w:val="TextBody"/>
        <w:spacing w:before="120" w:after="283"/>
        <w:jc w:val="left"/>
        <w:rPr>
          <w:rFonts w:ascii="Times New Roman;Times;serif" w:hAnsi="Times New Roman;Times;serif"/>
          <w:sz w:val="17"/>
        </w:rPr>
      </w:pPr>
      <w:bookmarkStart w:id="24" w:name="116"/>
      <w:bookmarkEnd w:id="24"/>
      <w:r>
        <w:rPr>
          <w:rFonts w:ascii="Times New Roman;Times;serif" w:hAnsi="Times New Roman;Times;serif"/>
          <w:b/>
          <w:smallCaps/>
          <w:sz w:val="17"/>
        </w:rPr>
        <w:t>Item 9B. Other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p>
      <w:pPr>
        <w:pStyle w:val="TextBody"/>
        <w:jc w:val="center"/>
        <w:rPr>
          <w:rFonts w:ascii="Times New Roman;Times;serif" w:hAnsi="Times New Roman;Times;serif"/>
          <w:sz w:val="17"/>
        </w:rPr>
      </w:pPr>
      <w:r>
        <w:rPr>
          <w:rFonts w:ascii="Times New Roman;Times;serif" w:hAnsi="Times New Roman;Times;serif"/>
          <w:sz w:val="17"/>
        </w:rPr>
        <w:t xml:space="preserve">84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5" w:name="117"/>
      <w:bookmarkEnd w:id="25"/>
      <w:r>
        <w:rPr>
          <w:rFonts w:ascii="Times New Roman;Times;serif" w:hAnsi="Times New Roman;Times;serif"/>
          <w:b/>
          <w:sz w:val="17"/>
        </w:rPr>
        <w:t>PART III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26" w:name="118"/>
      <w:bookmarkEnd w:id="26"/>
      <w:r>
        <w:rPr>
          <w:rFonts w:ascii="Times New Roman;Times;serif" w:hAnsi="Times New Roman;Times;serif"/>
          <w:b/>
          <w:smallCaps/>
          <w:sz w:val="17"/>
        </w:rPr>
        <w:t>Item 10. Directors, Executive Officers and Corporate Governance</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Board of Directors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Set forth below are the names of the persons who, as of November 2, 2010, constituted our Board of Directors and their ages and committee assignments as of that date. </w:t>
      </w:r>
    </w:p>
    <w:tbl>
      <w:tblPr>
        <w:tblW w:w="5000" w:type="pct"/>
        <w:jc w:val="center"/>
        <w:tblInd w:w="0" w:type="dxa"/>
        <w:tblCellMar>
          <w:top w:w="0" w:type="dxa"/>
          <w:left w:w="0" w:type="dxa"/>
          <w:bottom w:w="0" w:type="dxa"/>
          <w:right w:w="0" w:type="dxa"/>
        </w:tblCellMar>
      </w:tblPr>
      <w:tblGrid>
        <w:gridCol w:w="4082"/>
        <w:gridCol w:w="510"/>
        <w:gridCol w:w="509"/>
        <w:gridCol w:w="510"/>
        <w:gridCol w:w="4594"/>
      </w:tblGrid>
      <w:tr>
        <w:trPr/>
        <w:tc>
          <w:tcPr>
            <w:tcW w:w="408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082"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510" w:type="dxa"/>
            <w:tcBorders/>
            <w:shd w:fill="auto" w:val="clear"/>
            <w:vAlign w:val="bottom"/>
          </w:tcPr>
          <w:p>
            <w:pPr>
              <w:pStyle w:val="TableContents"/>
              <w:spacing w:before="0" w:after="283"/>
              <w:rPr/>
            </w:pPr>
            <w:r>
              <w:rPr/>
              <w:t> </w:t>
            </w:r>
          </w:p>
        </w:tc>
        <w:tc>
          <w:tcPr>
            <w:tcW w:w="509" w:type="dxa"/>
            <w:tcBorders>
              <w:bottom w:val="single" w:sz="2" w:space="0" w:color="000000"/>
            </w:tcBorders>
            <w:shd w:fill="auto" w:val="clear"/>
            <w:tcMar>
              <w:bottom w:w="28" w:type="dxa"/>
            </w:tcMar>
            <w:vAlign w:val="bottom"/>
          </w:tcPr>
          <w:p>
            <w:pPr>
              <w:pStyle w:val="TableContents"/>
              <w:spacing w:before="0" w:after="283"/>
              <w:jc w:val="center"/>
              <w:rPr>
                <w:b/>
              </w:rPr>
            </w:pPr>
            <w:r>
              <w:rPr>
                <w:b/>
              </w:rPr>
              <w:t>Age</w:t>
            </w:r>
          </w:p>
        </w:tc>
        <w:tc>
          <w:tcPr>
            <w:tcW w:w="510" w:type="dxa"/>
            <w:tcBorders/>
            <w:shd w:fill="auto" w:val="clear"/>
            <w:vAlign w:val="bottom"/>
          </w:tcPr>
          <w:p>
            <w:pPr>
              <w:pStyle w:val="TableContents"/>
              <w:spacing w:before="0" w:after="283"/>
              <w:rPr/>
            </w:pPr>
            <w:r>
              <w:rPr/>
              <w:t> </w:t>
            </w:r>
          </w:p>
        </w:tc>
        <w:tc>
          <w:tcPr>
            <w:tcW w:w="4594" w:type="dxa"/>
            <w:tcBorders>
              <w:bottom w:val="single" w:sz="2" w:space="0" w:color="000000"/>
            </w:tcBorders>
            <w:shd w:fill="auto" w:val="clear"/>
            <w:tcMar>
              <w:bottom w:w="28" w:type="dxa"/>
            </w:tcMar>
            <w:vAlign w:val="bottom"/>
          </w:tcPr>
          <w:p>
            <w:pPr>
              <w:pStyle w:val="TableContents"/>
              <w:spacing w:before="0" w:after="283"/>
              <w:jc w:val="left"/>
              <w:rPr>
                <w:b/>
              </w:rPr>
            </w:pPr>
            <w:r>
              <w:rPr>
                <w:b/>
              </w:rPr>
              <w:t>Committees</w:t>
            </w:r>
          </w:p>
        </w:tc>
      </w:tr>
      <w:tr>
        <w:trPr/>
        <w:tc>
          <w:tcPr>
            <w:tcW w:w="4082" w:type="dxa"/>
            <w:tcBorders/>
            <w:shd w:fill="auto" w:val="clear"/>
            <w:vAlign w:val="bottom"/>
          </w:tcPr>
          <w:p>
            <w:pPr>
              <w:pStyle w:val="TableContents"/>
              <w:spacing w:before="0" w:after="0"/>
              <w:ind w:left="225" w:right="0" w:hanging="225"/>
              <w:rPr/>
            </w:pPr>
            <w:r>
              <w:rPr/>
              <w:t>Sterling B. Brinkley (Chairman)</w:t>
            </w:r>
          </w:p>
        </w:tc>
        <w:tc>
          <w:tcPr>
            <w:tcW w:w="51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center"/>
              <w:rPr/>
            </w:pPr>
            <w:r>
              <w:rPr/>
              <w:t>58</w:t>
            </w:r>
          </w:p>
        </w:tc>
        <w:tc>
          <w:tcPr>
            <w:tcW w:w="510"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w:t>
            </w:r>
          </w:p>
        </w:tc>
      </w:tr>
      <w:tr>
        <w:trPr/>
        <w:tc>
          <w:tcPr>
            <w:tcW w:w="4082" w:type="dxa"/>
            <w:tcBorders/>
            <w:shd w:fill="auto" w:val="clear"/>
            <w:vAlign w:val="bottom"/>
          </w:tcPr>
          <w:p>
            <w:pPr>
              <w:pStyle w:val="TableContents"/>
              <w:spacing w:before="0" w:after="0"/>
              <w:ind w:left="225" w:right="0" w:hanging="225"/>
              <w:rPr/>
            </w:pPr>
            <w:r>
              <w:rPr/>
              <w:t>Paul E. Rothamel</w:t>
            </w:r>
          </w:p>
        </w:tc>
        <w:tc>
          <w:tcPr>
            <w:tcW w:w="51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center"/>
              <w:rPr/>
            </w:pPr>
            <w:r>
              <w:rPr/>
              <w:t>46</w:t>
            </w:r>
          </w:p>
        </w:tc>
        <w:tc>
          <w:tcPr>
            <w:tcW w:w="510"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w:t>
            </w:r>
          </w:p>
        </w:tc>
      </w:tr>
      <w:tr>
        <w:trPr/>
        <w:tc>
          <w:tcPr>
            <w:tcW w:w="4082" w:type="dxa"/>
            <w:tcBorders/>
            <w:shd w:fill="auto" w:val="clear"/>
            <w:vAlign w:val="bottom"/>
          </w:tcPr>
          <w:p>
            <w:pPr>
              <w:pStyle w:val="TableContents"/>
              <w:spacing w:before="0" w:after="0"/>
              <w:ind w:left="225" w:right="0" w:hanging="225"/>
              <w:rPr/>
            </w:pPr>
            <w:r>
              <w:rPr/>
              <w:t>Joseph J. Beal</w:t>
            </w:r>
          </w:p>
        </w:tc>
        <w:tc>
          <w:tcPr>
            <w:tcW w:w="51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center"/>
              <w:rPr/>
            </w:pPr>
            <w:r>
              <w:rPr/>
              <w:t>65</w:t>
            </w:r>
          </w:p>
        </w:tc>
        <w:tc>
          <w:tcPr>
            <w:tcW w:w="510"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Compensation</w:t>
            </w:r>
          </w:p>
        </w:tc>
      </w:tr>
      <w:tr>
        <w:trPr/>
        <w:tc>
          <w:tcPr>
            <w:tcW w:w="4082" w:type="dxa"/>
            <w:tcBorders/>
            <w:shd w:fill="auto" w:val="clear"/>
            <w:vAlign w:val="bottom"/>
          </w:tcPr>
          <w:p>
            <w:pPr>
              <w:pStyle w:val="TableContents"/>
              <w:spacing w:before="0" w:after="0"/>
              <w:ind w:left="225" w:right="0" w:hanging="225"/>
              <w:rPr/>
            </w:pPr>
            <w:r>
              <w:rPr/>
              <w:t>Pablo Lagos Espinosa</w:t>
            </w:r>
          </w:p>
        </w:tc>
        <w:tc>
          <w:tcPr>
            <w:tcW w:w="51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center"/>
              <w:rPr/>
            </w:pPr>
            <w:r>
              <w:rPr/>
              <w:t>55</w:t>
            </w:r>
          </w:p>
        </w:tc>
        <w:tc>
          <w:tcPr>
            <w:tcW w:w="510"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Audit</w:t>
            </w:r>
          </w:p>
        </w:tc>
      </w:tr>
      <w:tr>
        <w:trPr/>
        <w:tc>
          <w:tcPr>
            <w:tcW w:w="4082" w:type="dxa"/>
            <w:tcBorders/>
            <w:shd w:fill="auto" w:val="clear"/>
            <w:vAlign w:val="bottom"/>
          </w:tcPr>
          <w:p>
            <w:pPr>
              <w:pStyle w:val="TableContents"/>
              <w:spacing w:before="0" w:after="0"/>
              <w:ind w:left="225" w:right="0" w:hanging="225"/>
              <w:rPr/>
            </w:pPr>
            <w:r>
              <w:rPr/>
              <w:t>William C. Love</w:t>
            </w:r>
          </w:p>
        </w:tc>
        <w:tc>
          <w:tcPr>
            <w:tcW w:w="51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center"/>
              <w:rPr/>
            </w:pPr>
            <w:r>
              <w:rPr/>
              <w:t>61</w:t>
            </w:r>
          </w:p>
        </w:tc>
        <w:tc>
          <w:tcPr>
            <w:tcW w:w="510"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Audit (Chair)</w:t>
            </w:r>
          </w:p>
        </w:tc>
      </w:tr>
      <w:tr>
        <w:trPr/>
        <w:tc>
          <w:tcPr>
            <w:tcW w:w="4082" w:type="dxa"/>
            <w:tcBorders/>
            <w:shd w:fill="auto" w:val="clear"/>
            <w:vAlign w:val="bottom"/>
          </w:tcPr>
          <w:p>
            <w:pPr>
              <w:pStyle w:val="TableContents"/>
              <w:spacing w:before="0" w:after="0"/>
              <w:ind w:left="225" w:right="0" w:hanging="225"/>
              <w:rPr/>
            </w:pPr>
            <w:r>
              <w:rPr/>
              <w:t>Thomas C. Roberts (Lead Director)</w:t>
            </w:r>
          </w:p>
        </w:tc>
        <w:tc>
          <w:tcPr>
            <w:tcW w:w="51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center"/>
              <w:rPr/>
            </w:pPr>
            <w:r>
              <w:rPr/>
              <w:t>68</w:t>
            </w:r>
          </w:p>
        </w:tc>
        <w:tc>
          <w:tcPr>
            <w:tcW w:w="510"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Audit, Compensation</w:t>
            </w:r>
          </w:p>
        </w:tc>
      </w:tr>
      <w:tr>
        <w:trPr/>
        <w:tc>
          <w:tcPr>
            <w:tcW w:w="4082" w:type="dxa"/>
            <w:tcBorders/>
            <w:shd w:fill="auto" w:val="clear"/>
            <w:vAlign w:val="bottom"/>
          </w:tcPr>
          <w:p>
            <w:pPr>
              <w:pStyle w:val="TableContents"/>
              <w:spacing w:before="0" w:after="0"/>
              <w:ind w:left="225" w:right="0" w:hanging="225"/>
              <w:rPr/>
            </w:pPr>
            <w:r>
              <w:rPr/>
              <w:t>Richard D. Sage</w:t>
            </w:r>
          </w:p>
        </w:tc>
        <w:tc>
          <w:tcPr>
            <w:tcW w:w="51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center"/>
              <w:rPr/>
            </w:pPr>
            <w:r>
              <w:rPr/>
              <w:t>70</w:t>
            </w:r>
          </w:p>
        </w:tc>
        <w:tc>
          <w:tcPr>
            <w:tcW w:w="510"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left"/>
              <w:rPr/>
            </w:pPr>
            <w:r>
              <w:rPr/>
              <w:t>Compensation (Chair)</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Director Qualifications </w:t>
      </w:r>
      <w:r>
        <w:rPr>
          <w:rFonts w:ascii="Times New Roman;Times;serif" w:hAnsi="Times New Roman;Times;serif"/>
          <w:sz w:val="17"/>
        </w:rPr>
        <w:t xml:space="preserve"> The Board believes that individuals who serve on the Board should have demonstrated notable or significant achievements in 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 </w:t>
      </w:r>
    </w:p>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Leadership Experience </w:t>
            </w:r>
            <w:r>
              <w:rPr/>
              <w:t> Our directors should demonstrate extraordinary leadership qualities. Strong leaders bring vision, strategic agility, diverse and 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Finance Experience  </w:t>
            </w:r>
            <w:r>
              <w:rPr/>
              <w:t>We believe that all directors should possess an understanding of finance and related reporting processes.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Strategically Relevant Experience  </w:t>
            </w:r>
            <w:r>
              <w:rPr/>
              <w:t>Our directors should have business experience that is relevant to our strategic goals and objectives, including 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Government Experience </w:t>
            </w:r>
            <w:r>
              <w:rPr/>
              <w:t> Our business is subject to a variety of legislative and regulatory risks. Accordingly, we value experience in the legislative, judicial or regulatory branches of government or government relations.</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Biographical Information  </w:t>
      </w:r>
      <w:r>
        <w:rPr>
          <w:rFonts w:ascii="Times New Roman;Times;serif" w:hAnsi="Times New Roman;Times;serif"/>
          <w:sz w:val="17"/>
        </w:rPr>
        <w:t xml:space="preserve">Set forth below is current biographical information about our directors, including the qualifications, experience and skills that make them suitable for service as a director.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Sterling B. Brinkley </w:t>
            </w:r>
            <w:r>
              <w:rPr/>
              <w:t> Mr. Brinkley serves as our Chairman of the Board of Directors. He has served as either Chairman of the Board of Directors or Chairman of the Executive Committee of the Board of Directors since 1989. Mr. Brinkley also serves as a director and Deputy Chairman of Albemarle &amp; Bond Holdings PLC. From 1988 until March 2005, Mr. Brinkley served as Chairman of the Board, Chairman of the Executive Committee or Chief Executive Officer of Crescent Jewelers, Inc., and from 1990 until December 2003, he served as Chairman of the Board or Chairman of the Executive Committee of Friedmans, Inc. Both Crescent Jewelers, Inc. and Friedmans, Inc. were affiliates of MS Pawn Limited Partnership, the owner of all of our outstanding Class B Voting Common Stock. Crescent Jewelers filed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for Chapter 11 bankruptcy protection in August 2004, and Friedmans, Inc. filed for Chapter 11 bankruptcy protection in January 2005.</w:t>
            </w:r>
          </w:p>
        </w:tc>
      </w:tr>
    </w:tbl>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Director qualifications: leadership experience; broad business experience; financial experience; international experience and global perspective; industry knowledge; experience in developing growth strategies; understanding of our unique business environment.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Paul E. Rothamel </w:t>
            </w:r>
            <w:r>
              <w:rPr/>
              <w:t> Mr. Rothamel is our President and Chief Executive Officer and also serves as a director. Mr. Rothamel joined us in September 2009 as Executive Vice President and Chief Operating Officer, became President in February 2010 and became Chief Executive Officer in November 2010. Prior to joining us, Mr. Rothamel was the President and Chief Executive Officer of Pamida, a privately held company that owns and operates more than 200 general merchandise and pharmacy stores. Mr. Rothamel joined Pamida in 1999 as Senior Vice President, Store Operations, was promoted to the position of Senior Vice President, Operations in 2005 and served in that capacity until assuming the President and Chief Executive Officer position in November 2007. From 1997 to 1999, Mr. Rothamel held the positions of Regional Vice President, Store Operations and District Team Leader at ShopKo Stores, Inc., also a privately-held owner and operator of general merchandise and pharmacy stores and an affiliate of Pamida. Before joining ShopKo, Mr. Rothamel held various operational positions with Target Stores, Inc. and Venture Stores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Director qualifications: leadership, chief executive officer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Joseph J. Beal </w:t>
            </w:r>
            <w:r>
              <w:rPr/>
              <w:t> Mr. Beal has served as a director since September 2009 and serves on the Compensation Committee. Mr. Beal also serves as a director of Cash Converters International Limited. Until his retirement in 2008, Mr. Beal was the General Manager and Chief Executive Officer of the Lower Colorado River Authority. Prior to joining the LCRA in 1995, he was the Senior Vice President and Chief Operating Officer for Espey Hudson &amp; Associates, an international engineering and environmental consulting firm based in Austin, Texas.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Director qualifications: leadership, chief executive officer and executive management experience; risk management experience; financial experience; experience in developing, implementing and managing strategic plans; personnel development; deep understanding of conducting business in highly regulated environments; legislative and government relations experience.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i/>
              </w:rPr>
              <w:t xml:space="preserve">Pablo Lagos Espinosa  </w:t>
            </w:r>
            <w:r>
              <w:rPr/>
              <w:t>Mr. Lagos joined us as a director in October 2010 and is a member of the Audit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Residencial Puente de Piedra, a privately-held enterprise focused on developing affordable housing projects in and around Mexico City.</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William C. Love </w:t>
            </w:r>
            <w:r>
              <w:rPr/>
              <w:t> Mr. Love has served as a director since October 2008 and is Chair of the Audit Committee. Mr. Love also serves as a director of Cash Converters International Limited. Mr. Love is a Certified Public Accountant and Certified Valuation Analyst, and since January 1993 has practiced public accounting in the Austin, Texas based William C. Love accounting firm. From 1972 to 1993, Mr. Love worked with the accounting firm of KPMG Peat Marwick and its predecessors, including appointments as Partner in Charge of Audit, Partner in Charge of Tax and Managing Partner of its Austin, Texas office.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Director qualifications: leadership experience; broad business insight; accounting, tax and financial reporting expertise.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Thomas C. Roberts </w:t>
            </w:r>
            <w:r>
              <w:rPr/>
              <w:t> Mr. Roberts has served as a director since January 2005 and as our Lead Director since November 2008. He is a member of both the Audit Committee and the Compensation Committee. Mr. Roberts also serves as a director of Albemarle &amp; Bond Holdings PLC. Since 1990, Mr. Roberts has been a private investor and is currently Chairman of the Board of Directors of Pensco, Inc., a financial services company, having previously served as a senior executive (including Chief Financial Officer) of Schlumberger, Ltd. (1970 to 1985) and President and director of Control Data Computer Systems and Services (1985 to 1989).</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Director qualifications: leadership experience; chief financial officer, chief executive officer and general management experience in significant and complex multi-national environments; deep understanding of strategically important geographies and international markets; risk management experience; financial expertise; experience in developing, implementing and managing strategic plans, including international expansion; personnel development.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i/>
              </w:rPr>
              <w:t xml:space="preserve">Richard D. Sage </w:t>
            </w:r>
            <w:r>
              <w:rPr/>
              <w:t> Mr. Sage has served as a director since July 1995, and is Chair of the Compensation Committee. Since June 1993, he has been associated with Sage Law Offices in Miami, Florida. Mr. Sage was a director of Champion Healthcare Corporation from January 1995 to August 1996. He was a co-founder of AmeriHealth, Inc., which owned and managed hospitals, and served as its Treasurer from April 1983 to October 1995 and a director from April 1983 to December 1994.</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Director qualifications: leadership and executive management experience; broad business experience; industry knowledge; understanding of our unique business environment.</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Executive Officers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Set forth below are the name, age, position and biographical information of each of the persons serving as our executive officers as of November 2, 2010 except for Mr. Brinkley and Mr. Rothamel, whose biographical information is included under Board of Directors above. </w:t>
      </w:r>
    </w:p>
    <w:tbl>
      <w:tblPr>
        <w:tblW w:w="5000" w:type="pct"/>
        <w:jc w:val="center"/>
        <w:tblInd w:w="0" w:type="dxa"/>
        <w:tblCellMar>
          <w:top w:w="0" w:type="dxa"/>
          <w:left w:w="0" w:type="dxa"/>
          <w:bottom w:w="0" w:type="dxa"/>
          <w:right w:w="0" w:type="dxa"/>
        </w:tblCellMar>
      </w:tblPr>
      <w:tblGrid>
        <w:gridCol w:w="4098"/>
        <w:gridCol w:w="439"/>
        <w:gridCol w:w="207"/>
        <w:gridCol w:w="295"/>
        <w:gridCol w:w="208"/>
        <w:gridCol w:w="439"/>
        <w:gridCol w:w="4519"/>
      </w:tblGrid>
      <w:tr>
        <w:trPr/>
        <w:tc>
          <w:tcPr>
            <w:tcW w:w="409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519" w:type="dxa"/>
            <w:tcBorders/>
            <w:shd w:fill="auto" w:val="clear"/>
            <w:vAlign w:val="bottom"/>
          </w:tcPr>
          <w:p>
            <w:pPr>
              <w:pStyle w:val="TableContents"/>
              <w:spacing w:before="0" w:after="283"/>
              <w:rPr/>
            </w:pPr>
            <w:r>
              <w:rPr/>
              <w:t> </w:t>
            </w:r>
          </w:p>
        </w:tc>
      </w:tr>
      <w:tr>
        <w:trPr/>
        <w:tc>
          <w:tcPr>
            <w:tcW w:w="4098"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439" w:type="dxa"/>
            <w:tcBorders/>
            <w:shd w:fill="auto" w:val="clear"/>
            <w:vAlign w:val="bottom"/>
          </w:tcPr>
          <w:p>
            <w:pPr>
              <w:pStyle w:val="TableContents"/>
              <w:spacing w:before="0" w:after="283"/>
              <w:rPr/>
            </w:pPr>
            <w:r>
              <w:rPr/>
              <w:t> </w:t>
            </w:r>
          </w:p>
        </w:tc>
        <w:tc>
          <w:tcPr>
            <w:tcW w:w="71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Age</w:t>
            </w:r>
          </w:p>
        </w:tc>
        <w:tc>
          <w:tcPr>
            <w:tcW w:w="439" w:type="dxa"/>
            <w:tcBorders/>
            <w:shd w:fill="auto" w:val="clear"/>
            <w:vAlign w:val="bottom"/>
          </w:tcPr>
          <w:p>
            <w:pPr>
              <w:pStyle w:val="TableContents"/>
              <w:spacing w:before="0" w:after="283"/>
              <w:rPr/>
            </w:pPr>
            <w:r>
              <w:rPr/>
              <w:t> </w:t>
            </w:r>
          </w:p>
        </w:tc>
        <w:tc>
          <w:tcPr>
            <w:tcW w:w="4519" w:type="dxa"/>
            <w:tcBorders>
              <w:bottom w:val="single" w:sz="2" w:space="0" w:color="000000"/>
            </w:tcBorders>
            <w:shd w:fill="auto" w:val="clear"/>
            <w:tcMar>
              <w:bottom w:w="28" w:type="dxa"/>
            </w:tcMar>
            <w:vAlign w:val="bottom"/>
          </w:tcPr>
          <w:p>
            <w:pPr>
              <w:pStyle w:val="TableContents"/>
              <w:spacing w:before="0" w:after="283"/>
              <w:jc w:val="left"/>
              <w:rPr>
                <w:b/>
              </w:rPr>
            </w:pPr>
            <w:r>
              <w:rPr>
                <w:b/>
              </w:rPr>
              <w:t>Title</w:t>
            </w:r>
          </w:p>
        </w:tc>
      </w:tr>
      <w:tr>
        <w:trPr/>
        <w:tc>
          <w:tcPr>
            <w:tcW w:w="4098" w:type="dxa"/>
            <w:tcBorders/>
            <w:shd w:fill="auto" w:val="clear"/>
          </w:tcPr>
          <w:p>
            <w:pPr>
              <w:pStyle w:val="TableContents"/>
              <w:spacing w:before="0" w:after="0"/>
              <w:ind w:left="0" w:right="0" w:hanging="0"/>
              <w:rPr/>
            </w:pPr>
            <w:r>
              <w:rPr/>
              <w:t xml:space="preserve">Sterling B. Brinkley </w:t>
            </w:r>
          </w:p>
        </w:tc>
        <w:tc>
          <w:tcPr>
            <w:tcW w:w="439"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pPr>
            <w:r>
              <w:rPr/>
              <w:t> </w:t>
            </w:r>
          </w:p>
        </w:tc>
        <w:tc>
          <w:tcPr>
            <w:tcW w:w="295" w:type="dxa"/>
            <w:tcBorders/>
            <w:shd w:fill="auto" w:val="clear"/>
          </w:tcPr>
          <w:p>
            <w:pPr>
              <w:pStyle w:val="TableContents"/>
              <w:spacing w:before="0" w:after="283"/>
              <w:jc w:val="right"/>
              <w:rPr/>
            </w:pPr>
            <w:r>
              <w:rPr/>
              <w:t>58</w:t>
            </w:r>
          </w:p>
        </w:tc>
        <w:tc>
          <w:tcPr>
            <w:tcW w:w="208" w:type="dxa"/>
            <w:tcBorders/>
            <w:shd w:fill="auto" w:val="clear"/>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519" w:type="dxa"/>
            <w:tcBorders/>
            <w:shd w:fill="auto" w:val="clear"/>
          </w:tcPr>
          <w:p>
            <w:pPr>
              <w:pStyle w:val="TableContents"/>
              <w:spacing w:before="0" w:after="283"/>
              <w:jc w:val="left"/>
              <w:rPr/>
            </w:pPr>
            <w:r>
              <w:rPr/>
              <w:t>Chairman of the Board of Directors</w:t>
            </w:r>
          </w:p>
        </w:tc>
      </w:tr>
      <w:tr>
        <w:trPr/>
        <w:tc>
          <w:tcPr>
            <w:tcW w:w="4098" w:type="dxa"/>
            <w:tcBorders/>
            <w:shd w:fill="auto" w:val="clear"/>
          </w:tcPr>
          <w:p>
            <w:pPr>
              <w:pStyle w:val="TableContents"/>
              <w:spacing w:before="0" w:after="0"/>
              <w:ind w:left="0" w:right="0" w:hanging="0"/>
              <w:rPr/>
            </w:pPr>
            <w:r>
              <w:rPr/>
              <w:t xml:space="preserve">Paul E. Rothamel </w:t>
            </w:r>
          </w:p>
        </w:tc>
        <w:tc>
          <w:tcPr>
            <w:tcW w:w="439"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pPr>
            <w:r>
              <w:rPr/>
              <w:t> </w:t>
            </w:r>
          </w:p>
        </w:tc>
        <w:tc>
          <w:tcPr>
            <w:tcW w:w="295" w:type="dxa"/>
            <w:tcBorders/>
            <w:shd w:fill="auto" w:val="clear"/>
          </w:tcPr>
          <w:p>
            <w:pPr>
              <w:pStyle w:val="TableContents"/>
              <w:spacing w:before="0" w:after="283"/>
              <w:jc w:val="right"/>
              <w:rPr/>
            </w:pPr>
            <w:r>
              <w:rPr/>
              <w:t>46</w:t>
            </w:r>
          </w:p>
        </w:tc>
        <w:tc>
          <w:tcPr>
            <w:tcW w:w="208" w:type="dxa"/>
            <w:tcBorders/>
            <w:shd w:fill="auto" w:val="clear"/>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519" w:type="dxa"/>
            <w:tcBorders/>
            <w:shd w:fill="auto" w:val="clear"/>
          </w:tcPr>
          <w:p>
            <w:pPr>
              <w:pStyle w:val="TableContents"/>
              <w:spacing w:before="0" w:after="283"/>
              <w:jc w:val="left"/>
              <w:rPr/>
            </w:pPr>
            <w:r>
              <w:rPr/>
              <w:t>President and Chief Executive Officer</w:t>
            </w:r>
          </w:p>
        </w:tc>
      </w:tr>
      <w:tr>
        <w:trPr/>
        <w:tc>
          <w:tcPr>
            <w:tcW w:w="4098" w:type="dxa"/>
            <w:tcBorders/>
            <w:shd w:fill="auto" w:val="clear"/>
          </w:tcPr>
          <w:p>
            <w:pPr>
              <w:pStyle w:val="TableContents"/>
              <w:spacing w:before="0" w:after="0"/>
              <w:ind w:left="0" w:right="0" w:hanging="0"/>
              <w:rPr/>
            </w:pPr>
            <w:r>
              <w:rPr/>
              <w:t xml:space="preserve">Eric Fosse </w:t>
            </w:r>
          </w:p>
        </w:tc>
        <w:tc>
          <w:tcPr>
            <w:tcW w:w="439"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pPr>
            <w:r>
              <w:rPr/>
              <w:t> </w:t>
            </w:r>
          </w:p>
        </w:tc>
        <w:tc>
          <w:tcPr>
            <w:tcW w:w="295" w:type="dxa"/>
            <w:tcBorders/>
            <w:shd w:fill="auto" w:val="clear"/>
          </w:tcPr>
          <w:p>
            <w:pPr>
              <w:pStyle w:val="TableContents"/>
              <w:spacing w:before="0" w:after="283"/>
              <w:jc w:val="right"/>
              <w:rPr/>
            </w:pPr>
            <w:r>
              <w:rPr/>
              <w:t>47</w:t>
            </w:r>
          </w:p>
        </w:tc>
        <w:tc>
          <w:tcPr>
            <w:tcW w:w="208" w:type="dxa"/>
            <w:tcBorders/>
            <w:shd w:fill="auto" w:val="clear"/>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519" w:type="dxa"/>
            <w:tcBorders/>
            <w:shd w:fill="auto" w:val="clear"/>
          </w:tcPr>
          <w:p>
            <w:pPr>
              <w:pStyle w:val="TableContents"/>
              <w:spacing w:before="0" w:after="283"/>
              <w:jc w:val="left"/>
              <w:rPr/>
            </w:pPr>
            <w:r>
              <w:rPr/>
              <w:t>President, Pawn Americas</w:t>
            </w:r>
          </w:p>
        </w:tc>
      </w:tr>
      <w:tr>
        <w:trPr/>
        <w:tc>
          <w:tcPr>
            <w:tcW w:w="4098" w:type="dxa"/>
            <w:tcBorders/>
            <w:shd w:fill="auto" w:val="clear"/>
          </w:tcPr>
          <w:p>
            <w:pPr>
              <w:pStyle w:val="TableContents"/>
              <w:spacing w:before="0" w:after="0"/>
              <w:ind w:left="0" w:right="0" w:hanging="0"/>
              <w:rPr/>
            </w:pPr>
            <w:r>
              <w:rPr/>
              <w:t xml:space="preserve">Joe Borbely </w:t>
            </w:r>
          </w:p>
        </w:tc>
        <w:tc>
          <w:tcPr>
            <w:tcW w:w="439"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pPr>
            <w:r>
              <w:rPr/>
              <w:t> </w:t>
            </w:r>
          </w:p>
        </w:tc>
        <w:tc>
          <w:tcPr>
            <w:tcW w:w="295" w:type="dxa"/>
            <w:tcBorders/>
            <w:shd w:fill="auto" w:val="clear"/>
          </w:tcPr>
          <w:p>
            <w:pPr>
              <w:pStyle w:val="TableContents"/>
              <w:spacing w:before="0" w:after="283"/>
              <w:jc w:val="right"/>
              <w:rPr/>
            </w:pPr>
            <w:r>
              <w:rPr/>
              <w:t>52</w:t>
            </w:r>
          </w:p>
        </w:tc>
        <w:tc>
          <w:tcPr>
            <w:tcW w:w="208" w:type="dxa"/>
            <w:tcBorders/>
            <w:shd w:fill="auto" w:val="clear"/>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519" w:type="dxa"/>
            <w:tcBorders/>
            <w:shd w:fill="auto" w:val="clear"/>
          </w:tcPr>
          <w:p>
            <w:pPr>
              <w:pStyle w:val="TableContents"/>
              <w:spacing w:before="0" w:after="283"/>
              <w:jc w:val="left"/>
              <w:rPr/>
            </w:pPr>
            <w:r>
              <w:rPr/>
              <w:t>President, Signature Loans</w:t>
            </w:r>
          </w:p>
        </w:tc>
      </w:tr>
      <w:tr>
        <w:trPr/>
        <w:tc>
          <w:tcPr>
            <w:tcW w:w="4098" w:type="dxa"/>
            <w:tcBorders/>
            <w:shd w:fill="auto" w:val="clear"/>
          </w:tcPr>
          <w:p>
            <w:pPr>
              <w:pStyle w:val="TableContents"/>
              <w:spacing w:before="0" w:after="0"/>
              <w:ind w:left="0" w:right="0" w:hanging="0"/>
              <w:rPr/>
            </w:pPr>
            <w:r>
              <w:rPr/>
              <w:t xml:space="preserve">Mark Kuchenrither </w:t>
            </w:r>
          </w:p>
        </w:tc>
        <w:tc>
          <w:tcPr>
            <w:tcW w:w="439"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pPr>
            <w:r>
              <w:rPr/>
              <w:t> </w:t>
            </w:r>
          </w:p>
        </w:tc>
        <w:tc>
          <w:tcPr>
            <w:tcW w:w="295" w:type="dxa"/>
            <w:tcBorders/>
            <w:shd w:fill="auto" w:val="clear"/>
          </w:tcPr>
          <w:p>
            <w:pPr>
              <w:pStyle w:val="TableContents"/>
              <w:spacing w:before="0" w:after="283"/>
              <w:jc w:val="right"/>
              <w:rPr/>
            </w:pPr>
            <w:r>
              <w:rPr/>
              <w:t>48</w:t>
            </w:r>
          </w:p>
        </w:tc>
        <w:tc>
          <w:tcPr>
            <w:tcW w:w="208" w:type="dxa"/>
            <w:tcBorders/>
            <w:shd w:fill="auto" w:val="clear"/>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519" w:type="dxa"/>
            <w:tcBorders/>
            <w:shd w:fill="auto" w:val="clear"/>
          </w:tcPr>
          <w:p>
            <w:pPr>
              <w:pStyle w:val="TableContents"/>
              <w:spacing w:before="0" w:after="283"/>
              <w:jc w:val="left"/>
              <w:rPr/>
            </w:pPr>
            <w:r>
              <w:rPr/>
              <w:t>Senior Vice President, Strategic Development</w:t>
            </w:r>
          </w:p>
        </w:tc>
      </w:tr>
      <w:tr>
        <w:trPr/>
        <w:tc>
          <w:tcPr>
            <w:tcW w:w="4098" w:type="dxa"/>
            <w:tcBorders/>
            <w:shd w:fill="auto" w:val="clear"/>
          </w:tcPr>
          <w:p>
            <w:pPr>
              <w:pStyle w:val="TableContents"/>
              <w:spacing w:before="0" w:after="0"/>
              <w:ind w:left="0" w:right="0" w:hanging="0"/>
              <w:rPr/>
            </w:pPr>
            <w:r>
              <w:rPr/>
              <w:t xml:space="preserve">Tony Sanders </w:t>
            </w:r>
          </w:p>
        </w:tc>
        <w:tc>
          <w:tcPr>
            <w:tcW w:w="439"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pPr>
            <w:r>
              <w:rPr/>
              <w:t> </w:t>
            </w:r>
          </w:p>
        </w:tc>
        <w:tc>
          <w:tcPr>
            <w:tcW w:w="295" w:type="dxa"/>
            <w:tcBorders/>
            <w:shd w:fill="auto" w:val="clear"/>
          </w:tcPr>
          <w:p>
            <w:pPr>
              <w:pStyle w:val="TableContents"/>
              <w:spacing w:before="0" w:after="283"/>
              <w:jc w:val="right"/>
              <w:rPr/>
            </w:pPr>
            <w:r>
              <w:rPr/>
              <w:t>53</w:t>
            </w:r>
          </w:p>
        </w:tc>
        <w:tc>
          <w:tcPr>
            <w:tcW w:w="208" w:type="dxa"/>
            <w:tcBorders/>
            <w:shd w:fill="auto" w:val="clear"/>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519" w:type="dxa"/>
            <w:tcBorders/>
            <w:shd w:fill="auto" w:val="clear"/>
          </w:tcPr>
          <w:p>
            <w:pPr>
              <w:pStyle w:val="TableContents"/>
              <w:spacing w:before="0" w:after="283"/>
              <w:jc w:val="left"/>
              <w:rPr/>
            </w:pPr>
            <w:r>
              <w:rPr/>
              <w:t>Senior Vice President, Human Resources</w:t>
            </w:r>
          </w:p>
        </w:tc>
      </w:tr>
      <w:tr>
        <w:trPr/>
        <w:tc>
          <w:tcPr>
            <w:tcW w:w="4098" w:type="dxa"/>
            <w:tcBorders/>
            <w:shd w:fill="auto" w:val="clear"/>
          </w:tcPr>
          <w:p>
            <w:pPr>
              <w:pStyle w:val="TableContents"/>
              <w:spacing w:before="0" w:after="0"/>
              <w:ind w:left="0" w:right="0" w:hanging="0"/>
              <w:rPr/>
            </w:pPr>
            <w:r>
              <w:rPr/>
              <w:t xml:space="preserve">Stephen A. Stamp </w:t>
            </w:r>
          </w:p>
        </w:tc>
        <w:tc>
          <w:tcPr>
            <w:tcW w:w="439"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pPr>
            <w:r>
              <w:rPr/>
              <w:t> </w:t>
            </w:r>
          </w:p>
        </w:tc>
        <w:tc>
          <w:tcPr>
            <w:tcW w:w="295" w:type="dxa"/>
            <w:tcBorders/>
            <w:shd w:fill="auto" w:val="clear"/>
          </w:tcPr>
          <w:p>
            <w:pPr>
              <w:pStyle w:val="TableContents"/>
              <w:spacing w:before="0" w:after="283"/>
              <w:jc w:val="right"/>
              <w:rPr/>
            </w:pPr>
            <w:r>
              <w:rPr/>
              <w:t>48</w:t>
            </w:r>
          </w:p>
        </w:tc>
        <w:tc>
          <w:tcPr>
            <w:tcW w:w="208" w:type="dxa"/>
            <w:tcBorders/>
            <w:shd w:fill="auto" w:val="clear"/>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519" w:type="dxa"/>
            <w:tcBorders/>
            <w:shd w:fill="auto" w:val="clear"/>
          </w:tcPr>
          <w:p>
            <w:pPr>
              <w:pStyle w:val="TableContents"/>
              <w:spacing w:before="0" w:after="283"/>
              <w:jc w:val="left"/>
              <w:rPr/>
            </w:pPr>
            <w:r>
              <w:rPr/>
              <w:t>Senior Vice President and Chief Financial Officer</w:t>
            </w:r>
          </w:p>
        </w:tc>
      </w:tr>
      <w:tr>
        <w:trPr/>
        <w:tc>
          <w:tcPr>
            <w:tcW w:w="4098" w:type="dxa"/>
            <w:tcBorders/>
            <w:shd w:fill="auto" w:val="clear"/>
          </w:tcPr>
          <w:p>
            <w:pPr>
              <w:pStyle w:val="TableContents"/>
              <w:spacing w:before="0" w:after="0"/>
              <w:ind w:left="0" w:right="0" w:hanging="0"/>
              <w:rPr/>
            </w:pPr>
            <w:r>
              <w:rPr/>
              <w:t xml:space="preserve">Thomas H. Welch, Jr. </w:t>
            </w:r>
          </w:p>
        </w:tc>
        <w:tc>
          <w:tcPr>
            <w:tcW w:w="439"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pPr>
            <w:r>
              <w:rPr/>
              <w:t> </w:t>
            </w:r>
          </w:p>
        </w:tc>
        <w:tc>
          <w:tcPr>
            <w:tcW w:w="295" w:type="dxa"/>
            <w:tcBorders/>
            <w:shd w:fill="auto" w:val="clear"/>
          </w:tcPr>
          <w:p>
            <w:pPr>
              <w:pStyle w:val="TableContents"/>
              <w:spacing w:before="0" w:after="283"/>
              <w:jc w:val="right"/>
              <w:rPr/>
            </w:pPr>
            <w:r>
              <w:rPr/>
              <w:t>55</w:t>
            </w:r>
          </w:p>
        </w:tc>
        <w:tc>
          <w:tcPr>
            <w:tcW w:w="208" w:type="dxa"/>
            <w:tcBorders/>
            <w:shd w:fill="auto" w:val="clear"/>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519" w:type="dxa"/>
            <w:tcBorders/>
            <w:shd w:fill="auto" w:val="clear"/>
          </w:tcPr>
          <w:p>
            <w:pPr>
              <w:pStyle w:val="TableContents"/>
              <w:spacing w:before="0" w:after="283"/>
              <w:jc w:val="left"/>
              <w:rPr/>
            </w:pPr>
            <w:r>
              <w:rPr/>
              <w:t>Senior Vice President, General Counsel and Secretary</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Eric Fosse </w:t>
      </w:r>
      <w:r>
        <w:rPr>
          <w:rFonts w:ascii="Times New Roman;Times;serif" w:hAnsi="Times New Roman;Times;serif"/>
          <w:sz w:val="17"/>
        </w:rPr>
        <w:t xml:space="preserve"> Mr. Fosse joined us in September 2004 as Vice President of EZMONEY Operations. In August 2007, Mr. Fosse was promoted to President  EZMONEY Division, and in July 2009, he was promoted to President, Pawn Americas. From 1991 to 2004, Mr. Fosse held various operating positions and ultimately served as a Regional Vice President of G&amp;K Services, a $500 million provider of uniform and textile products. </w:t>
      </w:r>
    </w:p>
    <w:p>
      <w:pPr>
        <w:pStyle w:val="TextBody"/>
        <w:jc w:val="center"/>
        <w:rPr>
          <w:rFonts w:ascii="Times New Roman;Times;serif" w:hAnsi="Times New Roman;Times;serif"/>
          <w:sz w:val="17"/>
        </w:rPr>
      </w:pPr>
      <w:r>
        <w:rPr>
          <w:rFonts w:ascii="Times New Roman;Times;serif" w:hAnsi="Times New Roman;Times;serif"/>
          <w:sz w:val="17"/>
        </w:rPr>
        <w:t xml:space="preserve">87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Joe Borbely </w:t>
      </w:r>
      <w:r>
        <w:rPr>
          <w:rFonts w:ascii="Times New Roman;Times;serif" w:hAnsi="Times New Roman;Times;serif"/>
          <w:sz w:val="17"/>
        </w:rPr>
        <w:t xml:space="preserve"> Mr. Borbely joined us in February 2009 as Vice President of EZMONEY Stores. In July 2009, he was promoted to President, Signature Loans. Mr. Borbely was the senior vice president of store operations at Hancock Fabrics from 2007 to February 2009, and the vice president of operations and head of stores for Allied Cash Advance from 2005 to 2007. Prior to that, Mr. Borbely held various positions as vice president, including national vice president of stores, with Hollywood Entertainment between 1996 and 2005. Before Hollywood Entertainment, Mr. Borbely held various regional leadership and training roles for J. Baker and Foot Lockers, Kinney Shoe division.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Mark Kuchenrither </w:t>
      </w:r>
      <w:r>
        <w:rPr>
          <w:rFonts w:ascii="Times New Roman;Times;serif" w:hAnsi="Times New Roman;Times;serif"/>
          <w:sz w:val="17"/>
        </w:rPr>
        <w:t xml:space="preserve"> Mr. Kuchenrither joined us as Senior Vice President, Strategic Development in March 2010. From 2007 to March 2010, Mr. Kuchenrither served as Vice President of Operations of Sun Capital Partners, a major private equity firm, where he was responsible for the oversight of ten portfolio companies with emphasis on profit improvement. He was Chief Financial Officer of Arch Aluminum &amp; Glass from 2003 to 2007, and was Chief Financial Officer and Treasurer of Peavey Electronics Corporation from 2000 to 2003. He began his career in various accounting and controller functions.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Tony Sanders  </w:t>
      </w:r>
      <w:r>
        <w:rPr>
          <w:rFonts w:ascii="Times New Roman;Times;serif" w:hAnsi="Times New Roman;Times;serif"/>
          <w:sz w:val="17"/>
        </w:rPr>
        <w:t xml:space="preserve">Mr. Sanders joined us in April 2010 as Senior Vice President, Human resources. Mr. Sanders was the Managing Director of Human Resources Services and Administration for United Airlines from 2007 to 2010. From 2000 to 2006, Mr. Sanders served as the Vice President Human Resource Business Center for ConAgra Foods, a $14 billion food packaging company, where he was responsible for human resources administrative services, benefits planning and administration, payroll and human resource acquisition management. From 1998 to 2000, Mr. Sanders served as Director of Benefits and Corporate Human Resources for Baker Hughes Incorporated, a 35,000 person multi-national oilfield services company. From 1989 to 1998 he served in various tax leadership roles at Baker Hughes.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Stephen A. Stamp  </w:t>
      </w:r>
      <w:r>
        <w:rPr>
          <w:rFonts w:ascii="Times New Roman;Times;serif" w:hAnsi="Times New Roman;Times;serif"/>
          <w:sz w:val="17"/>
        </w:rPr>
        <w:t xml:space="preserve">Mr. Stamp joined us as Senior Vice President and Chief Financial Officer in November 2010. Mr. Stamp was the Chief Financial Officer at KV Pharmaceutical Company from March 2010 until May 2010. For the preceding eight months, Mr. Stamp provided consultancy services to private equity backed pharmaceutical companies. From 2004 to 2009, he served as Chief Financial Officer and for one year as Chief Operating Officer of Xanodyne Pharmaceuticals, Inc., a U.S.-based private pharmaceutical company. From 2000 to 2004, Mr. Stamp was Group Finance Director and a board member of Regus Group PLC, a publicly traded global office services company based in the U.K. From 1994 to 1999, he was Group Finance Director and a board member of Shire Pharmaceuticals Group PLC, a publicly traded international pharmaceutical company headquartered in the U.K. Mr Stamp also spent six years in the investment banking division of Lazard in London and three years at KPMG, London.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Thomas H. Welch, Jr.  </w:t>
      </w:r>
      <w:r>
        <w:rPr>
          <w:rFonts w:ascii="Times New Roman;Times;serif" w:hAnsi="Times New Roman;Times;serif"/>
          <w:sz w:val="17"/>
        </w:rPr>
        <w:t xml:space="preserve">Mr. Welch joined us in April 2009 as Senior Vice President, General Counsel and Secretary. He joined Dell, Inc.s legal department 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and previously was a shareholder with the law firm of Johnson &amp; Gibbs, P.C., Dallas, Texas.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Section 16(a) Beneficial Ownership Reporting Compliance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Based on written representations and a review of the relevant Forms 3, 4 and 5, during fiscal 2010, all persons subject to Section 16 of the Securities Exchange Act of 1934 with respect to EZCORP timely filed all reports required by Section 16(a) of the Securities Exchange Act.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Code of Conduct and Ethics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maintain a Code of Conduct and Ethics that is applicable to all of our employees, including our Chief Executive Officer, Chief Financial Officer and Chief Accounting Officer. That Code of Conduct and Ethics,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w:t>
      </w:r>
    </w:p>
    <w:p>
      <w:pPr>
        <w:pStyle w:val="TextBody"/>
        <w:jc w:val="center"/>
        <w:rPr>
          <w:rFonts w:ascii="Times New Roman;Times;serif" w:hAnsi="Times New Roman;Times;serif"/>
          <w:sz w:val="17"/>
        </w:rPr>
      </w:pPr>
      <w:r>
        <w:rPr>
          <w:rFonts w:ascii="Times New Roman;Times;serif" w:hAnsi="Times New Roman;Times;serif"/>
          <w:sz w:val="17"/>
        </w:rPr>
        <w:t xml:space="preserve">88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the code, and accountability for adherence to the code. A copy of the Code of Conduct and Ethics is posted in the Investor Relations section of on our website at www.ezcorp.com.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will post any waivers of the Code of Conduct and Ethics, or amendments thereto, that are applicable to our Chief Executive Officer, our Chief Financial Officer, or our Chief Accounting Officer in the Investor Relations section of our website at www.ezcorp.com. To date, there have been no such waivers.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Corporate Governance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Committees of the Board </w:t>
      </w:r>
      <w:r>
        <w:rPr>
          <w:rFonts w:ascii="Times New Roman;Times;serif" w:hAnsi="Times New Roman;Times;serif"/>
          <w:sz w:val="17"/>
        </w:rPr>
        <w:t xml:space="preserve"> The Board of Directors maintains the following committees to assist it in its oversight responsibilities. The current membership of each committee is indicated in the list of directors set forth under Board of Directors above.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i/>
              </w:rPr>
              <w:t xml:space="preserve">Audit Committee </w:t>
            </w:r>
            <w:r>
              <w:rPr/>
              <w:t> The Audit Committee assists the Board in fulfilling its responsibility to provide oversight with respect to our financial statements 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Audit Committee is comprised entirely of directors who satisfy the standards of independence described under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both Mr. Love and Mr. Roberts are financial experts within the meaning of the current rules of the SEC.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i/>
              </w:rPr>
              <w:t xml:space="preserve">Compensation Committee </w:t>
            </w:r>
            <w:r>
              <w:rPr/>
              <w:t> The Compensation Committee reviews and approves, on behalf of the Board, the amounts and types of compensation to be paid to our senior executives, reviews and recommends to the full Board the amount and type of compensation to be paid to our non-employee directors, reviews and approves, on behalf of the Board, all bonus and equity compensation to be paid to our other employees, and administers our stock compensation plans. The Compensation Committee is comprised entirely of directors who satisfy the standards of independence described under Item 13  Certain Relationships and Related Transactions, and Director Independence  Director Independence, as well as additional or supplemental independence standards applicable to compensation committee members established under applicable law and NASDAQ listing requirements.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committee is governed by a written charter, a copy of which can be found in the Investor Relations section of our website at www.ezcorp.com.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Because all of our voting stock is beneficially owned by Phillip E. Cohen and the remaining stockholders are not entitled to vote on the election of directors, we do not maintain a standing nominating committee of the Board of Directors. In the absence of a nominating committee, director nominees are typically considered by the full Board.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Meetings and Attendance </w:t>
      </w:r>
      <w:r>
        <w:rPr>
          <w:rFonts w:ascii="Times New Roman;Times;serif" w:hAnsi="Times New Roman;Times;serif"/>
          <w:sz w:val="17"/>
        </w:rPr>
        <w:t xml:space="preserve"> During fiscal 2010, the Board of Directors held eight meetings, the Audit Committee held five meetings, and the Compensation Committee held three meetings. All directors attended all of the total number of meetings of the Board and of the committees on which they served. </w:t>
      </w:r>
    </w:p>
    <w:p>
      <w:pPr>
        <w:pStyle w:val="TextBody"/>
        <w:jc w:val="center"/>
        <w:rPr>
          <w:rFonts w:ascii="Times New Roman;Times;serif" w:hAnsi="Times New Roman;Times;serif"/>
          <w:sz w:val="17"/>
        </w:rPr>
      </w:pPr>
      <w:r>
        <w:rPr>
          <w:rFonts w:ascii="Times New Roman;Times;serif" w:hAnsi="Times New Roman;Times;serif"/>
          <w:sz w:val="17"/>
        </w:rPr>
        <w:t xml:space="preserve">89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7" w:name="119"/>
      <w:bookmarkEnd w:id="27"/>
      <w:r>
        <w:rPr>
          <w:rFonts w:ascii="Times New Roman;Times;serif" w:hAnsi="Times New Roman;Times;serif"/>
          <w:b/>
          <w:smallCaps/>
          <w:sz w:val="17"/>
        </w:rPr>
        <w:t>Item 11. Executive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Compensation Discussion and Analysis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Overview of Compensation Program </w:t>
      </w:r>
      <w:r>
        <w:rPr>
          <w:rFonts w:ascii="Times New Roman;Times;serif" w:hAnsi="Times New Roman;Times;serif"/>
          <w:sz w:val="17"/>
        </w:rPr>
        <w:t xml:space="preserve"> The Compensation Committee of the Board of Directors is responsible for establishing and implementing our compensation policies applicable to senior executives and monitoring our compensation practices. The Compensation Committee seeks to ensure that our compensation plans are fair, reasonable and competitive. The Compensation Committee is responsible for reviewing and approving all senior executive compensation and all awards under our equity-based compensation plans.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Philosophy and Goals of Executive Compensation Plans </w:t>
      </w:r>
      <w:r>
        <w:rPr>
          <w:rFonts w:ascii="Times New Roman;Times;serif" w:hAnsi="Times New Roman;Times;serif"/>
          <w:sz w:val="17"/>
        </w:rPr>
        <w:t xml:space="preserve"> The Compensation Committees philosophy for executive compensation is to: </w:t>
      </w:r>
    </w:p>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Pay for performance  The Compensation Committee believes that our executives should be compensated based upon their ability to achieve specific operational and strategic results. Therefore, our compensation plans are designed to provide rewards for the individuals contribution to our performance.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Pay commensurate with other companies categorized as value creators  The Compensation Committee has determined that compensation levels for senior executives should be at the 75th percentile for similar executives in the workforce. This allows us to attract, hire, reward and retain senior executives who continue to formulate and execute our strategic plans and drive exceptional results.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ensure our programs are competitive, the Compensation Committee reviews compensation information of peer companies, national data and trends in executive compensation to help determine the appropriateness of our plans and compensation levels. These reviews become the basis for the Compensation Committees decisions on compensation plans and individual executive compensation payments.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has approved a variety of programs that work together to provide a combination of basic compensation and strong incentives. While it is important for us to provide certain base level salaries and benefits to remain competitive, the Compensation Committees objective is to provide compensation plans with incentive opportunities that motivate and reward executives for consistently achieving superior results. The Compensation Committee designs our compensation plans to: </w:t>
      </w:r>
    </w:p>
    <w:tbl>
      <w:tblPr>
        <w:tblW w:w="5000" w:type="pct"/>
        <w:jc w:val="left"/>
        <w:tblInd w:w="0" w:type="dxa"/>
        <w:tblCellMar>
          <w:top w:w="0" w:type="dxa"/>
          <w:left w:w="0" w:type="dxa"/>
          <w:bottom w:w="0" w:type="dxa"/>
          <w:right w:w="0" w:type="dxa"/>
        </w:tblCellMar>
      </w:tblPr>
      <w:tblGrid>
        <w:gridCol w:w="305"/>
        <w:gridCol w:w="210"/>
        <w:gridCol w:w="103"/>
        <w:gridCol w:w="9587"/>
      </w:tblGrid>
      <w:tr>
        <w:trPr/>
        <w:tc>
          <w:tcPr>
            <w:tcW w:w="30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7" w:type="dxa"/>
            <w:tcBorders/>
            <w:shd w:fill="auto" w:val="clear"/>
          </w:tcPr>
          <w:p>
            <w:pPr>
              <w:pStyle w:val="TableContents"/>
              <w:spacing w:before="0" w:after="283"/>
              <w:rPr/>
            </w:pPr>
            <w:r>
              <w:rPr/>
              <w:t>Reward executives based upon overall company performance, their individual contributions and creation of stockholder value;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7" w:type="dxa"/>
            <w:tcBorders/>
            <w:shd w:fill="auto" w:val="clear"/>
          </w:tcPr>
          <w:p>
            <w:pPr>
              <w:pStyle w:val="TableContents"/>
              <w:spacing w:before="0" w:after="283"/>
              <w:rPr/>
            </w:pPr>
            <w:r>
              <w:rPr/>
              <w:t>Encourage top performers to make a long-term commitment to our company,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587" w:type="dxa"/>
            <w:tcBorders/>
            <w:shd w:fill="auto" w:val="clear"/>
          </w:tcPr>
          <w:p>
            <w:pPr>
              <w:pStyle w:val="TableContents"/>
              <w:spacing w:before="0" w:after="283"/>
              <w:rPr/>
            </w:pPr>
            <w:r>
              <w:rPr/>
              <w:t>Align executive incentive plans with the long-term interests of stockholders.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reviews competitive information and individual compensation levels before each fiscal year. During the review process, the Compensation Committee addresses the following questions: </w:t>
      </w:r>
    </w:p>
    <w:tbl>
      <w:tblPr>
        <w:tblW w:w="5000" w:type="pct"/>
        <w:jc w:val="left"/>
        <w:tblInd w:w="0" w:type="dxa"/>
        <w:tblCellMar>
          <w:top w:w="0" w:type="dxa"/>
          <w:left w:w="0" w:type="dxa"/>
          <w:bottom w:w="0" w:type="dxa"/>
          <w:right w:w="0" w:type="dxa"/>
        </w:tblCellMar>
      </w:tblPr>
      <w:tblGrid>
        <w:gridCol w:w="304"/>
        <w:gridCol w:w="203"/>
        <w:gridCol w:w="101"/>
        <w:gridCol w:w="9597"/>
      </w:tblGrid>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Do any existing compensation plans need to be adjusted to reflect changes in competitive practices, different market circumstances or changes to our strategic initiatives?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Should any existing compensation plans be eliminated or new plans be added to the executive compensation programs?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What are the compensation-related objectives for our Incentive Compensation Plan for the upcoming fiscal year?</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Based upon individual performance, what compensation modifications should be made to provide incentives for senior executives to perform at superior levels?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addressing these questions, the Compensation Committee considers input from management, outside compensation experts and published surveys of compensation levels and practices.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does not believe that the companys compensation policies and practices for its employees give rise to risks that are reasonably likely to have a material adverse effect on the company. As noted below, the companys incentive-based compensation is generally tied to company or business unit financial performance (either consolidated net income or EBITDA or business unit operating income). The Compensation Committee believes that the existence of these financial performance incentives creates a strong motivation for company employees to contribute towards the achievement of strong, sustainable operating and financial performance, and believes that the company has a strong set of internal controls that minimize the risk that financial performance can be misstated in order to achieve incentive compensation payouts.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Scope of Authority of the Compensation Committee </w:t>
      </w:r>
      <w:r>
        <w:rPr>
          <w:rFonts w:ascii="Times New Roman;Times;serif" w:hAnsi="Times New Roman;Times;serif"/>
          <w:sz w:val="17"/>
        </w:rPr>
        <w:t xml:space="preserve"> The Board of Directors has authorized the Compensation Committee to establish the compensation programs for all senior executives and to provide oversight for compliance with our compensation philosophy. The Compensation Committee delegates the day-to-day administration of the compensation plans to management (except with respect to our senior executives), but retains responsibility for ensuring that the plan administration is consistent with the Companys policies. Annually, the Compensation Committee sets the compensation for senior executives, including objectives and awards under incentive plans. For this purpose, senior executives include the executive officers and any other employee with an annual base salary of $250,000 or more. The Compensation Committee also makes recommendations to the Board of Directors on appropriate compensation for the non-employee directors. In addition to overseeing the compensation of senior executives, the Compensation Committee approves all awards under equity-based compensation plans for all other employees. For more information on the Committees role, see the Committees charter, which can be found in the Investor Relations section of our website at www.ezcorp.com.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Independent Compensation Expertise </w:t>
      </w:r>
      <w:r>
        <w:rPr>
          <w:rFonts w:ascii="Times New Roman;Times;serif" w:hAnsi="Times New Roman;Times;serif"/>
          <w:sz w:val="17"/>
        </w:rPr>
        <w:t xml:space="preserve"> The Compensation Committee is authorized to retain independent experts to assist in evaluating executive compensation plans and in setting executive compensation levels. These experts provide information on trends and best practices so the Compensation Committee can formulate ongoing plans for executive compensation. The Compensation Committee retained Towers Watson as its independent expert to assist in the determination of the reasonableness and competitiveness of the executive compensation plans and senior executives individual compensation levels for fiscal 2010 and fiscal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Towers Watson performed a benchmark compensation review of our key executive positions, including the Named Executive Officers. Towers Watson utilized market compensation data from the following published survey sources on retail trade and used-merchandise industries, with the surveyed companies reported compensation data adjusted for revenue differences to be comparable to ours: </w:t>
      </w:r>
    </w:p>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Towers Watson General Industry Executive Database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Towers Watson Retail/Wholesale Executive Database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Watson/Wyatt Survey Report on Top Management Compensation</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Towers Watson Global General Industry Database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evaluating appropriate executive compensation, it is common practice to set targets at a point within the competitive marketplace. The Compensation Committee sets its competitive compensation levels based upon its compensation philosophy. Comparisons to the market are often made using the 50th percentile for companies that are value maintainers and the 75th percentile for value creators. Based upon the Towers Watson study, the creation of shareholder value and revenue and earnings growth over the last three years, the Compensation Committee determined that the company is a value creator, and set our total compensation target for senior executive positions at the 75th percentile of total compensation for the competitive market.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Peer Group Companies </w:t>
      </w:r>
      <w:r>
        <w:rPr>
          <w:rFonts w:ascii="Times New Roman;Times;serif" w:hAnsi="Times New Roman;Times;serif"/>
          <w:sz w:val="17"/>
        </w:rPr>
        <w:t xml:space="preserve"> In addition to the above survey analysis, the Compensation Committee also reviewed the compensation levels at specific competitive benchmark companies. With input from management, the Compensation Committee chose the peer companies because they are direct competitors within our industry, have similar business models to our company or have comparable key executive positions. While the specific plans for </w:t>
      </w:r>
    </w:p>
    <w:p>
      <w:pPr>
        <w:pStyle w:val="TextBody"/>
        <w:jc w:val="center"/>
        <w:rPr>
          <w:rFonts w:ascii="Times New Roman;Times;serif" w:hAnsi="Times New Roman;Times;serif"/>
          <w:sz w:val="17"/>
        </w:rPr>
      </w:pPr>
      <w:r>
        <w:rPr>
          <w:rFonts w:ascii="Times New Roman;Times;serif" w:hAnsi="Times New Roman;Times;serif"/>
          <w:sz w:val="17"/>
        </w:rPr>
        <w:t xml:space="preserve">91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these companies may or may not be used, it is helpful to review their compensation data to provide benchmarks for the overall compensation levels that will be used to attract, hire, retain and motivate our executives.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direct competitors and similarly situated companies that compete for the same executive talent, the Compensation Committee determined that the following peer group companies most closely matched the responsibilities and requirements of our executives: </w:t>
      </w:r>
    </w:p>
    <w:tbl>
      <w:tblPr>
        <w:tblW w:w="5000" w:type="pct"/>
        <w:jc w:val="center"/>
        <w:tblInd w:w="0" w:type="dxa"/>
        <w:tblCellMar>
          <w:top w:w="0" w:type="dxa"/>
          <w:left w:w="0" w:type="dxa"/>
          <w:bottom w:w="0" w:type="dxa"/>
          <w:right w:w="0" w:type="dxa"/>
        </w:tblCellMar>
      </w:tblPr>
      <w:tblGrid>
        <w:gridCol w:w="4082"/>
        <w:gridCol w:w="204"/>
        <w:gridCol w:w="5919"/>
      </w:tblGrid>
      <w:tr>
        <w:trPr/>
        <w:tc>
          <w:tcPr>
            <w:tcW w:w="408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919" w:type="dxa"/>
            <w:tcBorders/>
            <w:shd w:fill="auto" w:val="clear"/>
            <w:vAlign w:val="bottom"/>
          </w:tcPr>
          <w:p>
            <w:pPr>
              <w:pStyle w:val="TableContents"/>
              <w:spacing w:before="0" w:after="283"/>
              <w:rPr/>
            </w:pPr>
            <w:r>
              <w:rPr/>
              <w:t> </w:t>
            </w:r>
          </w:p>
        </w:tc>
      </w:tr>
      <w:tr>
        <w:trPr/>
        <w:tc>
          <w:tcPr>
            <w:tcW w:w="4082" w:type="dxa"/>
            <w:tcBorders>
              <w:bottom w:val="single" w:sz="2" w:space="0" w:color="000000"/>
            </w:tcBorders>
            <w:shd w:fill="auto" w:val="clear"/>
            <w:tcMar>
              <w:bottom w:w="28" w:type="dxa"/>
            </w:tcMar>
            <w:vAlign w:val="bottom"/>
          </w:tcPr>
          <w:p>
            <w:pPr>
              <w:pStyle w:val="TableContents"/>
              <w:spacing w:before="0" w:after="283"/>
              <w:jc w:val="left"/>
              <w:rPr>
                <w:b/>
              </w:rPr>
            </w:pPr>
            <w:r>
              <w:rPr>
                <w:b/>
              </w:rPr>
              <w:t>Company</w:t>
            </w:r>
          </w:p>
        </w:tc>
        <w:tc>
          <w:tcPr>
            <w:tcW w:w="204" w:type="dxa"/>
            <w:tcBorders/>
            <w:shd w:fill="auto" w:val="clear"/>
            <w:vAlign w:val="bottom"/>
          </w:tcPr>
          <w:p>
            <w:pPr>
              <w:pStyle w:val="TableContents"/>
              <w:spacing w:before="0" w:after="283"/>
              <w:rPr/>
            </w:pPr>
            <w:r>
              <w:rPr/>
              <w:t> </w:t>
            </w:r>
          </w:p>
        </w:tc>
        <w:tc>
          <w:tcPr>
            <w:tcW w:w="5919" w:type="dxa"/>
            <w:tcBorders>
              <w:bottom w:val="single" w:sz="2" w:space="0" w:color="000000"/>
            </w:tcBorders>
            <w:shd w:fill="auto" w:val="clear"/>
            <w:tcMar>
              <w:bottom w:w="28" w:type="dxa"/>
            </w:tcMar>
            <w:vAlign w:val="bottom"/>
          </w:tcPr>
          <w:p>
            <w:pPr>
              <w:pStyle w:val="TableContents"/>
              <w:spacing w:before="0" w:after="283"/>
              <w:jc w:val="left"/>
              <w:rPr>
                <w:b/>
              </w:rPr>
            </w:pPr>
            <w:r>
              <w:rPr>
                <w:b/>
              </w:rPr>
              <w:t>Business</w:t>
            </w:r>
          </w:p>
        </w:tc>
      </w:tr>
      <w:tr>
        <w:trPr/>
        <w:tc>
          <w:tcPr>
            <w:tcW w:w="4082" w:type="dxa"/>
            <w:tcBorders/>
            <w:shd w:fill="auto" w:val="clear"/>
          </w:tcPr>
          <w:p>
            <w:pPr>
              <w:pStyle w:val="TableContents"/>
              <w:spacing w:before="0" w:after="0"/>
              <w:ind w:left="0" w:right="0" w:hanging="0"/>
              <w:rPr/>
            </w:pPr>
            <w:r>
              <w:rPr/>
              <w:t xml:space="preserve">Advance America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Payday Lending</w:t>
            </w:r>
          </w:p>
        </w:tc>
      </w:tr>
      <w:tr>
        <w:trPr/>
        <w:tc>
          <w:tcPr>
            <w:tcW w:w="4082" w:type="dxa"/>
            <w:tcBorders/>
            <w:shd w:fill="auto" w:val="clear"/>
          </w:tcPr>
          <w:p>
            <w:pPr>
              <w:pStyle w:val="TableContents"/>
              <w:spacing w:before="0" w:after="0"/>
              <w:ind w:left="0" w:right="0" w:hanging="0"/>
              <w:rPr/>
            </w:pPr>
            <w:r>
              <w:rPr/>
              <w:t xml:space="preserve">Cash America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Pawn and Payday Lending</w:t>
            </w:r>
          </w:p>
        </w:tc>
      </w:tr>
      <w:tr>
        <w:trPr/>
        <w:tc>
          <w:tcPr>
            <w:tcW w:w="4082" w:type="dxa"/>
            <w:tcBorders/>
            <w:shd w:fill="auto" w:val="clear"/>
          </w:tcPr>
          <w:p>
            <w:pPr>
              <w:pStyle w:val="TableContents"/>
              <w:spacing w:before="0" w:after="0"/>
              <w:ind w:left="0" w:right="0" w:hanging="0"/>
              <w:rPr/>
            </w:pPr>
            <w:r>
              <w:rPr/>
              <w:t xml:space="preserve">Dollar Financial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Payday Lending</w:t>
            </w:r>
          </w:p>
        </w:tc>
      </w:tr>
      <w:tr>
        <w:trPr/>
        <w:tc>
          <w:tcPr>
            <w:tcW w:w="4082" w:type="dxa"/>
            <w:tcBorders/>
            <w:shd w:fill="auto" w:val="clear"/>
          </w:tcPr>
          <w:p>
            <w:pPr>
              <w:pStyle w:val="TableContents"/>
              <w:spacing w:before="0" w:after="0"/>
              <w:ind w:left="0" w:right="0" w:hanging="0"/>
              <w:rPr/>
            </w:pPr>
            <w:r>
              <w:rPr/>
              <w:t xml:space="preserve">First Cash Financial Services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Pawn and Payday Lending</w:t>
            </w:r>
          </w:p>
        </w:tc>
      </w:tr>
      <w:tr>
        <w:trPr/>
        <w:tc>
          <w:tcPr>
            <w:tcW w:w="4082" w:type="dxa"/>
            <w:tcBorders/>
            <w:shd w:fill="auto" w:val="clear"/>
          </w:tcPr>
          <w:p>
            <w:pPr>
              <w:pStyle w:val="TableContents"/>
              <w:spacing w:before="0" w:after="0"/>
              <w:ind w:left="0" w:right="0" w:hanging="0"/>
              <w:rPr/>
            </w:pPr>
            <w:r>
              <w:rPr/>
              <w:t xml:space="preserve">World Acceptance Corp.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Small Loans</w:t>
            </w:r>
          </w:p>
        </w:tc>
      </w:tr>
      <w:tr>
        <w:trPr/>
        <w:tc>
          <w:tcPr>
            <w:tcW w:w="4082" w:type="dxa"/>
            <w:tcBorders/>
            <w:shd w:fill="auto" w:val="clear"/>
          </w:tcPr>
          <w:p>
            <w:pPr>
              <w:pStyle w:val="TableContents"/>
              <w:spacing w:before="0" w:after="0"/>
              <w:ind w:left="0" w:right="0" w:hanging="0"/>
              <w:rPr/>
            </w:pPr>
            <w:r>
              <w:rPr/>
              <w:t xml:space="preserve">QC Holdings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Consumer Finance</w:t>
            </w:r>
          </w:p>
        </w:tc>
      </w:tr>
      <w:tr>
        <w:trPr/>
        <w:tc>
          <w:tcPr>
            <w:tcW w:w="4082" w:type="dxa"/>
            <w:tcBorders/>
            <w:shd w:fill="auto" w:val="clear"/>
          </w:tcPr>
          <w:p>
            <w:pPr>
              <w:pStyle w:val="TableContents"/>
              <w:spacing w:before="0" w:after="0"/>
              <w:ind w:left="0" w:right="0" w:hanging="0"/>
              <w:rPr/>
            </w:pPr>
            <w:r>
              <w:rPr/>
              <w:t xml:space="preserve">Consumer Portfolio Services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Specialty Finance</w:t>
            </w:r>
          </w:p>
        </w:tc>
      </w:tr>
      <w:tr>
        <w:trPr/>
        <w:tc>
          <w:tcPr>
            <w:tcW w:w="4082" w:type="dxa"/>
            <w:tcBorders/>
            <w:shd w:fill="auto" w:val="clear"/>
          </w:tcPr>
          <w:p>
            <w:pPr>
              <w:pStyle w:val="TableContents"/>
              <w:spacing w:before="0" w:after="0"/>
              <w:ind w:left="0" w:right="0" w:hanging="0"/>
              <w:rPr/>
            </w:pPr>
            <w:r>
              <w:rPr/>
              <w:t xml:space="preserve">Citi Trends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Retail</w:t>
            </w:r>
          </w:p>
        </w:tc>
      </w:tr>
      <w:tr>
        <w:trPr/>
        <w:tc>
          <w:tcPr>
            <w:tcW w:w="4082" w:type="dxa"/>
            <w:tcBorders/>
            <w:shd w:fill="auto" w:val="clear"/>
          </w:tcPr>
          <w:p>
            <w:pPr>
              <w:pStyle w:val="TableContents"/>
              <w:spacing w:before="0" w:after="0"/>
              <w:ind w:left="0" w:right="0" w:hanging="0"/>
              <w:rPr/>
            </w:pPr>
            <w:r>
              <w:rPr/>
              <w:t xml:space="preserve">Joseph A Banks Clothiers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Retail</w:t>
            </w:r>
          </w:p>
        </w:tc>
      </w:tr>
      <w:tr>
        <w:trPr/>
        <w:tc>
          <w:tcPr>
            <w:tcW w:w="4082" w:type="dxa"/>
            <w:tcBorders/>
            <w:shd w:fill="auto" w:val="clear"/>
          </w:tcPr>
          <w:p>
            <w:pPr>
              <w:pStyle w:val="TableContents"/>
              <w:spacing w:before="0" w:after="0"/>
              <w:ind w:left="0" w:right="0" w:hanging="0"/>
              <w:rPr/>
            </w:pPr>
            <w:r>
              <w:rPr/>
              <w:t xml:space="preserve">Aeropostale, Inc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Retail</w:t>
            </w:r>
          </w:p>
        </w:tc>
      </w:tr>
      <w:tr>
        <w:trPr/>
        <w:tc>
          <w:tcPr>
            <w:tcW w:w="4082" w:type="dxa"/>
            <w:tcBorders/>
            <w:shd w:fill="auto" w:val="clear"/>
          </w:tcPr>
          <w:p>
            <w:pPr>
              <w:pStyle w:val="TableContents"/>
              <w:spacing w:before="0" w:after="0"/>
              <w:ind w:left="0" w:right="0" w:hanging="0"/>
              <w:rPr/>
            </w:pPr>
            <w:r>
              <w:rPr/>
              <w:t xml:space="preserve">Rent-A-Center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Retail</w:t>
            </w:r>
          </w:p>
        </w:tc>
      </w:tr>
      <w:tr>
        <w:trPr/>
        <w:tc>
          <w:tcPr>
            <w:tcW w:w="4082" w:type="dxa"/>
            <w:tcBorders/>
            <w:shd w:fill="auto" w:val="clear"/>
          </w:tcPr>
          <w:p>
            <w:pPr>
              <w:pStyle w:val="TableContents"/>
              <w:spacing w:before="0" w:after="0"/>
              <w:ind w:left="0" w:right="0" w:hanging="0"/>
              <w:rPr/>
            </w:pPr>
            <w:r>
              <w:rPr/>
              <w:t xml:space="preserve">Select Comfort </w:t>
            </w:r>
          </w:p>
        </w:tc>
        <w:tc>
          <w:tcPr>
            <w:tcW w:w="204" w:type="dxa"/>
            <w:tcBorders/>
            <w:shd w:fill="auto" w:val="clear"/>
            <w:vAlign w:val="bottom"/>
          </w:tcPr>
          <w:p>
            <w:pPr>
              <w:pStyle w:val="TableContents"/>
              <w:spacing w:before="0" w:after="283"/>
              <w:rPr/>
            </w:pPr>
            <w:r>
              <w:rPr/>
              <w:t> </w:t>
            </w:r>
          </w:p>
        </w:tc>
        <w:tc>
          <w:tcPr>
            <w:tcW w:w="5919" w:type="dxa"/>
            <w:tcBorders/>
            <w:shd w:fill="auto" w:val="clear"/>
          </w:tcPr>
          <w:p>
            <w:pPr>
              <w:pStyle w:val="TableContents"/>
              <w:spacing w:before="0" w:after="283"/>
              <w:jc w:val="left"/>
              <w:rPr/>
            </w:pPr>
            <w:r>
              <w:rPr/>
              <w:t>Retail</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used the publicly available compensation information for these companies to analyze our competitive position in the industry. The Compensation Committee reviewed the base salaries, short-term and long term incentive plans and benefits of the executives of these companies to provide background and perspective in analyzing the compensation levels for our executives.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Specific Elements of Executive Compensation </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5"/>
        <w:gridCol w:w="125"/>
        <w:gridCol w:w="9875"/>
      </w:tblGrid>
      <w:tr>
        <w:trPr/>
        <w:tc>
          <w:tcPr>
            <w:tcW w:w="205"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5" w:type="dxa"/>
            <w:tcBorders/>
            <w:shd w:fill="auto" w:val="clear"/>
          </w:tcPr>
          <w:p>
            <w:pPr>
              <w:pStyle w:val="TableContents"/>
              <w:spacing w:before="0" w:after="283"/>
              <w:rPr/>
            </w:pPr>
            <w:r>
              <w:rPr>
                <w:i/>
              </w:rPr>
              <w:t xml:space="preserve">Base Salary </w:t>
            </w:r>
            <w:r>
              <w:rPr/>
              <w:t> Using information gathered by Towers Watson, peer company data, national surveys, general compensation trend information and recommendations from management, the Compensation Committee approved the base salaries for our senior executives.</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 </w:t>
            </w:r>
          </w:p>
        </w:tc>
        <w:tc>
          <w:tcPr>
            <w:tcW w:w="125" w:type="dxa"/>
            <w:tcBorders/>
            <w:shd w:fill="auto" w:val="clear"/>
          </w:tcPr>
          <w:p>
            <w:pPr>
              <w:pStyle w:val="TableContents"/>
              <w:spacing w:before="0" w:after="283"/>
              <w:rPr/>
            </w:pPr>
            <w:r>
              <w:rPr/>
              <w:t> </w:t>
            </w:r>
          </w:p>
        </w:tc>
        <w:tc>
          <w:tcPr>
            <w:tcW w:w="9875" w:type="dxa"/>
            <w:tcBorders/>
            <w:shd w:fill="auto" w:val="clear"/>
          </w:tcPr>
          <w:p>
            <w:pPr>
              <w:pStyle w:val="TableContents"/>
              <w:spacing w:before="0" w:after="283"/>
              <w:rPr/>
            </w:pPr>
            <w:r>
              <w:rPr/>
              <w:t>Base salaries for senior executives are set using the Compensation Committees philosophy that compensation should be competitive and based upon performance. Executives should expect that their base salaries, coupled with a short-term incentive award, would provide them the opportunity to be compensated at or above the competitive market at the 75th percentile.</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 </w:t>
            </w:r>
          </w:p>
        </w:tc>
        <w:tc>
          <w:tcPr>
            <w:tcW w:w="125" w:type="dxa"/>
            <w:tcBorders/>
            <w:shd w:fill="auto" w:val="clear"/>
          </w:tcPr>
          <w:p>
            <w:pPr>
              <w:pStyle w:val="TableContents"/>
              <w:spacing w:before="0" w:after="283"/>
              <w:rPr/>
            </w:pPr>
            <w:r>
              <w:rPr/>
              <w:t> </w:t>
            </w:r>
          </w:p>
        </w:tc>
        <w:tc>
          <w:tcPr>
            <w:tcW w:w="9875" w:type="dxa"/>
            <w:tcBorders/>
            <w:shd w:fill="auto" w:val="clear"/>
          </w:tcPr>
          <w:p>
            <w:pPr>
              <w:pStyle w:val="TableContents"/>
              <w:spacing w:before="0" w:after="283"/>
              <w:rPr/>
            </w:pPr>
            <w:r>
              <w:rPr/>
              <w:t>Based on competitive reviews of similar positions, industry salary trends, overall company results and individual performance, salary increases may be approved from time-to-time. The Compensation Committee reviews and approves base salaries of all senior executives.</w:t>
            </w:r>
          </w:p>
        </w:tc>
      </w:tr>
      <w:tr>
        <w:trPr/>
        <w:tc>
          <w:tcPr>
            <w:tcW w:w="205" w:type="dxa"/>
            <w:tcBorders/>
            <w:shd w:fill="auto" w:val="clear"/>
            <w:vAlign w:val="center"/>
          </w:tcPr>
          <w:p>
            <w:pPr>
              <w:pStyle w:val="TableContents"/>
              <w:spacing w:before="0" w:after="283"/>
              <w:rPr/>
            </w:pPr>
            <w:r>
              <w:rPr/>
              <w:t> </w:t>
            </w:r>
          </w:p>
        </w:tc>
        <w:tc>
          <w:tcPr>
            <w:tcW w:w="10000" w:type="dxa"/>
            <w:gridSpan w:val="2"/>
            <w:tcBorders/>
            <w:shd w:fill="auto" w:val="clea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jc w:val="left"/>
              <w:rPr/>
            </w:pPr>
            <w:r>
              <w:rPr/>
              <w:t> </w:t>
            </w:r>
          </w:p>
        </w:tc>
        <w:tc>
          <w:tcPr>
            <w:tcW w:w="125" w:type="dxa"/>
            <w:tcBorders/>
            <w:shd w:fill="auto" w:val="clear"/>
          </w:tcPr>
          <w:p>
            <w:pPr>
              <w:pStyle w:val="TableContents"/>
              <w:spacing w:before="0" w:after="283"/>
              <w:rPr/>
            </w:pPr>
            <w:r>
              <w:rPr/>
              <w:t> </w:t>
            </w:r>
          </w:p>
        </w:tc>
        <w:tc>
          <w:tcPr>
            <w:tcW w:w="9875" w:type="dxa"/>
            <w:tcBorders/>
            <w:shd w:fill="auto" w:val="clear"/>
          </w:tcPr>
          <w:p>
            <w:pPr>
              <w:pStyle w:val="TableContents"/>
              <w:spacing w:before="0" w:after="283"/>
              <w:rPr/>
            </w:pPr>
            <w:r>
              <w:rPr/>
              <w:t>For fiscal 2010, using data from national surveys, the Compensation Committee determined that the typical merit increase percentage for executive base salaries should be in the 3% to 5% range, excluding salary adjustments for unusual circumstances and promotions. In setting specific base salary increases, the Compensation Committee also considered competitive market data.</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shows the increases in base salaries for the Named Executive Officers that were approved for fiscal 2010 compared to the approved salaries for fiscal 2009: </w:t>
      </w:r>
    </w:p>
    <w:tbl>
      <w:tblPr>
        <w:tblW w:w="5000" w:type="pct"/>
        <w:jc w:val="center"/>
        <w:tblInd w:w="0" w:type="dxa"/>
        <w:tblCellMar>
          <w:top w:w="0" w:type="dxa"/>
          <w:left w:w="0" w:type="dxa"/>
          <w:bottom w:w="0" w:type="dxa"/>
          <w:right w:w="0" w:type="dxa"/>
        </w:tblCellMar>
      </w:tblPr>
      <w:tblGrid>
        <w:gridCol w:w="5375"/>
        <w:gridCol w:w="313"/>
        <w:gridCol w:w="168"/>
        <w:gridCol w:w="1076"/>
        <w:gridCol w:w="98"/>
        <w:gridCol w:w="313"/>
        <w:gridCol w:w="190"/>
        <w:gridCol w:w="1054"/>
        <w:gridCol w:w="98"/>
        <w:gridCol w:w="313"/>
        <w:gridCol w:w="132"/>
        <w:gridCol w:w="850"/>
        <w:gridCol w:w="225"/>
      </w:tblGrid>
      <w:tr>
        <w:trPr/>
        <w:tc>
          <w:tcPr>
            <w:tcW w:w="537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b/>
              </w:rPr>
            </w:pPr>
            <w:r>
              <w:rPr>
                <w:b/>
              </w:rPr>
              <w:t>Fiscal 2010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b/>
              </w:rPr>
            </w:pPr>
            <w:r>
              <w:rPr>
                <w:b/>
              </w:rPr>
              <w:t>Fiscal 2009</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283"/>
              <w:jc w:val="center"/>
              <w:rPr/>
            </w:pPr>
            <w:r>
              <w:rPr/>
              <w:t> </w:t>
            </w:r>
          </w:p>
        </w:tc>
        <w:tc>
          <w:tcPr>
            <w:tcW w:w="225" w:type="dxa"/>
            <w:tcBorders/>
            <w:shd w:fill="auto" w:val="clear"/>
            <w:vAlign w:val="bottom"/>
          </w:tcPr>
          <w:p>
            <w:pPr>
              <w:pStyle w:val="TableContents"/>
              <w:spacing w:before="0" w:after="283"/>
              <w:rPr/>
            </w:pPr>
            <w:r>
              <w:rPr/>
              <w:t> </w:t>
            </w:r>
          </w:p>
        </w:tc>
      </w:tr>
      <w:tr>
        <w:trPr/>
        <w:tc>
          <w:tcPr>
            <w:tcW w:w="5375" w:type="dxa"/>
            <w:tcBorders>
              <w:bottom w:val="single" w:sz="2" w:space="0" w:color="000000"/>
            </w:tcBorders>
            <w:shd w:fill="auto" w:val="clear"/>
            <w:tcMar>
              <w:bottom w:w="28" w:type="dxa"/>
            </w:tcMar>
            <w:vAlign w:val="bottom"/>
          </w:tcPr>
          <w:p>
            <w:pPr>
              <w:pStyle w:val="TableContents"/>
              <w:spacing w:before="0" w:after="283"/>
              <w:jc w:val="left"/>
              <w:rPr>
                <w:b/>
              </w:rPr>
            </w:pPr>
            <w:r>
              <w:rPr>
                <w:b/>
              </w:rPr>
              <w:t>Named Executive Officer</w:t>
            </w:r>
          </w:p>
        </w:tc>
        <w:tc>
          <w:tcPr>
            <w:tcW w:w="313"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Base Salary</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Base Salary</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Increase</w:t>
            </w:r>
          </w:p>
        </w:tc>
        <w:tc>
          <w:tcPr>
            <w:tcW w:w="225" w:type="dxa"/>
            <w:tcBorders/>
            <w:shd w:fill="auto" w:val="clear"/>
            <w:vAlign w:val="bottom"/>
          </w:tcPr>
          <w:p>
            <w:pPr>
              <w:pStyle w:val="TableContents"/>
              <w:spacing w:before="0" w:after="283"/>
              <w:rPr/>
            </w:pPr>
            <w:r>
              <w:rPr/>
              <w:t> </w:t>
            </w:r>
          </w:p>
        </w:tc>
      </w:tr>
      <w:tr>
        <w:trPr/>
        <w:tc>
          <w:tcPr>
            <w:tcW w:w="5375" w:type="dxa"/>
            <w:tcBorders/>
            <w:shd w:fill="CCEEFF" w:val="clear"/>
            <w:vAlign w:val="bottom"/>
          </w:tcPr>
          <w:p>
            <w:pPr>
              <w:pStyle w:val="TableContents"/>
              <w:spacing w:before="0" w:after="0"/>
              <w:ind w:left="225" w:right="0" w:hanging="225"/>
              <w:rPr/>
            </w:pPr>
            <w:r>
              <w:rPr/>
              <w:t>Joseph L. Rotunda</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1076" w:type="dxa"/>
            <w:tcBorders/>
            <w:shd w:fill="CCEEFF" w:val="clear"/>
            <w:vAlign w:val="bottom"/>
          </w:tcPr>
          <w:p>
            <w:pPr>
              <w:pStyle w:val="TableContents"/>
              <w:spacing w:before="0" w:after="283"/>
              <w:jc w:val="right"/>
              <w:rPr/>
            </w:pPr>
            <w:r>
              <w:rPr/>
              <w:t>1,050,000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54" w:type="dxa"/>
            <w:tcBorders/>
            <w:shd w:fill="CCEEFF" w:val="clear"/>
            <w:vAlign w:val="bottom"/>
          </w:tcPr>
          <w:p>
            <w:pPr>
              <w:pStyle w:val="TableContents"/>
              <w:spacing w:before="0" w:after="283"/>
              <w:jc w:val="right"/>
              <w:rPr/>
            </w:pPr>
            <w:r>
              <w:rPr/>
              <w:t>975,000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7.7</w:t>
            </w:r>
          </w:p>
        </w:tc>
        <w:tc>
          <w:tcPr>
            <w:tcW w:w="225" w:type="dxa"/>
            <w:tcBorders/>
            <w:shd w:fill="CCEEFF" w:val="clear"/>
            <w:vAlign w:val="bottom"/>
          </w:tcPr>
          <w:p>
            <w:pPr>
              <w:pStyle w:val="TableContents"/>
              <w:spacing w:before="0" w:after="283"/>
              <w:rPr/>
            </w:pPr>
            <w:r>
              <w:rPr/>
              <w:t>%</w:t>
            </w:r>
          </w:p>
        </w:tc>
      </w:tr>
      <w:tr>
        <w:trPr/>
        <w:tc>
          <w:tcPr>
            <w:tcW w:w="5375" w:type="dxa"/>
            <w:tcBorders/>
            <w:shd w:fill="auto" w:val="clear"/>
            <w:vAlign w:val="bottom"/>
          </w:tcPr>
          <w:p>
            <w:pPr>
              <w:pStyle w:val="TableContents"/>
              <w:spacing w:before="0" w:after="0"/>
              <w:ind w:left="225" w:right="0" w:hanging="225"/>
              <w:rPr/>
            </w:pPr>
            <w:r>
              <w:rPr/>
              <w:t>Daniel N. Tonissen (a)</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412,000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400,000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right"/>
              <w:rPr/>
            </w:pPr>
            <w:r>
              <w:rPr/>
              <w:t>3.0</w:t>
            </w:r>
          </w:p>
        </w:tc>
        <w:tc>
          <w:tcPr>
            <w:tcW w:w="225" w:type="dxa"/>
            <w:tcBorders/>
            <w:shd w:fill="auto" w:val="clear"/>
            <w:vAlign w:val="bottom"/>
          </w:tcPr>
          <w:p>
            <w:pPr>
              <w:pStyle w:val="TableContents"/>
              <w:spacing w:before="0" w:after="283"/>
              <w:rPr/>
            </w:pPr>
            <w:r>
              <w:rPr/>
              <w:t>%</w:t>
            </w:r>
          </w:p>
        </w:tc>
      </w:tr>
      <w:tr>
        <w:trPr/>
        <w:tc>
          <w:tcPr>
            <w:tcW w:w="5375" w:type="dxa"/>
            <w:tcBorders/>
            <w:shd w:fill="CCEEFF" w:val="clear"/>
            <w:vAlign w:val="bottom"/>
          </w:tcPr>
          <w:p>
            <w:pPr>
              <w:pStyle w:val="TableContents"/>
              <w:spacing w:before="0" w:after="0"/>
              <w:ind w:left="225" w:right="0" w:hanging="225"/>
              <w:rPr/>
            </w:pPr>
            <w:r>
              <w:rPr/>
              <w:t>Brad Wolfe (b)</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300,000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N/A</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N/A</w:t>
            </w:r>
          </w:p>
        </w:tc>
        <w:tc>
          <w:tcPr>
            <w:tcW w:w="225" w:type="dxa"/>
            <w:tcBorders/>
            <w:shd w:fill="CCEEFF"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0"/>
              <w:ind w:left="225" w:right="0" w:hanging="225"/>
              <w:rPr/>
            </w:pPr>
            <w:r>
              <w:rPr/>
              <w:t>Daniel M. Chism (c)</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215,000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N/A</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N/A</w:t>
            </w:r>
          </w:p>
        </w:tc>
        <w:tc>
          <w:tcPr>
            <w:tcW w:w="225" w:type="dxa"/>
            <w:tcBorders/>
            <w:shd w:fill="auto" w:val="clear"/>
            <w:vAlign w:val="bottom"/>
          </w:tcPr>
          <w:p>
            <w:pPr>
              <w:pStyle w:val="TableContents"/>
              <w:spacing w:before="0" w:after="283"/>
              <w:rPr/>
            </w:pPr>
            <w:r>
              <w:rPr/>
              <w:t> </w:t>
            </w:r>
          </w:p>
        </w:tc>
      </w:tr>
      <w:tr>
        <w:trPr/>
        <w:tc>
          <w:tcPr>
            <w:tcW w:w="5375" w:type="dxa"/>
            <w:tcBorders/>
            <w:shd w:fill="CCEEFF" w:val="clear"/>
            <w:vAlign w:val="bottom"/>
          </w:tcPr>
          <w:p>
            <w:pPr>
              <w:pStyle w:val="TableContents"/>
              <w:spacing w:before="0" w:after="0"/>
              <w:ind w:left="225" w:right="0" w:hanging="225"/>
              <w:rPr/>
            </w:pPr>
            <w:r>
              <w:rPr/>
              <w:t>Sterling B. Brinkley</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775,000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775,000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225" w:type="dxa"/>
            <w:tcBorders/>
            <w:shd w:fill="CCEEFF"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0"/>
              <w:ind w:left="225" w:right="0" w:hanging="225"/>
              <w:rPr/>
            </w:pPr>
            <w:r>
              <w:rPr/>
              <w:t>Paul E. Rothamel (d)</w:t>
            </w:r>
          </w:p>
        </w:tc>
        <w:tc>
          <w:tcPr>
            <w:tcW w:w="31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500,000</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N/A</w:t>
            </w:r>
          </w:p>
        </w:tc>
        <w:tc>
          <w:tcPr>
            <w:tcW w:w="98"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N/A</w:t>
            </w:r>
          </w:p>
        </w:tc>
        <w:tc>
          <w:tcPr>
            <w:tcW w:w="225" w:type="dxa"/>
            <w:tcBorders/>
            <w:shd w:fill="auto" w:val="clear"/>
            <w:vAlign w:val="bottom"/>
          </w:tcPr>
          <w:p>
            <w:pPr>
              <w:pStyle w:val="TableContents"/>
              <w:spacing w:before="0" w:after="283"/>
              <w:rPr/>
            </w:pPr>
            <w:r>
              <w:rPr/>
              <w:t> </w:t>
            </w:r>
          </w:p>
        </w:tc>
      </w:tr>
      <w:tr>
        <w:trPr/>
        <w:tc>
          <w:tcPr>
            <w:tcW w:w="5375" w:type="dxa"/>
            <w:tcBorders/>
            <w:shd w:fill="CCEEFF" w:val="clear"/>
            <w:vAlign w:val="bottom"/>
          </w:tcPr>
          <w:p>
            <w:pPr>
              <w:pStyle w:val="TableContents"/>
              <w:spacing w:before="0" w:after="0"/>
              <w:ind w:left="225" w:right="0" w:hanging="225"/>
              <w:rPr/>
            </w:pPr>
            <w:r>
              <w:rPr/>
              <w:t>Robert A. Kasenter</w:t>
            </w:r>
          </w:p>
        </w:tc>
        <w:tc>
          <w:tcPr>
            <w:tcW w:w="31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310,000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280,000</w:t>
            </w:r>
          </w:p>
        </w:tc>
        <w:tc>
          <w:tcPr>
            <w:tcW w:w="98"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10.7</w:t>
            </w:r>
          </w:p>
        </w:tc>
        <w:tc>
          <w:tcPr>
            <w:tcW w:w="225"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Tonissen retired from the company effective December 31, 2009. The amount shown is the amount of the annual salary that was approved for Mr. Tonissen prior to his retirement. The actual amount paid to Mr. Tonissen for fiscal 2010 is shown in the Summary Compensation Table below.</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Wolfe joined the company in December 2009, but left in May 2010. The amount shown is the amount of the annual salary that was approved for Mr. Wolfe upon his hiring. The actual amount paid to Mr. Wolfe for fiscal 2010 is shown in the Summary Compensation Table below.</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Chism is the companys Vice President and Chief Accounting Officer and served as interim principal financial officer from May 2010 until November 2010. The information shown reflects Mr. Chisms compensation as Vice President and Chief Accounting Officer. Mr. Chisms fiscal 2009 compensation is not presented as he did not serve as principal financial officer in fiscal 2009.</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Rothamel joined the company in September 2009.</w:t>
            </w:r>
          </w:p>
        </w:tc>
      </w:tr>
    </w:tbl>
    <w:tbl>
      <w:tblPr>
        <w:tblW w:w="5000" w:type="pct"/>
        <w:jc w:val="left"/>
        <w:tblInd w:w="0" w:type="dxa"/>
        <w:tblCellMar>
          <w:top w:w="0" w:type="dxa"/>
          <w:left w:w="0" w:type="dxa"/>
          <w:bottom w:w="0" w:type="dxa"/>
          <w:right w:w="0" w:type="dxa"/>
        </w:tblCellMar>
      </w:tblPr>
      <w:tblGrid>
        <w:gridCol w:w="100"/>
        <w:gridCol w:w="100"/>
        <w:gridCol w:w="10005"/>
      </w:tblGrid>
      <w:tr>
        <w:trPr/>
        <w:tc>
          <w:tcPr>
            <w:tcW w:w="100" w:type="dxa"/>
            <w:tcBorders/>
            <w:shd w:fill="auto" w:val="clear"/>
          </w:tcPr>
          <w:p>
            <w:pPr>
              <w:pStyle w:val="TableContents"/>
              <w:spacing w:before="0" w:after="283"/>
              <w:jc w:val="left"/>
              <w:rPr/>
            </w:pPr>
            <w:r>
              <w:rPr/>
              <w:t> </w:t>
            </w:r>
          </w:p>
        </w:tc>
        <w:tc>
          <w:tcPr>
            <w:tcW w:w="100" w:type="dxa"/>
            <w:tcBorders/>
            <w:shd w:fill="auto" w:val="clear"/>
          </w:tcPr>
          <w:p>
            <w:pPr>
              <w:pStyle w:val="TableContents"/>
              <w:spacing w:before="0" w:after="283"/>
              <w:rPr/>
            </w:pPr>
            <w:r>
              <w:rPr/>
              <w:t> </w:t>
            </w:r>
          </w:p>
        </w:tc>
        <w:tc>
          <w:tcPr>
            <w:tcW w:w="10005" w:type="dxa"/>
            <w:tcBorders/>
            <w:shd w:fill="auto" w:val="clear"/>
          </w:tcPr>
          <w:p>
            <w:pPr>
              <w:pStyle w:val="TableContents"/>
              <w:spacing w:before="0" w:after="283"/>
              <w:rPr/>
            </w:pPr>
            <w:r>
              <w:rPr/>
              <w:t>In early fiscal 2011, Mr. Rotunda retired from his positions as Chief Executive Officer and a member of the board of directors, and Mr. Kasenter retired from his position as Senior Vice President of Administration. Mr. Rothamel has assumed the role of Chief Executive Officer, and Stephen A. Stamp has joined the Company as Senior Vice President and Chief Financial Officer. The Compensation Committee has approved the following base salaries for fiscal 2011: Mr. Rothamel, $750,000; Mr. Stamp, $350,000; and Mr. Brinkley, $800,000.</w:t>
            </w:r>
          </w:p>
        </w:tc>
      </w:tr>
    </w:tbl>
    <w:tbl>
      <w:tblPr>
        <w:tblW w:w="5000" w:type="pct"/>
        <w:jc w:val="left"/>
        <w:tblInd w:w="0" w:type="dxa"/>
        <w:tblCellMar>
          <w:top w:w="0" w:type="dxa"/>
          <w:left w:w="0" w:type="dxa"/>
          <w:bottom w:w="0" w:type="dxa"/>
          <w:right w:w="0" w:type="dxa"/>
        </w:tblCellMar>
      </w:tblPr>
      <w:tblGrid>
        <w:gridCol w:w="202"/>
        <w:gridCol w:w="125"/>
        <w:gridCol w:w="9878"/>
      </w:tblGrid>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i/>
              </w:rPr>
              <w:t xml:space="preserve">Short-Term Incentive Compensation </w:t>
            </w:r>
            <w:r>
              <w:rPr/>
              <w:t> Our senior executives, as well as other key employees, are eligible to participate in our annual Incentive Compensation Plan, which has four primary objectives:</w:t>
            </w:r>
          </w:p>
        </w:tc>
      </w:tr>
    </w:tbl>
    <w:tbl>
      <w:tblPr>
        <w:tblW w:w="5000" w:type="pct"/>
        <w:jc w:val="left"/>
        <w:tblInd w:w="0" w:type="dxa"/>
        <w:tblCellMar>
          <w:top w:w="0" w:type="dxa"/>
          <w:left w:w="0" w:type="dxa"/>
          <w:bottom w:w="0" w:type="dxa"/>
          <w:right w:w="0" w:type="dxa"/>
        </w:tblCellMar>
      </w:tblPr>
      <w:tblGrid>
        <w:gridCol w:w="304"/>
        <w:gridCol w:w="204"/>
        <w:gridCol w:w="101"/>
        <w:gridCol w:w="9596"/>
      </w:tblGrid>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Attract, retain and motivate top-quality executives who can add significant value to the company;</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Create an incentive compensation opportunity that is an integral part of the executives total compensation program;</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Reward participants contributions to the achievement of our business results, and</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Provide an incentive for individuals to achieve corporate, business unit, departmental and personal objectives that are tied to our strategic goals.</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The Incentive Compensation Plan provides each participant an opportunity to receive an annual incentive cash bonus based on our company and business unit financial performance and the participants personal performance during the fiscal year. The Compensation Committee approves the participants to be included in the Incentive Compensation Plan, the company and business unit financial objectives, and the target and actual payouts for senior executives.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The following is a description of the key terms of the Incentive Compensation Plan for fiscal 2010:</w:t>
            </w:r>
          </w:p>
        </w:tc>
      </w:tr>
    </w:tbl>
    <w:tbl>
      <w:tblPr>
        <w:tblW w:w="5000" w:type="pct"/>
        <w:jc w:val="left"/>
        <w:tblInd w:w="0" w:type="dxa"/>
        <w:tblCellMar>
          <w:top w:w="0" w:type="dxa"/>
          <w:left w:w="0" w:type="dxa"/>
          <w:bottom w:w="0" w:type="dxa"/>
          <w:right w:w="0" w:type="dxa"/>
        </w:tblCellMar>
      </w:tblPr>
      <w:tblGrid>
        <w:gridCol w:w="305"/>
        <w:gridCol w:w="203"/>
        <w:gridCol w:w="101"/>
        <w:gridCol w:w="9596"/>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Each participants target bonus was determined as a percentage of base salary. The percentages vary by position. For fiscal 2010, the target bonus percentage for each of the Named Executive Officers was 150% for Mr. Rotunda, 60% for Mr. Tonissen, 50% for Mr. Wolfe, 30% for Mr. Chism, 150% for Mr. Brinkley, 150% for Mr. Rothamel and 60% for Mr. Kasenter. Mr. Rothamels target bonus percentage was originally set at 100%, but was increased to 150% with his promotion to President in February 2010.</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Each participant had a company financial objective and, in most cases, personal objectives that included financial or non-financial goals intended to enhance and support our strategic initiatives. Each participant was assigned a weighting between the company financial objective and the personal objectives for determining the individual incentive award. The company financial objective was weighted more heavily for more senior positions. For Mr. Rotunda, Mr. Brinkley, Mr. Rothamel and Mr. Kasenter, 100% of their bonus opportunity was tied to the achievement of the company financial objective.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company financial objective was measured by net income and required a significant increase in net income from the actual net income achieved in fiscal 2009.</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payout potential ranged from 0% to 150% of the company financial objective target amount, depending on the level of achievement of the company financial objective. The payout potential of the personal objective target amount ranged from 0% to 100% for each participant, but could be increased up to 150% if the company achieved the maximum payout level for the company financial objective. No personal objective payout is allowed unless the minimum company financial objective is achieved. Each participants total incentive bonus payout was calculated as the sum of the company financial objective payout and the participants personal objective payout.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incentive bonus payouts for the senior executives were reviewed and approved by the Compensation Committee, which has the ability to adjust individual payouts if it feels that the award does not reflect the contribution of the participant.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 November 2010, the Compensation Committee determined that the level of net income achieved for fiscal 2010 exceeded the maximum company financial objective, resulting in a 150% payout for the portion of the incentive bonuses attributable to the company financial objective. After reviewing the proposed payouts for the senior executives, the Compensation Committee approved the total short-term incentive bonus payouts for each senior executive. The payouts to the Named Executive Officers are shown under Non-Equity Incentive Plan Compensation in the Summary Compensation Table below.</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In November 2010, the Compensation Committee adopted a new Incentive Compensation Plan applicable to fiscal 2011 and future years. The following are the key provisions of the new Incentive Compensation Plan:</w:t>
            </w:r>
          </w:p>
        </w:tc>
      </w:tr>
    </w:tbl>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plan is administered by the Compensation Committee, which has the power and authority to establish, adjust, pay or decline to pay the incentive bonus for each participant, including the power and authority to increase or decrease the incentive bonus otherwise payable to a participant. However, the committee does not have the power to increase, or make adjustments that would have the effect of increasing, the incentive bonus otherwise payable to any executive officer. The committee has the right to delegate to the Chief Executive Officer its authority and responsibilities with respect to the incentive bonuses payable to employees other than executive officers.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eligible participants include the executive officers and other key employees.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xml:space="preserve">The Compensation Committee is responsible for designating the participants for each fiscal year and specifying the terms and conditions for earning incentive bonuses, including establishing specific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204"/>
        <w:gridCol w:w="101"/>
        <w:gridCol w:w="9596"/>
      </w:tblGrid>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performance objectives. Incentive bonuses payable to executive officers are intended to constitute qualified performance-based compensation for purposes of Section 162(m) of the Internal Revenue Code. Consequently, each incentive bonus awarded to an executive officer must be conditioned on one or more specified Performance Measures, calculated on a consolidated or business unit basis. Possible Performance Measures include total stockholder return; net income; earnings per share; return on sales; return on equity; return on assets; return on invested capital; increase in the market price of stock or other securities; revenues; net revenues; operating income; cash flow; EBITDA; the performance of the company in any of the foregoing measures in comparison to a pre-established peer group; or any other performance objective approved by the companys stockholders.</w:t>
            </w:r>
          </w:p>
        </w:tc>
      </w:tr>
    </w:tbl>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As soon as reasonably practicable after the end of each fiscal year, the Compensation Committee will determine whether the specified performance goal for each incentive bonus has been achieved and the amount of the incentive bonus to be paid to each participant. The maximum annual incentive bonus that may be awarded to any executive officer may not exceed 300% of the executive officers base salary during that year.</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plan is effective for fiscal 2011 and will continue until the end of fiscal 2015, unless it is terminated by the board of directors before then.</w:t>
            </w:r>
          </w:p>
        </w:tc>
      </w:tr>
    </w:tbl>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t>The Compensation Committee also established the fiscal 2011 targets and performance measures for each of the senior executives. For fiscal 2011, the incentive bonus for each senior executive will be a function of the designated target amount (stated as a percentage of base salary), a business performance modifier ranging from 0% to 150% and an individual performance modifier ranging from 0% to 100%. For each executive, the business performance modifier will be based on the companys achievement of specified levels of net income (which require a significant increase over the actual net income for fiscal 2010), plus, in the case of certain of the senior executives, business unit achievement of specified levels of operating income (again, requiring significant year-over-year increases). The individual performance modifiers will be based on end-of-year performance reviews and, in the case of the Chairman of the Board and the Chief Executive Officer, will be determined by the Compensation Committee.</w:t>
            </w:r>
          </w:p>
        </w:tc>
      </w:tr>
    </w:tbl>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t>The Compensation Committee has approved the following incentive bonus targets for fiscal 2011 (stated as a percentage of base salary): Mr. Rothamel, 150%; Mr. Stamp, 60%; and Mr. Brinkley, 150%. The business performance modifier is based on company net income objectives for Mr. Rothamel, Mr. Stamp and Mr. Brinkley.</w:t>
            </w:r>
          </w:p>
        </w:tc>
      </w:tr>
    </w:tbl>
    <w:tbl>
      <w:tblPr>
        <w:tblW w:w="5000" w:type="pct"/>
        <w:jc w:val="left"/>
        <w:tblInd w:w="0" w:type="dxa"/>
        <w:tblCellMar>
          <w:top w:w="0" w:type="dxa"/>
          <w:left w:w="0" w:type="dxa"/>
          <w:bottom w:w="0" w:type="dxa"/>
          <w:right w:w="0" w:type="dxa"/>
        </w:tblCellMar>
      </w:tblPr>
      <w:tblGrid>
        <w:gridCol w:w="202"/>
        <w:gridCol w:w="125"/>
        <w:gridCol w:w="9878"/>
      </w:tblGrid>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i/>
              </w:rPr>
              <w:t xml:space="preserve">Long-Term Compensation </w:t>
            </w:r>
            <w:r>
              <w:rPr/>
              <w:t> All of our executive officers are eligible to receive equity awards in the form of stock options or restricted stock. Participation in the long-term incentive plan is based on the following criteria:</w:t>
            </w:r>
          </w:p>
        </w:tc>
      </w:tr>
    </w:tbl>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Analysis of competitive information for comparable positions;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Evaluation of the value added to the company by hiring or retaining specific executives;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283"/>
              <w:rPr/>
            </w:pPr>
            <w:r>
              <w:rPr/>
              <w:t>Each executives long-term potential contributions to our company.</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Although equity awards may be made at any time as determined by the Compensation Committee, they are generally made on the first business day of our fiscal year or on or around the recipients hire date (in the case of new-hire grants).</w:t>
            </w:r>
          </w:p>
        </w:tc>
      </w:tr>
    </w:tbl>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t>The Compensation Committees philosophy on long-term compensation is that equity-based compensation is an effective method to align the interests of stockholders and management and focus managements attention on long-term results. Participation in equity-based compensation plans must also consider the impact the participant can have on our overall performance, strategic direction, financial results and stockholder value. Therefore, equity awards are primarily based upon the participants position in the organization, competitive necessity and individual performance.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The Compensation Committee, with the assistance of its consultant Towers Watson, researched the benefits of moving from cliff vesting of awards to pro-rata vesting. Based on that research, the committee concluded that pro-rata vesting over a three-year period was more conducive to attracting and retaining quality executive talent at growth companies. Thus, the Committee has decided to use pro-rata vesting for the restricted stock awards made on October 1, 2010. Most equity awards have vesting schedules over several years to promote long-term performance and retention of the recipient, and some have specific performance criteria for vesting.</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On October 1, 2009, restricted stock grants were made to 59 key employees totaling 178,500 shares. As a part of those grants, Mr. Rothamel received 25,000 shares and Mr. Chism received 4,000 shares. All of these restricted shares vest on October 1, 2012 (three-year cliff vesting).</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In July 2010, pursuant to his previously disclosed Employment and Post-Employment Agreement, Mr. Kasenter received a restricted stock grant of 30,000 shares, with 10,000 shares vesting each September 30 from 2011 through 2013. The grant was made in recognition of Mr. Kasenters long service to the company and his success in recruiting and on-boarding a new executive manager for the companys human resources function in contemplation of Mr. Kasenters retirement.</w:t>
            </w:r>
          </w:p>
        </w:tc>
      </w:tr>
    </w:tbl>
    <w:tbl>
      <w:tblPr>
        <w:tblW w:w="5000" w:type="pct"/>
        <w:jc w:val="left"/>
        <w:tblInd w:w="0" w:type="dxa"/>
        <w:tblCellMar>
          <w:top w:w="0" w:type="dxa"/>
          <w:left w:w="0" w:type="dxa"/>
          <w:bottom w:w="0" w:type="dxa"/>
          <w:right w:w="0" w:type="dxa"/>
        </w:tblCellMar>
      </w:tblPr>
      <w:tblGrid>
        <w:gridCol w:w="101"/>
        <w:gridCol w:w="101"/>
        <w:gridCol w:w="10003"/>
      </w:tblGrid>
      <w:tr>
        <w:trPr/>
        <w:tc>
          <w:tcPr>
            <w:tcW w:w="101"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3" w:type="dxa"/>
            <w:tcBorders/>
            <w:shd w:fill="auto" w:val="clear"/>
          </w:tcPr>
          <w:p>
            <w:pPr>
              <w:pStyle w:val="TableContents"/>
              <w:spacing w:before="0" w:after="283"/>
              <w:rPr/>
            </w:pPr>
            <w:r>
              <w:rPr/>
              <w:t>No equity awards were made to Mr. Rotunda, Mr. Tonissen or Mr. Brinkley during fiscal 2010. Mr. Wolfe received a grant of 10,000 restricted shares on December 1, 2009, his first day of employment, but all of those shares were forfeited in May 2010, when Mr. Wolfe left the company.</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On October 1, 2010, restricted stock grants were made to 54 key employees, totaling 177,500 shares. As part of those grants, Mr. Chism received 4,000 shares. These shares vest pro-rata over three years.</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Also on October 1, 2010, Mr. Rothamel and Mr. Brinkley each received a restricted stock grant of 300,000 shares. These shares are subject to a six-year, performance-based vesting schedule (one-third on October 1, 2012, one-third on October 1, 2014 and one-third on October 1, 2016). The Compensation Committee intended these significant grants, which include a longer vesting period (every two years for a total of six years) and specified performance goals (described below), to encourage and incent the companys most senior leaders to manage the company to maximize stockholder value over the long term.</w:t>
            </w:r>
          </w:p>
        </w:tc>
      </w:tr>
    </w:tbl>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t>For the October 1, 2010 equity awards made to the executive officers (including the awards to Mr. Rothamel and Mr. Brinkley), the Compensation Committee chose to condition vesting on the attainment of specified performance goals. These goals generally require the company to have achieved, on each scheduled vesting date, an annual compounded growth rate in EBITDA of at least 5%, when compared to the companys EBITDA for fiscal 2010. The Compensation Committee adopted this performance-based vesting so that the executive officers would be incented to achieve steady, positive operating performance over extended periods of time. In addition, the inclusion of the performance goals is intended to ensure that the awards constitute qualified performance-based compensation for purposes of Section 162(m) of the Internal Revenue Code and, therefore, that the company receives federal income tax deductions for these awards.</w:t>
            </w:r>
          </w:p>
        </w:tc>
      </w:tr>
    </w:tbl>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t>In calculating EBITDA for purposes of the performance-based vesting, the recorded expenses associated with Joe Rotundas retirement from the company (including the expenses associated with cash payments and the vesting of outstanding restricted stock) will be excluded. The Compensation Committee permitted this exclusion because it recognized that those expenses were beyond the control of management and were not reflective of the companys operating performance.</w:t>
            </w:r>
          </w:p>
        </w:tc>
      </w:tr>
    </w:tbl>
    <w:tbl>
      <w:tblPr>
        <w:tblW w:w="5000" w:type="pct"/>
        <w:jc w:val="left"/>
        <w:tblInd w:w="0" w:type="dxa"/>
        <w:tblCellMar>
          <w:top w:w="0" w:type="dxa"/>
          <w:left w:w="0" w:type="dxa"/>
          <w:bottom w:w="0" w:type="dxa"/>
          <w:right w:w="0" w:type="dxa"/>
        </w:tblCellMar>
      </w:tblPr>
      <w:tblGrid>
        <w:gridCol w:w="208"/>
        <w:gridCol w:w="127"/>
        <w:gridCol w:w="9870"/>
      </w:tblGrid>
      <w:tr>
        <w:trPr/>
        <w:tc>
          <w:tcPr>
            <w:tcW w:w="208" w:type="dxa"/>
            <w:tcBorders/>
            <w:shd w:fill="auto" w:val="clear"/>
          </w:tcPr>
          <w:p>
            <w:pPr>
              <w:pStyle w:val="TableContents"/>
              <w:spacing w:before="0" w:after="283"/>
              <w:jc w:val="left"/>
              <w:rPr>
                <w:b/>
              </w:rPr>
            </w:pPr>
            <w:r>
              <w:rPr>
                <w:b/>
              </w:rPr>
              <w:t></w:t>
            </w:r>
          </w:p>
        </w:tc>
        <w:tc>
          <w:tcPr>
            <w:tcW w:w="127"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i/>
              </w:rPr>
              <w:t xml:space="preserve">Supplemental Executive Retirement Plan </w:t>
            </w:r>
            <w:r>
              <w:rPr/>
              <w:t> We provide selected executives, including all of the Named Executive Officers, with a non-qualified Supplemental Executive Retirement Plan (SERP) in order to offset some of the negative impacts of the highly-paid executive contribution limitations applicable to our 401(k) retirement savings plan. For a description of the SERP, see Other Benefits and Perquisites below.</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t>In October 2009, we made the following contributions to the SERP on behalf of the Named Executive Officers:</w:t>
            </w:r>
          </w:p>
        </w:tc>
      </w:tr>
    </w:tbl>
    <w:tbl>
      <w:tblPr>
        <w:tblW w:w="5000" w:type="pct"/>
        <w:jc w:val="center"/>
        <w:tblInd w:w="0" w:type="dxa"/>
        <w:tblCellMar>
          <w:top w:w="0" w:type="dxa"/>
          <w:left w:w="0" w:type="dxa"/>
          <w:bottom w:w="0" w:type="dxa"/>
          <w:right w:w="0" w:type="dxa"/>
        </w:tblCellMar>
      </w:tblPr>
      <w:tblGrid>
        <w:gridCol w:w="8221"/>
        <w:gridCol w:w="405"/>
        <w:gridCol w:w="224"/>
        <w:gridCol w:w="1237"/>
        <w:gridCol w:w="118"/>
      </w:tblGrid>
      <w:tr>
        <w:trPr/>
        <w:tc>
          <w:tcPr>
            <w:tcW w:w="82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8221" w:type="dxa"/>
            <w:tcBorders>
              <w:bottom w:val="single" w:sz="2" w:space="0" w:color="000000"/>
            </w:tcBorders>
            <w:shd w:fill="auto" w:val="clear"/>
            <w:tcMar>
              <w:bottom w:w="28" w:type="dxa"/>
            </w:tcMar>
            <w:vAlign w:val="bottom"/>
          </w:tcPr>
          <w:p>
            <w:pPr>
              <w:pStyle w:val="TableContents"/>
              <w:spacing w:before="0" w:after="283"/>
              <w:jc w:val="left"/>
              <w:rPr>
                <w:b/>
              </w:rPr>
            </w:pPr>
            <w:r>
              <w:rPr>
                <w:b/>
              </w:rPr>
              <w:t>Named Executive Officer</w:t>
            </w:r>
          </w:p>
        </w:tc>
        <w:tc>
          <w:tcPr>
            <w:tcW w:w="405" w:type="dxa"/>
            <w:tcBorders/>
            <w:shd w:fill="auto" w:val="clear"/>
            <w:vAlign w:val="bottom"/>
          </w:tcPr>
          <w:p>
            <w:pPr>
              <w:pStyle w:val="TableContents"/>
              <w:spacing w:before="0" w:after="283"/>
              <w:rPr/>
            </w:pPr>
            <w:r>
              <w:rPr/>
              <w:t> </w:t>
            </w:r>
          </w:p>
        </w:tc>
        <w:tc>
          <w:tcPr>
            <w:tcW w:w="14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SERP Award</w:t>
            </w:r>
          </w:p>
        </w:tc>
        <w:tc>
          <w:tcPr>
            <w:tcW w:w="118" w:type="dxa"/>
            <w:tcBorders/>
            <w:shd w:fill="auto" w:val="clear"/>
            <w:vAlign w:val="bottom"/>
          </w:tcPr>
          <w:p>
            <w:pPr>
              <w:pStyle w:val="TableContents"/>
              <w:spacing w:before="0" w:after="283"/>
              <w:rPr/>
            </w:pPr>
            <w:r>
              <w:rPr/>
              <w:t> </w:t>
            </w:r>
          </w:p>
        </w:tc>
      </w:tr>
      <w:tr>
        <w:trPr/>
        <w:tc>
          <w:tcPr>
            <w:tcW w:w="8221" w:type="dxa"/>
            <w:tcBorders/>
            <w:shd w:fill="CCEEFF" w:val="clear"/>
            <w:vAlign w:val="bottom"/>
          </w:tcPr>
          <w:p>
            <w:pPr>
              <w:pStyle w:val="TableContents"/>
              <w:spacing w:before="0" w:after="0"/>
              <w:ind w:left="225" w:right="0" w:hanging="225"/>
              <w:rPr/>
            </w:pPr>
            <w:r>
              <w:rPr/>
              <w:t>Joseph L. Rotunda</w:t>
            </w:r>
          </w:p>
        </w:tc>
        <w:tc>
          <w:tcPr>
            <w:tcW w:w="40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jc w:val="left"/>
              <w:rPr/>
            </w:pPr>
            <w:r>
              <w:rPr/>
              <w:t>$</w:t>
            </w:r>
          </w:p>
        </w:tc>
        <w:tc>
          <w:tcPr>
            <w:tcW w:w="1237" w:type="dxa"/>
            <w:tcBorders/>
            <w:shd w:fill="CCEEFF" w:val="clear"/>
            <w:vAlign w:val="bottom"/>
          </w:tcPr>
          <w:p>
            <w:pPr>
              <w:pStyle w:val="TableContents"/>
              <w:spacing w:before="0" w:after="283"/>
              <w:jc w:val="right"/>
              <w:rPr/>
            </w:pPr>
            <w:r>
              <w:rPr/>
              <w:t>236,250</w:t>
            </w:r>
          </w:p>
        </w:tc>
        <w:tc>
          <w:tcPr>
            <w:tcW w:w="118" w:type="dxa"/>
            <w:tcBorders/>
            <w:shd w:fill="CCEEFF" w:val="clear"/>
            <w:vAlign w:val="bottom"/>
          </w:tcPr>
          <w:p>
            <w:pPr>
              <w:pStyle w:val="TableContents"/>
              <w:spacing w:before="0" w:after="283"/>
              <w:rPr/>
            </w:pPr>
            <w:r>
              <w:rPr/>
              <w:t> </w:t>
            </w:r>
          </w:p>
        </w:tc>
      </w:tr>
      <w:tr>
        <w:trPr/>
        <w:tc>
          <w:tcPr>
            <w:tcW w:w="8221" w:type="dxa"/>
            <w:tcBorders/>
            <w:shd w:fill="auto" w:val="clear"/>
            <w:vAlign w:val="bottom"/>
          </w:tcPr>
          <w:p>
            <w:pPr>
              <w:pStyle w:val="TableContents"/>
              <w:spacing w:before="0" w:after="0"/>
              <w:ind w:left="225" w:right="0" w:hanging="225"/>
              <w:rPr/>
            </w:pPr>
            <w:r>
              <w:rPr/>
              <w:t>Daniel N. Tonissen</w:t>
            </w:r>
          </w:p>
        </w:tc>
        <w:tc>
          <w:tcPr>
            <w:tcW w:w="40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r>
      <w:tr>
        <w:trPr/>
        <w:tc>
          <w:tcPr>
            <w:tcW w:w="8221" w:type="dxa"/>
            <w:tcBorders/>
            <w:shd w:fill="CCEEFF" w:val="clear"/>
            <w:vAlign w:val="bottom"/>
          </w:tcPr>
          <w:p>
            <w:pPr>
              <w:pStyle w:val="TableContents"/>
              <w:spacing w:before="0" w:after="0"/>
              <w:ind w:left="225" w:right="0" w:hanging="225"/>
              <w:rPr/>
            </w:pPr>
            <w:r>
              <w:rPr/>
              <w:t>Brad Wolfe</w:t>
            </w:r>
          </w:p>
        </w:tc>
        <w:tc>
          <w:tcPr>
            <w:tcW w:w="40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r>
      <w:tr>
        <w:trPr/>
        <w:tc>
          <w:tcPr>
            <w:tcW w:w="8221" w:type="dxa"/>
            <w:tcBorders/>
            <w:shd w:fill="auto" w:val="clear"/>
            <w:vAlign w:val="bottom"/>
          </w:tcPr>
          <w:p>
            <w:pPr>
              <w:pStyle w:val="TableContents"/>
              <w:spacing w:before="0" w:after="0"/>
              <w:ind w:left="225" w:right="0" w:hanging="225"/>
              <w:rPr/>
            </w:pPr>
            <w:r>
              <w:rPr/>
              <w:t>Daniel M. Chism</w:t>
            </w:r>
          </w:p>
        </w:tc>
        <w:tc>
          <w:tcPr>
            <w:tcW w:w="40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r>
      <w:tr>
        <w:trPr/>
        <w:tc>
          <w:tcPr>
            <w:tcW w:w="8221" w:type="dxa"/>
            <w:tcBorders/>
            <w:shd w:fill="CCEEFF" w:val="clear"/>
            <w:vAlign w:val="bottom"/>
          </w:tcPr>
          <w:p>
            <w:pPr>
              <w:pStyle w:val="TableContents"/>
              <w:spacing w:before="0" w:after="0"/>
              <w:ind w:left="225" w:right="0" w:hanging="225"/>
              <w:rPr/>
            </w:pPr>
            <w:r>
              <w:rPr/>
              <w:t>Sterling B. Brinkley</w:t>
            </w:r>
          </w:p>
        </w:tc>
        <w:tc>
          <w:tcPr>
            <w:tcW w:w="40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174,375</w:t>
            </w:r>
          </w:p>
        </w:tc>
        <w:tc>
          <w:tcPr>
            <w:tcW w:w="118" w:type="dxa"/>
            <w:tcBorders/>
            <w:shd w:fill="CCEEFF" w:val="clear"/>
            <w:vAlign w:val="bottom"/>
          </w:tcPr>
          <w:p>
            <w:pPr>
              <w:pStyle w:val="TableContents"/>
              <w:spacing w:before="0" w:after="283"/>
              <w:rPr/>
            </w:pPr>
            <w:r>
              <w:rPr/>
              <w:t> </w:t>
            </w:r>
          </w:p>
        </w:tc>
      </w:tr>
      <w:tr>
        <w:trPr/>
        <w:tc>
          <w:tcPr>
            <w:tcW w:w="8221" w:type="dxa"/>
            <w:tcBorders/>
            <w:shd w:fill="auto" w:val="clear"/>
            <w:vAlign w:val="bottom"/>
          </w:tcPr>
          <w:p>
            <w:pPr>
              <w:pStyle w:val="TableContents"/>
              <w:spacing w:before="0" w:after="0"/>
              <w:ind w:left="225" w:right="0" w:hanging="225"/>
              <w:rPr/>
            </w:pPr>
            <w:r>
              <w:rPr/>
              <w:t>Paul E. Rothamel</w:t>
            </w:r>
          </w:p>
        </w:tc>
        <w:tc>
          <w:tcPr>
            <w:tcW w:w="40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jc w:val="right"/>
              <w:rPr/>
            </w:pPr>
            <w:r>
              <w:rPr/>
              <w:t>90,000</w:t>
            </w:r>
          </w:p>
        </w:tc>
        <w:tc>
          <w:tcPr>
            <w:tcW w:w="118" w:type="dxa"/>
            <w:tcBorders/>
            <w:shd w:fill="auto" w:val="clear"/>
            <w:vAlign w:val="bottom"/>
          </w:tcPr>
          <w:p>
            <w:pPr>
              <w:pStyle w:val="TableContents"/>
              <w:spacing w:before="0" w:after="283"/>
              <w:rPr/>
            </w:pPr>
            <w:r>
              <w:rPr/>
              <w:t> </w:t>
            </w:r>
          </w:p>
        </w:tc>
      </w:tr>
      <w:tr>
        <w:trPr/>
        <w:tc>
          <w:tcPr>
            <w:tcW w:w="8221" w:type="dxa"/>
            <w:tcBorders/>
            <w:shd w:fill="CCEEFF" w:val="clear"/>
            <w:vAlign w:val="bottom"/>
          </w:tcPr>
          <w:p>
            <w:pPr>
              <w:pStyle w:val="TableContents"/>
              <w:spacing w:before="0" w:after="0"/>
              <w:ind w:left="225" w:right="0" w:hanging="225"/>
              <w:rPr/>
            </w:pPr>
            <w:r>
              <w:rPr/>
              <w:t>Robert A. Kasenter</w:t>
            </w:r>
          </w:p>
        </w:tc>
        <w:tc>
          <w:tcPr>
            <w:tcW w:w="40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pPr>
            <w:r>
              <w:rPr/>
              <w:t>44,640</w:t>
            </w:r>
          </w:p>
        </w:tc>
        <w:tc>
          <w:tcPr>
            <w:tcW w:w="118" w:type="dxa"/>
            <w:tcBorders/>
            <w:shd w:fill="CCEEFF" w:val="clear"/>
            <w:vAlign w:val="bottom"/>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t>The SERP awards approved for fiscal 2011 were $168,750 for Mr. Rothamel, $180,000 for Mr. Brinkley; and $12,404 for Mr. Chism.</w:t>
            </w:r>
          </w:p>
        </w:tc>
      </w:tr>
    </w:tbl>
    <w:tbl>
      <w:tblPr>
        <w:tblW w:w="5000" w:type="pct"/>
        <w:jc w:val="left"/>
        <w:tblInd w:w="0" w:type="dxa"/>
        <w:tblCellMar>
          <w:top w:w="0" w:type="dxa"/>
          <w:left w:w="0" w:type="dxa"/>
          <w:bottom w:w="0" w:type="dxa"/>
          <w:right w:w="0" w:type="dxa"/>
        </w:tblCellMar>
      </w:tblPr>
      <w:tblGrid>
        <w:gridCol w:w="199"/>
        <w:gridCol w:w="124"/>
        <w:gridCol w:w="9882"/>
      </w:tblGrid>
      <w:tr>
        <w:trPr/>
        <w:tc>
          <w:tcPr>
            <w:tcW w:w="199" w:type="dxa"/>
            <w:tcBorders/>
            <w:shd w:fill="auto" w:val="clear"/>
          </w:tcPr>
          <w:p>
            <w:pPr>
              <w:pStyle w:val="TableContents"/>
              <w:spacing w:before="0" w:after="283"/>
              <w:jc w:val="left"/>
              <w:rPr>
                <w:b/>
              </w:rPr>
            </w:pPr>
            <w:r>
              <w:rPr>
                <w:b/>
              </w:rPr>
              <w:t></w:t>
            </w:r>
          </w:p>
        </w:tc>
        <w:tc>
          <w:tcPr>
            <w:tcW w:w="124" w:type="dxa"/>
            <w:tcBorders/>
            <w:shd w:fill="auto" w:val="clear"/>
          </w:tcPr>
          <w:p>
            <w:pPr>
              <w:pStyle w:val="TableContents"/>
              <w:spacing w:before="0" w:after="283"/>
              <w:rPr/>
            </w:pPr>
            <w:r>
              <w:rPr/>
              <w:t> </w:t>
            </w:r>
          </w:p>
        </w:tc>
        <w:tc>
          <w:tcPr>
            <w:tcW w:w="9882" w:type="dxa"/>
            <w:tcBorders/>
            <w:shd w:fill="auto" w:val="clear"/>
          </w:tcPr>
          <w:p>
            <w:pPr>
              <w:pStyle w:val="TableContents"/>
              <w:spacing w:before="0" w:after="283"/>
              <w:rPr/>
            </w:pPr>
            <w:r>
              <w:rPr>
                <w:i/>
              </w:rPr>
              <w:t xml:space="preserve">Other Benefits and Perquisites </w:t>
            </w:r>
            <w:r>
              <w:rPr/>
              <w:t> The executive officers participate in other benefit plans on the same terms as other employees. These plans include medical, dental and life insurance benefits, and our 401(k) retirement savings plan. In addition, we provide supplemental healthcare benefits to our executive officers. The amount of that benefit for the Named Executive Officers during fiscal 2010 is included in the All Other Compensation table below.</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Employment Agreements, Severance and Change-in-Control Arrangements </w:t>
      </w:r>
      <w:r>
        <w:rPr>
          <w:rFonts w:ascii="Times New Roman;Times;serif" w:hAnsi="Times New Roman;Times;serif"/>
          <w:sz w:val="17"/>
        </w:rPr>
        <w:t xml:space="preserve"> Effective January 1, 2009, we entered into an Employment and Compensation Agreement with our Chief Executive Officer, Joseph L. Rotunda. That agreement expired on October 8, 2010, and Mr. Rotunda retired from his positions as Chief Executive Officer and a member of the Board of Directors on October 31, 2010. The agreement provided Mr. Rotunda with certain severance and termination benefits if he served the full term of the agreement (through October 8, 2010), and Mr. Rotunda became entitled to those benefits upon his retirement. Those benefits are described under Other Benefits and Perquisites  Certain Termination and Change-in-Control Benefits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August 3, 2009, we entered into an employment agreement with Paul E. Rothamel, who is now our President and Chief Executive Officer. The agreement provides for certain benefits (principally, a payment equal to one year of then-current base salary) if (a) Mr. Rothamel terminates his employment for good reason (including a change in control), (b) we terminate Mr. Rothamels employment without cause, or (c) Mr. Rothamel dies or becomes totally and permanently disabled during his active employment. The agreement has an initial term of two years, and will be renewed for successive one-year terms unless either party gives 90-days notice to terminate.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February 11, 2010, we entered into an Employment and Post-Employment Agreement with Robert A. Kasenter, Senior Vice President of Administration. Under the terms of that agreement, the company agreed to employ Mr. Kasenter through October 4, 2010 at his then-current compensation and benefits, agreed to grant him 30,000 shares of restricted stock upon his successful recruitment and on-boarding of a new executive manager for the companys Human Resources function, and agreed to enter into a three-year consulting agreement. The terms of that consulting agreement are described under Other Benefits and Perquisites  Certain Termination and Change-in-Control Benefits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provides the following additional severance or change-in-control benefits to its executive officers: </w:t>
      </w:r>
    </w:p>
    <w:tbl>
      <w:tblPr>
        <w:tblW w:w="5000" w:type="pct"/>
        <w:jc w:val="left"/>
        <w:tblInd w:w="0" w:type="dxa"/>
        <w:tblCellMar>
          <w:top w:w="0" w:type="dxa"/>
          <w:left w:w="0" w:type="dxa"/>
          <w:bottom w:w="0" w:type="dxa"/>
          <w:right w:w="0" w:type="dxa"/>
        </w:tblCellMar>
      </w:tblPr>
      <w:tblGrid>
        <w:gridCol w:w="202"/>
        <w:gridCol w:w="126"/>
        <w:gridCol w:w="9877"/>
      </w:tblGrid>
      <w:tr>
        <w:trPr/>
        <w:tc>
          <w:tcPr>
            <w:tcW w:w="202"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77" w:type="dxa"/>
            <w:tcBorders/>
            <w:shd w:fill="auto" w:val="clear"/>
          </w:tcPr>
          <w:p>
            <w:pPr>
              <w:pStyle w:val="TableContents"/>
              <w:spacing w:before="0" w:after="283"/>
              <w:rPr/>
            </w:pPr>
            <w:r>
              <w:rPr/>
              <w:t>The terms of employment for certain of our executive officers (including Mr. Stamp) provide that the executive officer will receive salary continuation for one year if his or her employment is terminated by the company without cause.</w:t>
            </w:r>
          </w:p>
        </w:tc>
      </w:tr>
    </w:tbl>
    <w:tbl>
      <w:tblPr>
        <w:tblW w:w="5000" w:type="pct"/>
        <w:jc w:val="left"/>
        <w:tblInd w:w="0" w:type="dxa"/>
        <w:tblCellMar>
          <w:top w:w="0" w:type="dxa"/>
          <w:left w:w="0" w:type="dxa"/>
          <w:bottom w:w="0" w:type="dxa"/>
          <w:right w:w="0" w:type="dxa"/>
        </w:tblCellMar>
      </w:tblPr>
      <w:tblGrid>
        <w:gridCol w:w="202"/>
        <w:gridCol w:w="125"/>
        <w:gridCol w:w="9878"/>
      </w:tblGrid>
      <w:tr>
        <w:trPr/>
        <w:tc>
          <w:tcPr>
            <w:tcW w:w="202" w:type="dxa"/>
            <w:tcBorders/>
            <w:shd w:fill="auto" w:val="clear"/>
          </w:tcPr>
          <w:p>
            <w:pPr>
              <w:pStyle w:val="TableContents"/>
              <w:spacing w:before="0" w:after="283"/>
              <w:jc w:val="left"/>
              <w:rPr>
                <w:b/>
              </w:rPr>
            </w:pPr>
            <w:r>
              <w:rPr>
                <w:b/>
              </w:rPr>
              <w:t></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Mr. Brinkley received a restricted stock award in October 2006 that provides for accelerated vesting of some or all of the unvested shares under certain circumstances, including death or disability, failure to be re-elected to his current position or termination of employment without cause.</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b/>
              </w:rPr>
            </w:pPr>
            <w:r>
              <w:rPr>
                <w:b/>
              </w:rPr>
              <w:t></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Generally, restricted stock awards, including those granted to the executive officers, provide for accelerated vesting of some or all of the unvested shares in the event of the holders death or disability.</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More information on severance arrangements can be found under Other Benefit Plans  Certain Termination Benefits below. The Compensation Committee believes that these benefits provide important protection to the executive officers, are consistent with practice of the peer companies and are appropriate for attraction and retention of executive talent.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of the companys executive officers, along with other key employees, has entered into a Protection of Sensitive Information, Noncompetition and Nonsolicitation Agreement. Under the terms of that agreement, the executive is subject to confidentiality and non-disclosure obligations with respect to various categories of proprietary, competitively sensitive and confidential information. In addition, the executive has agreed that, for a period of one year following the termination of employment with the company, he or she will not compete with the company (within a defined area) and will not solicit the companys employees or suppliers.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Other Factors Affecting Compensation </w:t>
      </w:r>
      <w:r>
        <w:rPr>
          <w:rFonts w:ascii="Times New Roman;Times;serif" w:hAnsi="Times New Roman;Times;serif"/>
          <w:sz w:val="17"/>
        </w:rPr>
        <w:t xml:space="preserve"> In establishing total compensation for the executive officers, the Compensation Committee considered the effect of Section 162(m) of the Internal Revenue Code, which limits the deductibility of compensation paid to each covered employee. Generally, Section 162(m) prevents a company from receiving a federal income tax deduction for compensation paid to a covered employee in excess of $1 million for any year, unless that compensation is performance-based. To the extent practical, the Compensation Committee intends to preserve deductibility, but may choose to provide compensation that is not deductible if necessary to attract, retain, and reward high-performing executives.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Compensation Committee Report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2010. This report is provided by the following independent directors, who comprised the Compensation Committee as of the end of fiscal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Richard D. Sage (Chair)</w:t>
        <w:br/>
        <w:t>Joseph J. Beal</w:t>
        <w:br/>
        <w:t xml:space="preserve">Thomas C. Roberts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Compensation Committee Interlocks and Insider Participation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 member of the Compensation Committee is or has been an officer or employee of EZCORP, and no member of the Compensation Committee had any relationship requiring disclosure under Item 404 of Regulation S-K, the SECs rules requiring disclosure of certain relationships and related-party transactions. None of our executive officers serves or has served on the board of directors or compensation committee (or other committee serving an equivalent function) of any other entity that has or has had a member of our Board of Directors as an executive officer. </w:t>
      </w:r>
    </w:p>
    <w:p>
      <w:pPr>
        <w:pStyle w:val="TextBody"/>
        <w:jc w:val="center"/>
        <w:rPr>
          <w:rFonts w:ascii="Times New Roman;Times;serif" w:hAnsi="Times New Roman;Times;serif"/>
          <w:sz w:val="17"/>
        </w:rPr>
      </w:pPr>
      <w:r>
        <w:rPr>
          <w:rFonts w:ascii="Times New Roman;Times;serif" w:hAnsi="Times New Roman;Times;serif"/>
          <w:sz w:val="17"/>
        </w:rPr>
        <w:t xml:space="preserve">98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Summary Compensation Table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the total compensation for fiscal 2010, 2009 and 2008 for the following persons: Joseph L. Rotunda, who served as principal executive officer during all of fiscal 2010; Daniel N. Tonissen, Brad Wolfe and Daniel M. Chism, each of whom served as principal financial officer during a portion of fiscal 2010; and Sterling B. Brinkley, Paul E. Rothamel and Robert A. Kasenter, the three other most highly-compensated individuals who were serving as executive officers at the end of fiscal 2010. These persons are referred to as the Named Executive Officers. </w:t>
      </w:r>
    </w:p>
    <w:tbl>
      <w:tblPr>
        <w:tblW w:w="11345" w:type="dxa"/>
        <w:jc w:val="center"/>
        <w:tblInd w:w="0" w:type="dxa"/>
        <w:tblCellMar>
          <w:top w:w="0" w:type="dxa"/>
          <w:left w:w="0" w:type="dxa"/>
          <w:bottom w:w="0" w:type="dxa"/>
          <w:right w:w="0" w:type="dxa"/>
        </w:tblCellMar>
      </w:tblPr>
      <w:tblGrid>
        <w:gridCol w:w="1820"/>
        <w:gridCol w:w="60"/>
        <w:gridCol w:w="64"/>
        <w:gridCol w:w="541"/>
        <w:gridCol w:w="60"/>
        <w:gridCol w:w="60"/>
        <w:gridCol w:w="140"/>
        <w:gridCol w:w="980"/>
        <w:gridCol w:w="60"/>
        <w:gridCol w:w="60"/>
        <w:gridCol w:w="60"/>
        <w:gridCol w:w="980"/>
        <w:gridCol w:w="60"/>
        <w:gridCol w:w="60"/>
        <w:gridCol w:w="172"/>
        <w:gridCol w:w="988"/>
        <w:gridCol w:w="60"/>
        <w:gridCol w:w="60"/>
        <w:gridCol w:w="225"/>
        <w:gridCol w:w="1595"/>
        <w:gridCol w:w="60"/>
        <w:gridCol w:w="60"/>
        <w:gridCol w:w="269"/>
        <w:gridCol w:w="1551"/>
        <w:gridCol w:w="60"/>
        <w:gridCol w:w="60"/>
        <w:gridCol w:w="140"/>
        <w:gridCol w:w="980"/>
        <w:gridCol w:w="60"/>
      </w:tblGrid>
      <w:tr>
        <w:trPr/>
        <w:tc>
          <w:tcPr>
            <w:tcW w:w="1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b/>
              </w:rPr>
            </w:pPr>
            <w:r>
              <w:rPr>
                <w:b/>
              </w:rPr>
              <w:t>Non-Equity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283"/>
              <w:jc w:val="left"/>
              <w:rPr>
                <w:b/>
              </w:rPr>
            </w:pPr>
            <w:r>
              <w:rPr>
                <w:b/>
              </w:rPr>
              <w:t>Name and</w:t>
            </w:r>
          </w:p>
        </w:tc>
        <w:tc>
          <w:tcPr>
            <w:tcW w:w="60" w:type="dxa"/>
            <w:tcBorders/>
            <w:shd w:fill="auto" w:val="clear"/>
            <w:vAlign w:val="bottom"/>
          </w:tcPr>
          <w:p>
            <w:pPr>
              <w:pStyle w:val="TableContents"/>
              <w:spacing w:before="0" w:after="283"/>
              <w:rPr/>
            </w:pPr>
            <w:r>
              <w:rPr/>
              <w:t> </w:t>
            </w:r>
          </w:p>
        </w:tc>
        <w:tc>
          <w:tcPr>
            <w:tcW w:w="605" w:type="dxa"/>
            <w:gridSpan w:val="2"/>
            <w:tcBorders/>
            <w:shd w:fill="auto" w:val="clear"/>
            <w:vAlign w:val="bottom"/>
          </w:tcPr>
          <w:p>
            <w:pPr>
              <w:pStyle w:val="TableContents"/>
              <w:spacing w:before="0" w:after="283"/>
              <w:jc w:val="center"/>
              <w:rPr>
                <w:b/>
              </w:rPr>
            </w:pPr>
            <w:r>
              <w:rPr>
                <w:b/>
              </w:rPr>
              <w:t>Fiscal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shd w:fill="auto" w:val="clear"/>
            <w:vAlign w:val="bottom"/>
          </w:tcPr>
          <w:p>
            <w:pPr>
              <w:pStyle w:val="TableContents"/>
              <w:spacing w:before="0" w:after="283"/>
              <w:jc w:val="center"/>
              <w:rPr>
                <w:b/>
              </w:rPr>
            </w:pPr>
            <w:r>
              <w:rPr>
                <w:b/>
              </w:rPr>
              <w:t>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b/>
              </w:rPr>
            </w:pPr>
            <w:r>
              <w:rPr>
                <w:b/>
              </w:rPr>
              <w:t>Incentive Plan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shd w:fill="auto" w:val="clear"/>
            <w:vAlign w:val="bottom"/>
          </w:tcPr>
          <w:p>
            <w:pPr>
              <w:pStyle w:val="TableContents"/>
              <w:spacing w:before="0" w:after="283"/>
              <w:jc w:val="center"/>
              <w:rPr>
                <w:b/>
              </w:rPr>
            </w:pPr>
            <w:r>
              <w:rPr>
                <w:b/>
              </w:rPr>
              <w:t>All 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1820" w:type="dxa"/>
            <w:tcBorders>
              <w:bottom w:val="single" w:sz="2" w:space="0" w:color="000000"/>
            </w:tcBorders>
            <w:shd w:fill="auto" w:val="clear"/>
            <w:tcMar>
              <w:bottom w:w="28" w:type="dxa"/>
            </w:tcMar>
            <w:vAlign w:val="bottom"/>
          </w:tcPr>
          <w:p>
            <w:pPr>
              <w:pStyle w:val="TableContents"/>
              <w:spacing w:before="0" w:after="283"/>
              <w:jc w:val="left"/>
              <w:rPr>
                <w:b/>
              </w:rPr>
            </w:pPr>
            <w:r>
              <w:rPr>
                <w:b/>
              </w:rPr>
              <w:t>Principal Position</w:t>
            </w:r>
          </w:p>
        </w:tc>
        <w:tc>
          <w:tcPr>
            <w:tcW w:w="60" w:type="dxa"/>
            <w:tcBorders/>
            <w:shd w:fill="auto" w:val="clear"/>
            <w:vAlign w:val="bottom"/>
          </w:tcPr>
          <w:p>
            <w:pPr>
              <w:pStyle w:val="TableContents"/>
              <w:spacing w:before="0" w:after="283"/>
              <w:rPr/>
            </w:pPr>
            <w:r>
              <w:rPr/>
              <w:t> </w:t>
            </w:r>
          </w:p>
        </w:tc>
        <w:tc>
          <w:tcPr>
            <w:tcW w:w="6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Salary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Bonus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Awards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bottom w:val="single" w:sz="2" w:space="0" w:color="000000"/>
            </w:tcBorders>
            <w:shd w:fill="auto" w:val="clear"/>
            <w:tcMar>
              <w:bottom w:w="28" w:type="dxa"/>
            </w:tcMar>
            <w:vAlign w:val="bottom"/>
          </w:tcPr>
          <w:p>
            <w:pPr>
              <w:pStyle w:val="TableContents"/>
              <w:spacing w:before="0" w:after="283"/>
              <w:jc w:val="center"/>
              <w:rPr/>
            </w:pPr>
            <w:r>
              <w:rPr>
                <w:b/>
              </w:rPr>
              <w:t>Compensation</w:t>
            </w:r>
            <w:r>
              <w:rPr/>
              <w:t xml:space="preserve"> </w:t>
            </w:r>
            <w:r>
              <w:rPr>
                <w:b/>
              </w:rPr>
              <w:t>(3)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Compensation (4)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Joseph L. Rotunda,</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1,050,000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1595" w:type="dxa"/>
            <w:tcBorders/>
            <w:shd w:fill="CCEEFF" w:val="clear"/>
            <w:vAlign w:val="bottom"/>
          </w:tcPr>
          <w:p>
            <w:pPr>
              <w:pStyle w:val="TableContents"/>
              <w:spacing w:before="0" w:after="283"/>
              <w:jc w:val="right"/>
              <w:rPr/>
            </w:pPr>
            <w:r>
              <w:rPr/>
              <w:t>2,362,500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jc w:val="left"/>
              <w:rPr/>
            </w:pPr>
            <w:r>
              <w:rPr/>
              <w:t>$</w:t>
            </w:r>
          </w:p>
        </w:tc>
        <w:tc>
          <w:tcPr>
            <w:tcW w:w="1551" w:type="dxa"/>
            <w:tcBorders/>
            <w:shd w:fill="CCEEFF" w:val="clear"/>
            <w:vAlign w:val="bottom"/>
          </w:tcPr>
          <w:p>
            <w:pPr>
              <w:pStyle w:val="TableContents"/>
              <w:spacing w:before="0" w:after="283"/>
              <w:jc w:val="right"/>
              <w:rPr/>
            </w:pPr>
            <w:r>
              <w:rPr/>
              <w:t>262,747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3,675,247</w:t>
            </w:r>
          </w:p>
        </w:tc>
        <w:tc>
          <w:tcPr>
            <w:tcW w:w="60" w:type="dxa"/>
            <w:tcBorders/>
            <w:shd w:fill="CCEEFF"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President and Chief</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975,000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731,250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249,501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1,955,751</w:t>
            </w:r>
          </w:p>
        </w:tc>
        <w:tc>
          <w:tcPr>
            <w:tcW w:w="60" w:type="dxa"/>
            <w:tcBorders/>
            <w:shd w:fill="CCEEFF"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Executive Officer</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826,923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1,200,000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200,751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2,227,674</w:t>
            </w:r>
          </w:p>
        </w:tc>
        <w:tc>
          <w:tcPr>
            <w:tcW w:w="60" w:type="dxa"/>
            <w:tcBorders/>
            <w:shd w:fill="CCEEFF"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Daniel N. Tonissen,</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117,261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75,000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jc w:val="right"/>
              <w:rPr/>
            </w:pPr>
            <w:r>
              <w:rPr/>
              <w:t>14,485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206,746</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Senior Vice President,</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1,009,172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988" w:type="dxa"/>
            <w:tcBorders/>
            <w:shd w:fill="auto" w:val="clear"/>
            <w:vAlign w:val="bottom"/>
          </w:tcPr>
          <w:p>
            <w:pPr>
              <w:pStyle w:val="TableContents"/>
              <w:spacing w:before="0" w:after="283"/>
              <w:jc w:val="right"/>
              <w:rPr/>
            </w:pPr>
            <w:r>
              <w:rPr/>
              <w:t>182,800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136,500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jc w:val="right"/>
              <w:rPr/>
            </w:pPr>
            <w:r>
              <w:rPr/>
              <w:t>72,700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1,801,172</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Chief Financial Officer (5)</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347,423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234,500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jc w:val="right"/>
              <w:rPr/>
            </w:pPr>
            <w:r>
              <w:rPr/>
              <w:t>78,497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660,420</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Brad Wolfe</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137,308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152,100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332,190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621,598</w:t>
            </w:r>
          </w:p>
        </w:tc>
        <w:tc>
          <w:tcPr>
            <w:tcW w:w="60" w:type="dxa"/>
            <w:tcBorders/>
            <w:shd w:fill="CCEEFF"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Senior Vice President,</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Chief Financial Officer (6)</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Daniel M. Chism</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205,160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52,680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79,980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jc w:val="right"/>
              <w:rPr/>
            </w:pPr>
            <w:r>
              <w:rPr/>
              <w:t>29,518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367,338</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Vice President, Chief</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Accounting Officer (7)</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Sterling B.</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775,000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1,743,750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190,750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2,709,500</w:t>
            </w:r>
          </w:p>
        </w:tc>
        <w:tc>
          <w:tcPr>
            <w:tcW w:w="60" w:type="dxa"/>
            <w:tcBorders/>
            <w:shd w:fill="CCEEFF"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Brinkley, Chairman</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775,000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77,624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484,375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179,743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1,516,742</w:t>
            </w:r>
          </w:p>
        </w:tc>
        <w:tc>
          <w:tcPr>
            <w:tcW w:w="60" w:type="dxa"/>
            <w:tcBorders/>
            <w:shd w:fill="CCEEFF"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of the Board</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649,038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468,750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146,560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1,264,348</w:t>
            </w:r>
          </w:p>
        </w:tc>
        <w:tc>
          <w:tcPr>
            <w:tcW w:w="60" w:type="dxa"/>
            <w:tcBorders/>
            <w:shd w:fill="CCEEFF"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Paul E. Rothamel</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125,000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329,250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1,125,000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jc w:val="right"/>
              <w:rPr/>
            </w:pPr>
            <w:r>
              <w:rPr/>
              <w:t>893,228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2,972,478</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President, Chief</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Operating Officer</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pPr>
            <w:r>
              <w:rPr/>
              <w:t>2008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18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5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Robert A. Kasenter</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310,000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605,100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279,000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51,394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1,245,494</w:t>
            </w:r>
          </w:p>
        </w:tc>
        <w:tc>
          <w:tcPr>
            <w:tcW w:w="60" w:type="dxa"/>
            <w:tcBorders/>
            <w:shd w:fill="CCEEFF"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Senior Vice President-</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280,000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182,800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87,250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47,849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597,899</w:t>
            </w:r>
          </w:p>
        </w:tc>
        <w:tc>
          <w:tcPr>
            <w:tcW w:w="60" w:type="dxa"/>
            <w:tcBorders/>
            <w:shd w:fill="CCEEFF" w:val="clear"/>
            <w:vAlign w:val="bottom"/>
          </w:tcPr>
          <w:p>
            <w:pPr>
              <w:pStyle w:val="TableContents"/>
              <w:spacing w:before="0" w:after="283"/>
              <w:rPr/>
            </w:pPr>
            <w:r>
              <w:rPr/>
              <w:t> </w:t>
            </w:r>
          </w:p>
        </w:tc>
      </w:tr>
      <w:tr>
        <w:trPr/>
        <w:tc>
          <w:tcPr>
            <w:tcW w:w="1820" w:type="dxa"/>
            <w:tcBorders/>
            <w:shd w:fill="CCEEFF" w:val="clear"/>
            <w:vAlign w:val="bottom"/>
          </w:tcPr>
          <w:p>
            <w:pPr>
              <w:pStyle w:val="TableContents"/>
              <w:spacing w:before="0" w:after="0"/>
              <w:ind w:left="225" w:right="0" w:hanging="225"/>
              <w:rPr/>
            </w:pPr>
            <w:r>
              <w:rPr/>
              <w:t>Administration</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541" w:type="dxa"/>
            <w:tcBorders/>
            <w:shd w:fill="CCEEFF" w:val="clear"/>
            <w:vAlign w:val="bottom"/>
          </w:tcPr>
          <w:p>
            <w:pPr>
              <w:pStyle w:val="TableContents"/>
              <w:spacing w:before="0" w:after="283"/>
              <w:jc w:val="right"/>
              <w:rPr/>
            </w:pPr>
            <w:r>
              <w:rPr/>
              <w:t>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259,231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156,260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551" w:type="dxa"/>
            <w:tcBorders/>
            <w:shd w:fill="CCEEFF" w:val="clear"/>
            <w:vAlign w:val="bottom"/>
          </w:tcPr>
          <w:p>
            <w:pPr>
              <w:pStyle w:val="TableContents"/>
              <w:spacing w:before="0" w:after="283"/>
              <w:jc w:val="right"/>
              <w:rPr/>
            </w:pPr>
            <w:r>
              <w:rPr/>
              <w:t>59,698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475,189</w:t>
            </w:r>
          </w:p>
        </w:tc>
        <w:tc>
          <w:tcPr>
            <w:tcW w:w="60"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amounts shown for Mr. Tonissen and Mr. Brinkley represent bonuses that were paid to them in fiscal 2009 pursuant to the terms of certain stock options that were granted in 1998. In fiscal 2009, we realized a $1.1 million cash tax savings upon the exercise of those options, and the terms of the grants required us to pay a bonus to the executives equal to the tax savings realized. The amount shown for Mr. Rothamel represents a sign-on bonus that was paid to Mr. Rothamel pursuant to the terms of his employment agreement.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Amounts represent the aggregate grant date fair value of restricted stock awards, computed in accordance with FASB ASC Topic 718. See Note I to our Consolidated Financial Statements included in Item 8  Financial Statements and Supplemental Data for a description of the assumptions used in that computation. The actual value realized by the Named Executive Officer with respect to stock awards will depend on the market value of our stock on the date the stock is sold.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Amounts represent the cash awards earned under the Incentive Compensation Plan, which is discussed in further detail in Compensation Discussion and Analysis Short Term Incentive Compensation.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Amounts include the cost of providing various perquisites and personal benefits, as well as the value of our contributions to the company-sponsored 401(k) plan and Supplemental Executive Retirement Plan. For detail of the amounts shown for each Named Executive Officer, see the table under Other Benefits and Perquisites  All Other Compensation below.</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Tonissen retired from the company effective December 31, 2009. The amount shown for fiscal 2010 salary represents the salary paid to Mr. Tonissen through his retirement date, and the amount shown for fiscal 2010 Non-Equity Incentive Plan Compensation represents the pro rata portion of the annual incentive bonus attributable to the portion of the year prior to his retirement.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(6)</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Wolfe joined the company on December 1, 2009 and left on May 17, 2010, having served as Chief Financial Officer from January 1, 2010 through his termination date. The amount shown for fiscal 2010 salary represents the salary paid to Mr. Wolfe through his termination date. The amount shown for Stock Awards is attributable to a restricted stock award that Mr. Wolfe received upon commencement of employment; all such restricted stock was forfeited upon termination of employment.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(7)</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Mr. Chism served as principal financial officer from May 17, 2010 until November 1, 2010. The amounts shown represent the total compensation paid to Mr. Chism during fiscal 2010.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Incentive Plan Based Awards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certain information about plan-based awards that were made to the Named Executive Officers during fiscal 2010. For information about the plans under which these awards were granted, see the discussion under Short-Term Incentive Compensation and Long-Term Compensation under Compensation Discussion and Analysis above.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Grants of Plan-Based Awards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025"/>
        <w:gridCol w:w="118"/>
        <w:gridCol w:w="122"/>
        <w:gridCol w:w="987"/>
        <w:gridCol w:w="70"/>
        <w:gridCol w:w="118"/>
        <w:gridCol w:w="402"/>
        <w:gridCol w:w="620"/>
        <w:gridCol w:w="86"/>
        <w:gridCol w:w="134"/>
        <w:gridCol w:w="188"/>
        <w:gridCol w:w="1304"/>
        <w:gridCol w:w="86"/>
        <w:gridCol w:w="133"/>
        <w:gridCol w:w="188"/>
        <w:gridCol w:w="1318"/>
        <w:gridCol w:w="70"/>
        <w:gridCol w:w="118"/>
        <w:gridCol w:w="123"/>
        <w:gridCol w:w="1335"/>
        <w:gridCol w:w="70"/>
        <w:gridCol w:w="118"/>
        <w:gridCol w:w="207"/>
        <w:gridCol w:w="1179"/>
        <w:gridCol w:w="86"/>
      </w:tblGrid>
      <w:tr>
        <w:trPr/>
        <w:tc>
          <w:tcPr>
            <w:tcW w:w="102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r>
      <w:tr>
        <w:trPr/>
        <w:tc>
          <w:tcPr>
            <w:tcW w:w="102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pPr>
            <w:r>
              <w:rPr/>
              <w:t>Stock Awards:</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386" w:type="dxa"/>
            <w:gridSpan w:val="2"/>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rPr/>
            </w:pPr>
            <w:r>
              <w:rPr/>
              <w:t> </w:t>
            </w:r>
          </w:p>
        </w:tc>
      </w:tr>
      <w:tr>
        <w:trPr/>
        <w:tc>
          <w:tcPr>
            <w:tcW w:w="102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pPr>
            <w:r>
              <w:rPr/>
              <w:t>Number of</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386" w:type="dxa"/>
            <w:gridSpan w:val="2"/>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rPr/>
            </w:pPr>
            <w:r>
              <w:rPr/>
              <w:t> </w:t>
            </w:r>
          </w:p>
        </w:tc>
      </w:tr>
      <w:tr>
        <w:trPr/>
        <w:tc>
          <w:tcPr>
            <w:tcW w:w="102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459" w:type="dxa"/>
            <w:gridSpan w:val="10"/>
            <w:tcBorders/>
            <w:shd w:fill="auto" w:val="clear"/>
            <w:vAlign w:val="bottom"/>
          </w:tcPr>
          <w:p>
            <w:pPr>
              <w:pStyle w:val="TableContents"/>
              <w:spacing w:before="0" w:after="283"/>
              <w:jc w:val="center"/>
              <w:rPr/>
            </w:pPr>
            <w:r>
              <w:rPr/>
              <w:t>Estimated Future Payouts Under</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pPr>
            <w:r>
              <w:rPr/>
              <w:t>Shares of</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386" w:type="dxa"/>
            <w:gridSpan w:val="2"/>
            <w:tcBorders/>
            <w:shd w:fill="auto" w:val="clear"/>
            <w:vAlign w:val="bottom"/>
          </w:tcPr>
          <w:p>
            <w:pPr>
              <w:pStyle w:val="TableContents"/>
              <w:spacing w:before="0" w:after="283"/>
              <w:jc w:val="center"/>
              <w:rPr/>
            </w:pPr>
            <w:r>
              <w:rPr/>
              <w:t> </w:t>
            </w:r>
          </w:p>
        </w:tc>
        <w:tc>
          <w:tcPr>
            <w:tcW w:w="86" w:type="dxa"/>
            <w:tcBorders/>
            <w:shd w:fill="auto" w:val="clear"/>
            <w:vAlign w:val="bottom"/>
          </w:tcPr>
          <w:p>
            <w:pPr>
              <w:pStyle w:val="TableContents"/>
              <w:spacing w:before="0" w:after="283"/>
              <w:rPr/>
            </w:pPr>
            <w:r>
              <w:rPr/>
              <w:t> </w:t>
            </w:r>
          </w:p>
        </w:tc>
      </w:tr>
      <w:tr>
        <w:trPr/>
        <w:tc>
          <w:tcPr>
            <w:tcW w:w="102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459" w:type="dxa"/>
            <w:gridSpan w:val="10"/>
            <w:tcBorders>
              <w:bottom w:val="single" w:sz="2" w:space="0" w:color="000000"/>
            </w:tcBorders>
            <w:shd w:fill="auto" w:val="clear"/>
            <w:tcMar>
              <w:bottom w:w="28" w:type="dxa"/>
            </w:tcMar>
            <w:vAlign w:val="bottom"/>
          </w:tcPr>
          <w:p>
            <w:pPr>
              <w:pStyle w:val="TableContents"/>
              <w:spacing w:before="0" w:after="283"/>
              <w:jc w:val="center"/>
              <w:rPr/>
            </w:pPr>
            <w:r>
              <w:rPr/>
              <w:t>Non-Equity Incentive Plan Awards (1)</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pPr>
            <w:r>
              <w:rPr/>
              <w:t>Stock or Units</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386" w:type="dxa"/>
            <w:gridSpan w:val="2"/>
            <w:tcBorders/>
            <w:shd w:fill="auto" w:val="clear"/>
            <w:vAlign w:val="bottom"/>
          </w:tcPr>
          <w:p>
            <w:pPr>
              <w:pStyle w:val="TableContents"/>
              <w:spacing w:before="0" w:after="283"/>
              <w:jc w:val="center"/>
              <w:rPr/>
            </w:pPr>
            <w:r>
              <w:rPr/>
              <w:t>Grant Date</w:t>
            </w:r>
          </w:p>
        </w:tc>
        <w:tc>
          <w:tcPr>
            <w:tcW w:w="86" w:type="dxa"/>
            <w:tcBorders/>
            <w:shd w:fill="auto" w:val="clear"/>
            <w:vAlign w:val="bottom"/>
          </w:tcPr>
          <w:p>
            <w:pPr>
              <w:pStyle w:val="TableContents"/>
              <w:spacing w:before="0" w:after="283"/>
              <w:rPr/>
            </w:pPr>
            <w:r>
              <w:rPr/>
              <w:t> </w:t>
            </w:r>
          </w:p>
        </w:tc>
      </w:tr>
      <w:tr>
        <w:trPr/>
        <w:tc>
          <w:tcPr>
            <w:tcW w:w="1025"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118" w:type="dxa"/>
            <w:tcBorders/>
            <w:shd w:fill="auto" w:val="clear"/>
            <w:vAlign w:val="bottom"/>
          </w:tcPr>
          <w:p>
            <w:pPr>
              <w:pStyle w:val="TableContents"/>
              <w:spacing w:before="0" w:after="283"/>
              <w:rPr/>
            </w:pPr>
            <w:r>
              <w:rPr/>
              <w:t> </w:t>
            </w:r>
          </w:p>
        </w:tc>
        <w:tc>
          <w:tcPr>
            <w:tcW w:w="1109" w:type="dxa"/>
            <w:gridSpan w:val="2"/>
            <w:tcBorders>
              <w:bottom w:val="single" w:sz="2" w:space="0" w:color="000000"/>
            </w:tcBorders>
            <w:shd w:fill="auto" w:val="clear"/>
            <w:tcMar>
              <w:bottom w:w="28" w:type="dxa"/>
            </w:tcMar>
            <w:vAlign w:val="bottom"/>
          </w:tcPr>
          <w:p>
            <w:pPr>
              <w:pStyle w:val="TableContents"/>
              <w:spacing w:before="0" w:after="283"/>
              <w:jc w:val="center"/>
              <w:rPr/>
            </w:pPr>
            <w:r>
              <w:rPr/>
              <w:t>Grant Date</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2" w:type="dxa"/>
            <w:gridSpan w:val="2"/>
            <w:tcBorders>
              <w:bottom w:val="single" w:sz="2" w:space="0" w:color="000000"/>
            </w:tcBorders>
            <w:shd w:fill="auto" w:val="clear"/>
            <w:tcMar>
              <w:bottom w:w="28" w:type="dxa"/>
            </w:tcMar>
            <w:vAlign w:val="bottom"/>
          </w:tcPr>
          <w:p>
            <w:pPr>
              <w:pStyle w:val="TableContents"/>
              <w:spacing w:before="0" w:after="283"/>
              <w:jc w:val="center"/>
              <w:rPr/>
            </w:pPr>
            <w:r>
              <w:rPr/>
              <w:t>Threshold</w:t>
            </w:r>
          </w:p>
        </w:tc>
        <w:tc>
          <w:tcPr>
            <w:tcW w:w="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492" w:type="dxa"/>
            <w:gridSpan w:val="2"/>
            <w:tcBorders>
              <w:bottom w:val="single" w:sz="2" w:space="0" w:color="000000"/>
            </w:tcBorders>
            <w:shd w:fill="auto" w:val="clear"/>
            <w:tcMar>
              <w:bottom w:w="28" w:type="dxa"/>
            </w:tcMar>
            <w:vAlign w:val="bottom"/>
          </w:tcPr>
          <w:p>
            <w:pPr>
              <w:pStyle w:val="TableContents"/>
              <w:spacing w:before="0" w:after="283"/>
              <w:jc w:val="center"/>
              <w:rPr/>
            </w:pPr>
            <w:r>
              <w:rPr/>
              <w:t>Target</w:t>
            </w:r>
          </w:p>
        </w:tc>
        <w:tc>
          <w:tcPr>
            <w:tcW w:w="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06" w:type="dxa"/>
            <w:gridSpan w:val="2"/>
            <w:tcBorders>
              <w:bottom w:val="single" w:sz="2" w:space="0" w:color="000000"/>
            </w:tcBorders>
            <w:shd w:fill="auto" w:val="clear"/>
            <w:tcMar>
              <w:bottom w:w="28" w:type="dxa"/>
            </w:tcMar>
            <w:vAlign w:val="bottom"/>
          </w:tcPr>
          <w:p>
            <w:pPr>
              <w:pStyle w:val="TableContents"/>
              <w:spacing w:before="0" w:after="283"/>
              <w:jc w:val="center"/>
              <w:rPr/>
            </w:pPr>
            <w:r>
              <w:rPr/>
              <w:t>Maximum</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458" w:type="dxa"/>
            <w:gridSpan w:val="2"/>
            <w:tcBorders>
              <w:bottom w:val="single" w:sz="2" w:space="0" w:color="000000"/>
            </w:tcBorders>
            <w:shd w:fill="auto" w:val="clear"/>
            <w:tcMar>
              <w:bottom w:w="28" w:type="dxa"/>
            </w:tcMar>
            <w:vAlign w:val="bottom"/>
          </w:tcPr>
          <w:p>
            <w:pPr>
              <w:pStyle w:val="TableContents"/>
              <w:spacing w:before="0" w:after="283"/>
              <w:jc w:val="center"/>
              <w:rPr/>
            </w:pPr>
            <w:r>
              <w:rPr/>
              <w:t>(2)</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386" w:type="dxa"/>
            <w:gridSpan w:val="2"/>
            <w:tcBorders>
              <w:bottom w:val="single" w:sz="2" w:space="0" w:color="000000"/>
            </w:tcBorders>
            <w:shd w:fill="auto" w:val="clear"/>
            <w:tcMar>
              <w:bottom w:w="28" w:type="dxa"/>
            </w:tcMar>
            <w:vAlign w:val="bottom"/>
          </w:tcPr>
          <w:p>
            <w:pPr>
              <w:pStyle w:val="TableContents"/>
              <w:spacing w:before="0" w:after="283"/>
              <w:jc w:val="center"/>
              <w:rPr/>
            </w:pPr>
            <w:r>
              <w:rPr/>
              <w:t>Fair Value (3)</w:t>
            </w:r>
          </w:p>
        </w:tc>
        <w:tc>
          <w:tcPr>
            <w:tcW w:w="86" w:type="dxa"/>
            <w:tcBorders/>
            <w:shd w:fill="auto" w:val="clear"/>
            <w:vAlign w:val="bottom"/>
          </w:tcPr>
          <w:p>
            <w:pPr>
              <w:pStyle w:val="TableContents"/>
              <w:spacing w:before="0" w:after="283"/>
              <w:rPr/>
            </w:pPr>
            <w:r>
              <w:rPr/>
              <w:t> </w:t>
            </w:r>
          </w:p>
        </w:tc>
      </w:tr>
      <w:tr>
        <w:trPr/>
        <w:tc>
          <w:tcPr>
            <w:tcW w:w="1025" w:type="dxa"/>
            <w:tcBorders/>
            <w:shd w:fill="CCEEFF" w:val="clear"/>
            <w:vAlign w:val="bottom"/>
          </w:tcPr>
          <w:p>
            <w:pPr>
              <w:pStyle w:val="TableContents"/>
              <w:spacing w:before="0" w:after="0"/>
              <w:ind w:left="225" w:right="0" w:hanging="225"/>
              <w:rPr/>
            </w:pPr>
            <w:r>
              <w:rPr/>
              <w:t>Joseph L. Rotunda</w:t>
            </w:r>
          </w:p>
        </w:tc>
        <w:tc>
          <w:tcPr>
            <w:tcW w:w="11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10/1/2009</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jc w:val="left"/>
              <w:rPr/>
            </w:pPr>
            <w:r>
              <w:rPr/>
              <w:t>$</w:t>
            </w:r>
          </w:p>
        </w:tc>
        <w:tc>
          <w:tcPr>
            <w:tcW w:w="620"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304" w:type="dxa"/>
            <w:tcBorders/>
            <w:shd w:fill="CCEEFF" w:val="clear"/>
            <w:vAlign w:val="bottom"/>
          </w:tcPr>
          <w:p>
            <w:pPr>
              <w:pStyle w:val="TableContents"/>
              <w:spacing w:before="0" w:after="283"/>
              <w:jc w:val="right"/>
              <w:rPr/>
            </w:pPr>
            <w:r>
              <w:rPr/>
              <w:t>1,575,000</w:t>
            </w:r>
          </w:p>
        </w:tc>
        <w:tc>
          <w:tcPr>
            <w:tcW w:w="8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318" w:type="dxa"/>
            <w:tcBorders/>
            <w:shd w:fill="CCEEFF" w:val="clear"/>
            <w:vAlign w:val="bottom"/>
          </w:tcPr>
          <w:p>
            <w:pPr>
              <w:pStyle w:val="TableContents"/>
              <w:spacing w:before="0" w:after="283"/>
              <w:jc w:val="right"/>
              <w:rPr/>
            </w:pPr>
            <w:r>
              <w:rPr/>
              <w:t>2,362,500</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179"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r>
      <w:tr>
        <w:trPr/>
        <w:tc>
          <w:tcPr>
            <w:tcW w:w="1025" w:type="dxa"/>
            <w:tcBorders/>
            <w:shd w:fill="auto" w:val="clear"/>
            <w:vAlign w:val="bottom"/>
          </w:tcPr>
          <w:p>
            <w:pPr>
              <w:pStyle w:val="TableContents"/>
              <w:spacing w:before="0" w:after="0"/>
              <w:ind w:left="225" w:right="0" w:hanging="225"/>
              <w:rPr/>
            </w:pPr>
            <w:r>
              <w:rPr/>
              <w:t>Daniel N. Tonissen</w:t>
            </w:r>
          </w:p>
        </w:tc>
        <w:tc>
          <w:tcPr>
            <w:tcW w:w="1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10/1/2009</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247,200</w:t>
            </w:r>
          </w:p>
        </w:tc>
        <w:tc>
          <w:tcPr>
            <w:tcW w:w="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pPr>
            <w:r>
              <w:rPr/>
              <w:t>370,800</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r>
      <w:tr>
        <w:trPr/>
        <w:tc>
          <w:tcPr>
            <w:tcW w:w="1025" w:type="dxa"/>
            <w:tcBorders/>
            <w:shd w:fill="CCEEFF" w:val="clear"/>
            <w:vAlign w:val="bottom"/>
          </w:tcPr>
          <w:p>
            <w:pPr>
              <w:pStyle w:val="TableContents"/>
              <w:spacing w:before="0" w:after="0"/>
              <w:ind w:left="225" w:right="0" w:hanging="225"/>
              <w:rPr/>
            </w:pPr>
            <w:r>
              <w:rPr/>
              <w:t>Brad Wolfe</w:t>
            </w:r>
          </w:p>
        </w:tc>
        <w:tc>
          <w:tcPr>
            <w:tcW w:w="11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12/1/2009</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150,000</w:t>
            </w:r>
          </w:p>
        </w:tc>
        <w:tc>
          <w:tcPr>
            <w:tcW w:w="8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18" w:type="dxa"/>
            <w:tcBorders/>
            <w:shd w:fill="CCEEFF" w:val="clear"/>
            <w:vAlign w:val="bottom"/>
          </w:tcPr>
          <w:p>
            <w:pPr>
              <w:pStyle w:val="TableContents"/>
              <w:spacing w:before="0" w:after="283"/>
              <w:jc w:val="right"/>
              <w:rPr/>
            </w:pPr>
            <w:r>
              <w:rPr/>
              <w:t>225,000</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pPr>
            <w:r>
              <w:rPr/>
              <w:t>10,000</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152,100</w:t>
            </w:r>
          </w:p>
        </w:tc>
        <w:tc>
          <w:tcPr>
            <w:tcW w:w="86" w:type="dxa"/>
            <w:tcBorders/>
            <w:shd w:fill="CCEEFF" w:val="clear"/>
            <w:vAlign w:val="bottom"/>
          </w:tcPr>
          <w:p>
            <w:pPr>
              <w:pStyle w:val="TableContents"/>
              <w:spacing w:before="0" w:after="283"/>
              <w:rPr/>
            </w:pPr>
            <w:r>
              <w:rPr/>
              <w:t> </w:t>
            </w:r>
          </w:p>
        </w:tc>
      </w:tr>
      <w:tr>
        <w:trPr/>
        <w:tc>
          <w:tcPr>
            <w:tcW w:w="1025" w:type="dxa"/>
            <w:tcBorders/>
            <w:shd w:fill="auto" w:val="clear"/>
            <w:vAlign w:val="bottom"/>
          </w:tcPr>
          <w:p>
            <w:pPr>
              <w:pStyle w:val="TableContents"/>
              <w:spacing w:before="0" w:after="0"/>
              <w:ind w:left="225" w:right="0" w:hanging="225"/>
              <w:rPr/>
            </w:pPr>
            <w:r>
              <w:rPr/>
              <w:t>Daniel M. Chism</w:t>
            </w:r>
          </w:p>
        </w:tc>
        <w:tc>
          <w:tcPr>
            <w:tcW w:w="1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10/1/2009</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64,500</w:t>
            </w:r>
          </w:p>
        </w:tc>
        <w:tc>
          <w:tcPr>
            <w:tcW w:w="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pPr>
            <w:r>
              <w:rPr/>
              <w:t>96,750</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jc w:val="right"/>
              <w:rPr/>
            </w:pPr>
            <w:r>
              <w:rPr/>
              <w:t>4,000</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52,680</w:t>
            </w:r>
          </w:p>
        </w:tc>
        <w:tc>
          <w:tcPr>
            <w:tcW w:w="86" w:type="dxa"/>
            <w:tcBorders/>
            <w:shd w:fill="auto" w:val="clear"/>
            <w:vAlign w:val="bottom"/>
          </w:tcPr>
          <w:p>
            <w:pPr>
              <w:pStyle w:val="TableContents"/>
              <w:spacing w:before="0" w:after="283"/>
              <w:rPr/>
            </w:pPr>
            <w:r>
              <w:rPr/>
              <w:t> </w:t>
            </w:r>
          </w:p>
        </w:tc>
      </w:tr>
      <w:tr>
        <w:trPr/>
        <w:tc>
          <w:tcPr>
            <w:tcW w:w="1025" w:type="dxa"/>
            <w:tcBorders/>
            <w:shd w:fill="CCEEFF" w:val="clear"/>
            <w:vAlign w:val="bottom"/>
          </w:tcPr>
          <w:p>
            <w:pPr>
              <w:pStyle w:val="TableContents"/>
              <w:spacing w:before="0" w:after="0"/>
              <w:ind w:left="225" w:right="0" w:hanging="225"/>
              <w:rPr/>
            </w:pPr>
            <w:r>
              <w:rPr/>
              <w:t>Sterling B. Brinkley</w:t>
            </w:r>
          </w:p>
        </w:tc>
        <w:tc>
          <w:tcPr>
            <w:tcW w:w="11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10/1/2009</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1,162,500</w:t>
            </w:r>
          </w:p>
        </w:tc>
        <w:tc>
          <w:tcPr>
            <w:tcW w:w="8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18" w:type="dxa"/>
            <w:tcBorders/>
            <w:shd w:fill="CCEEFF" w:val="clear"/>
            <w:vAlign w:val="bottom"/>
          </w:tcPr>
          <w:p>
            <w:pPr>
              <w:pStyle w:val="TableContents"/>
              <w:spacing w:before="0" w:after="283"/>
              <w:jc w:val="right"/>
              <w:rPr/>
            </w:pPr>
            <w:r>
              <w:rPr/>
              <w:t>1,743,750</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r>
      <w:tr>
        <w:trPr/>
        <w:tc>
          <w:tcPr>
            <w:tcW w:w="1025" w:type="dxa"/>
            <w:tcBorders/>
            <w:shd w:fill="auto" w:val="clear"/>
            <w:vAlign w:val="bottom"/>
          </w:tcPr>
          <w:p>
            <w:pPr>
              <w:pStyle w:val="TableContents"/>
              <w:spacing w:before="0" w:after="0"/>
              <w:ind w:left="225" w:right="0" w:hanging="225"/>
              <w:rPr/>
            </w:pPr>
            <w:r>
              <w:rPr/>
              <w:t>Paul E. Rothamel</w:t>
            </w:r>
          </w:p>
        </w:tc>
        <w:tc>
          <w:tcPr>
            <w:tcW w:w="1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10/1/2009</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750,000</w:t>
            </w:r>
          </w:p>
        </w:tc>
        <w:tc>
          <w:tcPr>
            <w:tcW w:w="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pPr>
            <w:r>
              <w:rPr/>
              <w:t>1,125,000</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jc w:val="right"/>
              <w:rPr/>
            </w:pPr>
            <w:r>
              <w:rPr/>
              <w:t>25,000</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329,250</w:t>
            </w:r>
          </w:p>
        </w:tc>
        <w:tc>
          <w:tcPr>
            <w:tcW w:w="86" w:type="dxa"/>
            <w:tcBorders/>
            <w:shd w:fill="auto" w:val="clear"/>
            <w:vAlign w:val="bottom"/>
          </w:tcPr>
          <w:p>
            <w:pPr>
              <w:pStyle w:val="TableContents"/>
              <w:spacing w:before="0" w:after="283"/>
              <w:rPr/>
            </w:pPr>
            <w:r>
              <w:rPr/>
              <w:t> </w:t>
            </w:r>
          </w:p>
        </w:tc>
      </w:tr>
      <w:tr>
        <w:trPr/>
        <w:tc>
          <w:tcPr>
            <w:tcW w:w="1025" w:type="dxa"/>
            <w:tcBorders/>
            <w:shd w:fill="CCEEFF" w:val="clear"/>
            <w:vAlign w:val="bottom"/>
          </w:tcPr>
          <w:p>
            <w:pPr>
              <w:pStyle w:val="TableContents"/>
              <w:spacing w:before="0" w:after="0"/>
              <w:ind w:left="225" w:right="0" w:hanging="225"/>
              <w:rPr/>
            </w:pPr>
            <w:r>
              <w:rPr/>
              <w:t>Robert A. Kasenter</w:t>
            </w:r>
          </w:p>
        </w:tc>
        <w:tc>
          <w:tcPr>
            <w:tcW w:w="11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10/1/2009</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186,000</w:t>
            </w:r>
          </w:p>
        </w:tc>
        <w:tc>
          <w:tcPr>
            <w:tcW w:w="86"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18" w:type="dxa"/>
            <w:tcBorders/>
            <w:shd w:fill="CCEEFF" w:val="clear"/>
            <w:vAlign w:val="bottom"/>
          </w:tcPr>
          <w:p>
            <w:pPr>
              <w:pStyle w:val="TableContents"/>
              <w:spacing w:before="0" w:after="283"/>
              <w:jc w:val="right"/>
              <w:rPr/>
            </w:pPr>
            <w:r>
              <w:rPr/>
              <w:t>279,000</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179"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1025" w:type="dxa"/>
            <w:tcBorders/>
            <w:shd w:fill="auto" w:val="clear"/>
            <w:vAlign w:val="bottom"/>
          </w:tcPr>
          <w:p>
            <w:pPr>
              <w:pStyle w:val="TableContents"/>
              <w:spacing w:before="0" w:after="0"/>
              <w:ind w:left="225" w:right="0" w:hanging="225"/>
              <w:rPr/>
            </w:pPr>
            <w:r>
              <w:rPr/>
              <w:t> </w:t>
            </w:r>
          </w:p>
        </w:tc>
        <w:tc>
          <w:tcPr>
            <w:tcW w:w="11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7/23/2010</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jc w:val="right"/>
              <w:rPr/>
            </w:pPr>
            <w:r>
              <w:rPr/>
              <w:t>30,000</w:t>
            </w:r>
          </w:p>
        </w:tc>
        <w:tc>
          <w:tcPr>
            <w:tcW w:w="7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79" w:type="dxa"/>
            <w:tcBorders/>
            <w:shd w:fill="auto" w:val="clear"/>
            <w:vAlign w:val="bottom"/>
          </w:tcPr>
          <w:p>
            <w:pPr>
              <w:pStyle w:val="TableContents"/>
              <w:spacing w:before="0" w:after="283"/>
              <w:jc w:val="right"/>
              <w:rPr/>
            </w:pPr>
            <w:r>
              <w:rPr/>
              <w:t>605,100</w:t>
            </w:r>
          </w:p>
        </w:tc>
        <w:tc>
          <w:tcPr>
            <w:tcW w:w="86"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target amounts are the target awards under the fiscal 2010 Incentive Compensation Program. They represent a specified percentage of the Named Executive Officers fiscal 2010 base salary. The threshold amount reflects the fact that no incentive plan awards would have been payable if the minimum financial and other specified incentive goals were not achieved. For actual award amounts, see the Non-Equity Incentive Plan Compensation column in the Summary Compensation Table above. More information regarding the Incentive Compensation Program can be found in Compensation Discussion and Analysis  Short-Term Incentive Compensation.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Represents the number of shares of restricted stock awarded in fiscal 2010. With the exception of the award to Mr. Kasenter, the restricted stock vests on the third anniversary of the date of grant, conditioned on continued service. In the event of the holders death or disability, the vesting of some or all of the unvested shares will be accelerated (depending on the lapse of time from the date of grant to the date of death or disability).</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Kasenters award vests pro rata on each September 30 from 2011 through 2013, conditioned on continued service as a consultant. However, vesting will be accelerated if Mr. Kasenters consulting arrangement is terminated by the company (other than due to a material breach by Mr. Kasenter of the terms of the consulting agreement), by Mr. Kasenter because of a material breach by the company of the terms of the consulting agreement, or by reason of Mr. Kasenters death or disability.</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All of the shares awarded to Mr. Wolfe were forfeited upon his termination of employment in May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Represents the full grant date fair value of fiscal 2010 equity awards. This is the amount we will expense in our financial statements over the awards vesting schedules.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certain information about outstanding option and stock awards held by the Named Executive Officers as of the end of fiscal 2010.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Outstanding Equity Awards at Fiscal Year-End</w:t>
      </w:r>
      <w:r>
        <w:rPr>
          <w:rFonts w:ascii="Times New Roman;Times;serif" w:hAnsi="Times New Roman;Times;serif"/>
          <w:sz w:val="17"/>
        </w:rPr>
        <w:t xml:space="preserve"> </w:t>
      </w:r>
    </w:p>
    <w:tbl>
      <w:tblPr>
        <w:tblW w:w="13230" w:type="dxa"/>
        <w:jc w:val="center"/>
        <w:tblInd w:w="0" w:type="dxa"/>
        <w:tblCellMar>
          <w:top w:w="0" w:type="dxa"/>
          <w:left w:w="0" w:type="dxa"/>
          <w:bottom w:w="0" w:type="dxa"/>
          <w:right w:w="0" w:type="dxa"/>
        </w:tblCellMar>
      </w:tblPr>
      <w:tblGrid>
        <w:gridCol w:w="710"/>
        <w:gridCol w:w="60"/>
        <w:gridCol w:w="127"/>
        <w:gridCol w:w="1063"/>
        <w:gridCol w:w="60"/>
        <w:gridCol w:w="60"/>
        <w:gridCol w:w="190"/>
        <w:gridCol w:w="1775"/>
        <w:gridCol w:w="190"/>
        <w:gridCol w:w="190"/>
        <w:gridCol w:w="315"/>
        <w:gridCol w:w="1055"/>
        <w:gridCol w:w="60"/>
        <w:gridCol w:w="60"/>
        <w:gridCol w:w="186"/>
        <w:gridCol w:w="1364"/>
        <w:gridCol w:w="60"/>
        <w:gridCol w:w="60"/>
        <w:gridCol w:w="60"/>
        <w:gridCol w:w="950"/>
        <w:gridCol w:w="60"/>
        <w:gridCol w:w="60"/>
        <w:gridCol w:w="139"/>
        <w:gridCol w:w="1861"/>
        <w:gridCol w:w="350"/>
        <w:gridCol w:w="60"/>
        <w:gridCol w:w="229"/>
        <w:gridCol w:w="1816"/>
        <w:gridCol w:w="60"/>
      </w:tblGrid>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15" w:type="dxa"/>
            <w:gridSpan w:val="14"/>
            <w:tcBorders>
              <w:bottom w:val="single" w:sz="2" w:space="0" w:color="000000"/>
            </w:tcBorders>
            <w:shd w:fill="auto" w:val="clear"/>
            <w:tcMar>
              <w:bottom w:w="28" w:type="dxa"/>
            </w:tcMar>
            <w:vAlign w:val="bottom"/>
          </w:tcPr>
          <w:p>
            <w:pPr>
              <w:pStyle w:val="TableContents"/>
              <w:spacing w:before="0" w:after="283"/>
              <w:jc w:val="center"/>
              <w:rPr/>
            </w:pPr>
            <w:r>
              <w:rPr/>
              <w:t>Option Awards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55" w:type="dxa"/>
            <w:gridSpan w:val="6"/>
            <w:tcBorders>
              <w:bottom w:val="single" w:sz="2" w:space="0" w:color="000000"/>
            </w:tcBorders>
            <w:shd w:fill="auto" w:val="clear"/>
            <w:tcMar>
              <w:bottom w:w="28" w:type="dxa"/>
            </w:tcMar>
            <w:vAlign w:val="bottom"/>
          </w:tcPr>
          <w:p>
            <w:pPr>
              <w:pStyle w:val="TableContents"/>
              <w:spacing w:before="0" w:after="283"/>
              <w:jc w:val="center"/>
              <w:rPr/>
            </w:pPr>
            <w:r>
              <w:rPr/>
              <w:t>Stock Awards</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5" w:type="dxa"/>
            <w:gridSpan w:val="2"/>
            <w:tcBorders/>
            <w:shd w:fill="auto" w:val="clear"/>
            <w:vAlign w:val="bottom"/>
          </w:tcPr>
          <w:p>
            <w:pPr>
              <w:pStyle w:val="TableContents"/>
              <w:spacing w:before="0" w:after="283"/>
              <w:jc w:val="center"/>
              <w:rPr/>
            </w:pPr>
            <w:r>
              <w:rPr/>
              <w:t>Market Value of</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5" w:type="dxa"/>
            <w:gridSpan w:val="6"/>
            <w:tcBorders/>
            <w:shd w:fill="auto" w:val="clear"/>
            <w:vAlign w:val="bottom"/>
          </w:tcPr>
          <w:p>
            <w:pPr>
              <w:pStyle w:val="TableContents"/>
              <w:spacing w:before="0" w:after="283"/>
              <w:jc w:val="center"/>
              <w:rPr/>
            </w:pPr>
            <w:r>
              <w:rPr/>
              <w:t>Number of Securities Underlying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gridSpan w:val="2"/>
            <w:tcBorders/>
            <w:shd w:fill="auto" w:val="clear"/>
            <w:vAlign w:val="bottom"/>
          </w:tcPr>
          <w:p>
            <w:pPr>
              <w:pStyle w:val="TableContents"/>
              <w:spacing w:before="0" w:after="283"/>
              <w:jc w:val="center"/>
              <w:rPr/>
            </w:pPr>
            <w:r>
              <w:rPr/>
              <w:t>Option Exercise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jc w:val="center"/>
              <w:rPr/>
            </w:pPr>
            <w:r>
              <w:rPr/>
              <w:t>Option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0" w:type="dxa"/>
            <w:gridSpan w:val="2"/>
            <w:tcBorders/>
            <w:shd w:fill="auto" w:val="clear"/>
            <w:vAlign w:val="bottom"/>
          </w:tcPr>
          <w:p>
            <w:pPr>
              <w:pStyle w:val="TableContents"/>
              <w:spacing w:before="0" w:after="283"/>
              <w:jc w:val="center"/>
              <w:rPr/>
            </w:pPr>
            <w:r>
              <w:rPr/>
              <w:t>Number of Shares or</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5" w:type="dxa"/>
            <w:gridSpan w:val="2"/>
            <w:tcBorders/>
            <w:shd w:fill="auto" w:val="clear"/>
            <w:vAlign w:val="bottom"/>
          </w:tcPr>
          <w:p>
            <w:pPr>
              <w:pStyle w:val="TableContents"/>
              <w:spacing w:before="0" w:after="283"/>
              <w:jc w:val="center"/>
              <w:rPr/>
            </w:pPr>
            <w:r>
              <w:rPr/>
              <w:t>Shares or Units of</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5" w:type="dxa"/>
            <w:gridSpan w:val="6"/>
            <w:tcBorders>
              <w:bottom w:val="single" w:sz="2" w:space="0" w:color="000000"/>
            </w:tcBorders>
            <w:shd w:fill="auto" w:val="clear"/>
            <w:tcMar>
              <w:bottom w:w="28" w:type="dxa"/>
            </w:tcMar>
            <w:vAlign w:val="bottom"/>
          </w:tcPr>
          <w:p>
            <w:pPr>
              <w:pStyle w:val="TableContents"/>
              <w:spacing w:before="0" w:after="283"/>
              <w:jc w:val="center"/>
              <w:rPr/>
            </w:pPr>
            <w:r>
              <w:rPr/>
              <w:t>Unexercised Options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gridSpan w:val="2"/>
            <w:tcBorders/>
            <w:shd w:fill="auto" w:val="clear"/>
            <w:vAlign w:val="bottom"/>
          </w:tcPr>
          <w:p>
            <w:pPr>
              <w:pStyle w:val="TableContents"/>
              <w:spacing w:before="0" w:after="283"/>
              <w:jc w:val="center"/>
              <w:rPr/>
            </w:pPr>
            <w:r>
              <w:rPr/>
              <w:t>Price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jc w:val="center"/>
              <w:rPr/>
            </w:pPr>
            <w:r>
              <w:rPr/>
              <w:t>Expiration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0" w:type="dxa"/>
            <w:gridSpan w:val="2"/>
            <w:tcBorders/>
            <w:shd w:fill="auto" w:val="clear"/>
            <w:vAlign w:val="bottom"/>
          </w:tcPr>
          <w:p>
            <w:pPr>
              <w:pStyle w:val="TableContents"/>
              <w:spacing w:before="0" w:after="283"/>
              <w:jc w:val="center"/>
              <w:rPr/>
            </w:pPr>
            <w:r>
              <w:rPr/>
              <w:t>Units of Stock That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5" w:type="dxa"/>
            <w:gridSpan w:val="2"/>
            <w:tcBorders/>
            <w:shd w:fill="auto" w:val="clear"/>
            <w:vAlign w:val="bottom"/>
          </w:tcPr>
          <w:p>
            <w:pPr>
              <w:pStyle w:val="TableContents"/>
              <w:spacing w:before="0" w:after="283"/>
              <w:jc w:val="center"/>
              <w:rPr/>
            </w:pPr>
            <w:r>
              <w:rPr/>
              <w:t>Stock That Have Not</w:t>
            </w:r>
          </w:p>
        </w:tc>
        <w:tc>
          <w:tcPr>
            <w:tcW w:w="60" w:type="dxa"/>
            <w:tcBorders/>
            <w:shd w:fill="auto" w:val="clear"/>
            <w:vAlign w:val="bottom"/>
          </w:tcPr>
          <w:p>
            <w:pPr>
              <w:pStyle w:val="TableContents"/>
              <w:spacing w:before="0" w:after="283"/>
              <w:rPr/>
            </w:pPr>
            <w:r>
              <w:rPr/>
              <w:t> </w:t>
            </w:r>
          </w:p>
        </w:tc>
      </w:tr>
      <w:tr>
        <w:trPr/>
        <w:tc>
          <w:tcPr>
            <w:tcW w:w="710"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60" w:type="dxa"/>
            <w:tcBorders/>
            <w:shd w:fill="auto" w:val="clear"/>
            <w:vAlign w:val="bottom"/>
          </w:tcPr>
          <w:p>
            <w:pPr>
              <w:pStyle w:val="TableContents"/>
              <w:spacing w:before="0" w:after="283"/>
              <w:rPr/>
            </w:pPr>
            <w:r>
              <w:rPr/>
              <w:t> </w:t>
            </w:r>
          </w:p>
        </w:tc>
        <w:tc>
          <w:tcPr>
            <w:tcW w:w="1190" w:type="dxa"/>
            <w:gridSpan w:val="2"/>
            <w:tcBorders>
              <w:bottom w:val="single" w:sz="2" w:space="0" w:color="000000"/>
            </w:tcBorders>
            <w:shd w:fill="auto" w:val="clear"/>
            <w:tcMar>
              <w:bottom w:w="28" w:type="dxa"/>
            </w:tcMar>
            <w:vAlign w:val="bottom"/>
          </w:tcPr>
          <w:p>
            <w:pPr>
              <w:pStyle w:val="TableContents"/>
              <w:spacing w:before="0" w:after="283"/>
              <w:jc w:val="center"/>
              <w:rPr/>
            </w:pPr>
            <w:r>
              <w:rPr/>
              <w:t>Award 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5" w:type="dxa"/>
            <w:gridSpan w:val="2"/>
            <w:tcBorders>
              <w:bottom w:val="single" w:sz="2" w:space="0" w:color="000000"/>
            </w:tcBorders>
            <w:shd w:fill="auto" w:val="clear"/>
            <w:tcMar>
              <w:bottom w:w="28" w:type="dxa"/>
            </w:tcMar>
            <w:vAlign w:val="bottom"/>
          </w:tcPr>
          <w:p>
            <w:pPr>
              <w:pStyle w:val="TableContents"/>
              <w:spacing w:before="0" w:after="283"/>
              <w:jc w:val="center"/>
              <w:rPr/>
            </w:pPr>
            <w:r>
              <w:rPr/>
              <w:t>Exercisable</w:t>
            </w:r>
          </w:p>
        </w:tc>
        <w:tc>
          <w:tcPr>
            <w:tcW w:w="1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370" w:type="dxa"/>
            <w:gridSpan w:val="2"/>
            <w:tcBorders>
              <w:bottom w:val="single" w:sz="2" w:space="0" w:color="000000"/>
            </w:tcBorders>
            <w:shd w:fill="auto" w:val="clear"/>
            <w:tcMar>
              <w:bottom w:w="28" w:type="dxa"/>
            </w:tcMar>
            <w:vAlign w:val="bottom"/>
          </w:tcPr>
          <w:p>
            <w:pPr>
              <w:pStyle w:val="TableContents"/>
              <w:spacing w:before="0" w:after="283"/>
              <w:jc w:val="center"/>
              <w:rPr/>
            </w:pPr>
            <w:r>
              <w:rPr/>
              <w:t>Unexercisable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gridSpan w:val="2"/>
            <w:tcBorders>
              <w:bottom w:val="single" w:sz="2" w:space="0" w:color="000000"/>
            </w:tcBorders>
            <w:shd w:fill="auto" w:val="clear"/>
            <w:tcMar>
              <w:bottom w:w="28" w:type="dxa"/>
            </w:tcMar>
            <w:vAlign w:val="bottom"/>
          </w:tcPr>
          <w:p>
            <w:pPr>
              <w:pStyle w:val="TableContents"/>
              <w:spacing w:before="0" w:after="283"/>
              <w:jc w:val="center"/>
              <w:rPr/>
            </w:pPr>
            <w:r>
              <w:rPr/>
              <w:t>($) / share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2" w:space="0" w:color="000000"/>
            </w:tcBorders>
            <w:shd w:fill="auto" w:val="clear"/>
            <w:tcMar>
              <w:bottom w:w="28" w:type="dxa"/>
            </w:tcMar>
            <w:vAlign w:val="bottom"/>
          </w:tcPr>
          <w:p>
            <w:pPr>
              <w:pStyle w:val="TableContents"/>
              <w:spacing w:before="0" w:after="283"/>
              <w:jc w:val="center"/>
              <w:rPr/>
            </w:pPr>
            <w:r>
              <w:rPr/>
              <w:t>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0" w:type="dxa"/>
            <w:gridSpan w:val="2"/>
            <w:tcBorders>
              <w:bottom w:val="single" w:sz="2" w:space="0" w:color="000000"/>
            </w:tcBorders>
            <w:shd w:fill="auto" w:val="clear"/>
            <w:tcMar>
              <w:bottom w:w="28" w:type="dxa"/>
            </w:tcMar>
            <w:vAlign w:val="bottom"/>
          </w:tcPr>
          <w:p>
            <w:pPr>
              <w:pStyle w:val="TableContents"/>
              <w:spacing w:before="0" w:after="283"/>
              <w:jc w:val="center"/>
              <w:rPr/>
            </w:pPr>
            <w:r>
              <w:rPr/>
              <w:t>Have Not Vested</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5" w:type="dxa"/>
            <w:gridSpan w:val="2"/>
            <w:tcBorders>
              <w:bottom w:val="single" w:sz="2" w:space="0" w:color="000000"/>
            </w:tcBorders>
            <w:shd w:fill="auto" w:val="clear"/>
            <w:tcMar>
              <w:bottom w:w="28" w:type="dxa"/>
            </w:tcMar>
            <w:vAlign w:val="bottom"/>
          </w:tcPr>
          <w:p>
            <w:pPr>
              <w:pStyle w:val="TableContents"/>
              <w:spacing w:before="0" w:after="283"/>
              <w:jc w:val="center"/>
              <w:rPr/>
            </w:pPr>
            <w:r>
              <w:rPr/>
              <w:t>Vested (1)</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Joseph L. Rotunda</w:t>
            </w:r>
          </w:p>
        </w:tc>
        <w:tc>
          <w:tcPr>
            <w:tcW w:w="6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10/02/2006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861" w:type="dxa"/>
            <w:tcBorders/>
            <w:shd w:fill="CCEEFF" w:val="clear"/>
            <w:vAlign w:val="bottom"/>
          </w:tcPr>
          <w:p>
            <w:pPr>
              <w:pStyle w:val="TableContents"/>
              <w:spacing w:before="0" w:after="283"/>
              <w:jc w:val="right"/>
              <w:rPr/>
            </w:pPr>
            <w:r>
              <w:rPr/>
              <w:t xml:space="preserve">756,000 </w:t>
            </w:r>
          </w:p>
        </w:tc>
        <w:tc>
          <w:tcPr>
            <w:tcW w:w="350" w:type="dxa"/>
            <w:tcBorders/>
            <w:shd w:fill="CCEEFF" w:val="clear"/>
            <w:vAlign w:val="bottom"/>
          </w:tcPr>
          <w:p>
            <w:pPr>
              <w:pStyle w:val="TableContents"/>
              <w:spacing w:before="0" w:after="283"/>
              <w:rPr/>
            </w:pPr>
            <w:r>
              <w:rPr/>
              <w:t> </w:t>
            </w:r>
            <w:r>
              <w:rPr/>
              <w:t>(2)</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816" w:type="dxa"/>
            <w:tcBorders/>
            <w:shd w:fill="CCEEFF" w:val="clear"/>
            <w:vAlign w:val="bottom"/>
          </w:tcPr>
          <w:p>
            <w:pPr>
              <w:pStyle w:val="TableContents"/>
              <w:spacing w:before="0" w:after="283"/>
              <w:jc w:val="right"/>
              <w:rPr/>
            </w:pPr>
            <w:r>
              <w:rPr/>
              <w:t>15,150,240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Daniel N. Tonissen</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Brad Wolfe</w:t>
            </w:r>
          </w:p>
        </w:tc>
        <w:tc>
          <w:tcPr>
            <w:tcW w:w="6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8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Daniel M. Chism</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09/17/2003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right"/>
              <w:rPr/>
            </w:pPr>
            <w:r>
              <w:rPr/>
              <w:t>1,200</w:t>
            </w:r>
          </w:p>
        </w:tc>
        <w:tc>
          <w:tcPr>
            <w:tcW w:w="1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jc w:val="right"/>
              <w:rPr/>
            </w:pPr>
            <w:r>
              <w:rPr/>
              <w:t>2.09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09/17/2013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10/02/2006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861" w:type="dxa"/>
            <w:tcBorders/>
            <w:shd w:fill="CCEEFF" w:val="clear"/>
            <w:vAlign w:val="bottom"/>
          </w:tcPr>
          <w:p>
            <w:pPr>
              <w:pStyle w:val="TableContents"/>
              <w:spacing w:before="0" w:after="283"/>
              <w:jc w:val="right"/>
              <w:rPr/>
            </w:pPr>
            <w:r>
              <w:rPr/>
              <w:t xml:space="preserve">2,250 </w:t>
            </w:r>
          </w:p>
        </w:tc>
        <w:tc>
          <w:tcPr>
            <w:tcW w:w="350" w:type="dxa"/>
            <w:tcBorders/>
            <w:shd w:fill="CCEEFF" w:val="clear"/>
            <w:vAlign w:val="bottom"/>
          </w:tcPr>
          <w:p>
            <w:pPr>
              <w:pStyle w:val="TableContents"/>
              <w:spacing w:before="0" w:after="283"/>
              <w:rPr/>
            </w:pPr>
            <w:r>
              <w:rPr/>
              <w:t> </w:t>
            </w:r>
            <w:r>
              <w:rPr/>
              <w:t>(3)</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816" w:type="dxa"/>
            <w:tcBorders/>
            <w:shd w:fill="CCEEFF" w:val="clear"/>
            <w:vAlign w:val="bottom"/>
          </w:tcPr>
          <w:p>
            <w:pPr>
              <w:pStyle w:val="TableContents"/>
              <w:spacing w:before="0" w:after="283"/>
              <w:jc w:val="right"/>
              <w:rPr/>
            </w:pPr>
            <w:r>
              <w:rPr/>
              <w:t>45,090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10/01/2008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861" w:type="dxa"/>
            <w:tcBorders/>
            <w:shd w:fill="auto" w:val="clear"/>
            <w:vAlign w:val="bottom"/>
          </w:tcPr>
          <w:p>
            <w:pPr>
              <w:pStyle w:val="TableContents"/>
              <w:spacing w:before="0" w:after="283"/>
              <w:jc w:val="right"/>
              <w:rPr/>
            </w:pPr>
            <w:r>
              <w:rPr/>
              <w:t xml:space="preserve">3,000 </w:t>
            </w:r>
          </w:p>
        </w:tc>
        <w:tc>
          <w:tcPr>
            <w:tcW w:w="350" w:type="dxa"/>
            <w:tcBorders/>
            <w:shd w:fill="auto" w:val="clear"/>
            <w:vAlign w:val="bottom"/>
          </w:tcPr>
          <w:p>
            <w:pPr>
              <w:pStyle w:val="TableContents"/>
              <w:spacing w:before="0" w:after="283"/>
              <w:rPr/>
            </w:pPr>
            <w:r>
              <w:rPr/>
              <w:t> </w:t>
            </w:r>
            <w:r>
              <w:rPr/>
              <w:t>(4)</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jc w:val="right"/>
              <w:rPr/>
            </w:pPr>
            <w:r>
              <w:rPr/>
              <w:t>60,120</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10/01/2009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861" w:type="dxa"/>
            <w:tcBorders/>
            <w:shd w:fill="CCEEFF" w:val="clear"/>
            <w:vAlign w:val="bottom"/>
          </w:tcPr>
          <w:p>
            <w:pPr>
              <w:pStyle w:val="TableContents"/>
              <w:spacing w:before="0" w:after="283"/>
              <w:jc w:val="right"/>
              <w:rPr/>
            </w:pPr>
            <w:r>
              <w:rPr/>
              <w:t xml:space="preserve">4,000 </w:t>
            </w:r>
          </w:p>
        </w:tc>
        <w:tc>
          <w:tcPr>
            <w:tcW w:w="350" w:type="dxa"/>
            <w:tcBorders/>
            <w:shd w:fill="CCEEFF" w:val="clear"/>
            <w:vAlign w:val="bottom"/>
          </w:tcPr>
          <w:p>
            <w:pPr>
              <w:pStyle w:val="TableContents"/>
              <w:spacing w:before="0" w:after="283"/>
              <w:rPr/>
            </w:pPr>
            <w:r>
              <w:rPr/>
              <w:t> </w:t>
            </w:r>
            <w:r>
              <w:rPr/>
              <w:t>(4)</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816" w:type="dxa"/>
            <w:tcBorders/>
            <w:shd w:fill="CCEEFF" w:val="clear"/>
            <w:vAlign w:val="bottom"/>
          </w:tcPr>
          <w:p>
            <w:pPr>
              <w:pStyle w:val="TableContents"/>
              <w:spacing w:before="0" w:after="283"/>
              <w:jc w:val="right"/>
              <w:rPr/>
            </w:pPr>
            <w:r>
              <w:rPr/>
              <w:t>80,160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Sterling B. Brinkley</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10/02/2006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861" w:type="dxa"/>
            <w:tcBorders/>
            <w:shd w:fill="auto" w:val="clear"/>
            <w:vAlign w:val="bottom"/>
          </w:tcPr>
          <w:p>
            <w:pPr>
              <w:pStyle w:val="TableContents"/>
              <w:spacing w:before="0" w:after="283"/>
              <w:jc w:val="right"/>
              <w:rPr/>
            </w:pPr>
            <w:r>
              <w:rPr/>
              <w:t xml:space="preserve">540,000 </w:t>
            </w:r>
          </w:p>
        </w:tc>
        <w:tc>
          <w:tcPr>
            <w:tcW w:w="350" w:type="dxa"/>
            <w:tcBorders/>
            <w:shd w:fill="auto" w:val="clear"/>
            <w:vAlign w:val="bottom"/>
          </w:tcPr>
          <w:p>
            <w:pPr>
              <w:pStyle w:val="TableContents"/>
              <w:spacing w:before="0" w:after="283"/>
              <w:rPr/>
            </w:pPr>
            <w:r>
              <w:rPr/>
              <w:t> </w:t>
            </w:r>
            <w:r>
              <w:rPr/>
              <w:t>(2)</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jc w:val="right"/>
              <w:rPr/>
            </w:pPr>
            <w:r>
              <w:rPr/>
              <w:t>10,821,600</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Paul E. Rothamel</w:t>
            </w:r>
          </w:p>
        </w:tc>
        <w:tc>
          <w:tcPr>
            <w:tcW w:w="6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10/01/2009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861" w:type="dxa"/>
            <w:tcBorders/>
            <w:shd w:fill="CCEEFF" w:val="clear"/>
            <w:vAlign w:val="bottom"/>
          </w:tcPr>
          <w:p>
            <w:pPr>
              <w:pStyle w:val="TableContents"/>
              <w:spacing w:before="0" w:after="283"/>
              <w:jc w:val="right"/>
              <w:rPr/>
            </w:pPr>
            <w:r>
              <w:rPr/>
              <w:t>25,000</w:t>
            </w:r>
          </w:p>
        </w:tc>
        <w:tc>
          <w:tcPr>
            <w:tcW w:w="350" w:type="dxa"/>
            <w:tcBorders/>
            <w:shd w:fill="CCEEFF" w:val="clear"/>
            <w:vAlign w:val="bottom"/>
          </w:tcPr>
          <w:p>
            <w:pPr>
              <w:pStyle w:val="TableContents"/>
              <w:spacing w:before="0" w:after="283"/>
              <w:rPr/>
            </w:pPr>
            <w:r>
              <w:rPr/>
              <w:t> </w:t>
            </w:r>
            <w:r>
              <w:rPr/>
              <w:t>(4)</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816" w:type="dxa"/>
            <w:tcBorders/>
            <w:shd w:fill="CCEEFF" w:val="clear"/>
            <w:vAlign w:val="bottom"/>
          </w:tcPr>
          <w:p>
            <w:pPr>
              <w:pStyle w:val="TableContents"/>
              <w:spacing w:before="0" w:after="283"/>
              <w:jc w:val="right"/>
              <w:rPr/>
            </w:pPr>
            <w:r>
              <w:rPr/>
              <w:t>501,000,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Robert A. Kasenter</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10/02/2006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861" w:type="dxa"/>
            <w:tcBorders/>
            <w:shd w:fill="auto" w:val="clear"/>
            <w:vAlign w:val="bottom"/>
          </w:tcPr>
          <w:p>
            <w:pPr>
              <w:pStyle w:val="TableContents"/>
              <w:spacing w:before="0" w:after="283"/>
              <w:jc w:val="right"/>
              <w:rPr/>
            </w:pPr>
            <w:r>
              <w:rPr/>
              <w:t xml:space="preserve">30,000 </w:t>
            </w:r>
          </w:p>
        </w:tc>
        <w:tc>
          <w:tcPr>
            <w:tcW w:w="350" w:type="dxa"/>
            <w:tcBorders/>
            <w:shd w:fill="auto" w:val="clear"/>
            <w:vAlign w:val="bottom"/>
          </w:tcPr>
          <w:p>
            <w:pPr>
              <w:pStyle w:val="TableContents"/>
              <w:spacing w:before="0" w:after="283"/>
              <w:rPr/>
            </w:pPr>
            <w:r>
              <w:rPr/>
              <w:t> </w:t>
            </w:r>
            <w:r>
              <w:rPr/>
              <w:t>(5)</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jc w:val="right"/>
              <w:rPr/>
            </w:pPr>
            <w:r>
              <w:rPr/>
              <w:t>601,200</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10/01/2008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861" w:type="dxa"/>
            <w:tcBorders/>
            <w:shd w:fill="CCEEFF" w:val="clear"/>
            <w:vAlign w:val="bottom"/>
          </w:tcPr>
          <w:p>
            <w:pPr>
              <w:pStyle w:val="TableContents"/>
              <w:spacing w:before="0" w:after="283"/>
              <w:jc w:val="right"/>
              <w:rPr/>
            </w:pPr>
            <w:r>
              <w:rPr/>
              <w:t xml:space="preserve">10,000 </w:t>
            </w:r>
          </w:p>
        </w:tc>
        <w:tc>
          <w:tcPr>
            <w:tcW w:w="350" w:type="dxa"/>
            <w:tcBorders/>
            <w:shd w:fill="CCEEFF" w:val="clear"/>
            <w:vAlign w:val="bottom"/>
          </w:tcPr>
          <w:p>
            <w:pPr>
              <w:pStyle w:val="TableContents"/>
              <w:spacing w:before="0" w:after="283"/>
              <w:rPr/>
            </w:pPr>
            <w:r>
              <w:rPr/>
              <w:t> </w:t>
            </w:r>
            <w:r>
              <w:rPr/>
              <w:t>(6)</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816" w:type="dxa"/>
            <w:tcBorders/>
            <w:shd w:fill="CCEEFF" w:val="clear"/>
            <w:vAlign w:val="bottom"/>
          </w:tcPr>
          <w:p>
            <w:pPr>
              <w:pStyle w:val="TableContents"/>
              <w:spacing w:before="0" w:after="283"/>
              <w:jc w:val="right"/>
              <w:rPr/>
            </w:pPr>
            <w:r>
              <w:rPr/>
              <w:t>200,400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07/23/2010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861" w:type="dxa"/>
            <w:tcBorders/>
            <w:shd w:fill="auto" w:val="clear"/>
            <w:vAlign w:val="bottom"/>
          </w:tcPr>
          <w:p>
            <w:pPr>
              <w:pStyle w:val="TableContents"/>
              <w:spacing w:before="0" w:after="283"/>
              <w:jc w:val="right"/>
              <w:rPr/>
            </w:pPr>
            <w:r>
              <w:rPr/>
              <w:t xml:space="preserve">30,000 </w:t>
            </w:r>
          </w:p>
        </w:tc>
        <w:tc>
          <w:tcPr>
            <w:tcW w:w="350" w:type="dxa"/>
            <w:tcBorders/>
            <w:shd w:fill="auto" w:val="clear"/>
            <w:vAlign w:val="bottom"/>
          </w:tcPr>
          <w:p>
            <w:pPr>
              <w:pStyle w:val="TableContents"/>
              <w:spacing w:before="0" w:after="283"/>
              <w:rPr/>
            </w:pPr>
            <w:r>
              <w:rPr/>
              <w:t> </w:t>
            </w:r>
            <w:r>
              <w:rPr/>
              <w:t>(7)</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jc w:val="right"/>
              <w:rPr/>
            </w:pPr>
            <w:r>
              <w:rPr/>
              <w:t>601,200</w:t>
            </w:r>
          </w:p>
        </w:tc>
        <w:tc>
          <w:tcPr>
            <w:tcW w:w="60"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Market value is based on the closing price of our Class A Non-voting Common Stock on September 30, 2010 ($20.04).</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shares are part of a grant made on October 2, 2006. Under the terms of the award, 20% of the total grant vests on:</w:t>
            </w:r>
          </w:p>
        </w:tc>
      </w:tr>
    </w:tbl>
    <w:tbl>
      <w:tblPr>
        <w:tblW w:w="5000" w:type="pct"/>
        <w:jc w:val="left"/>
        <w:tblInd w:w="0" w:type="dxa"/>
        <w:tblCellMar>
          <w:top w:w="0" w:type="dxa"/>
          <w:left w:w="0" w:type="dxa"/>
          <w:bottom w:w="0" w:type="dxa"/>
          <w:right w:w="0" w:type="dxa"/>
        </w:tblCellMar>
      </w:tblPr>
      <w:tblGrid>
        <w:gridCol w:w="305"/>
        <w:gridCol w:w="205"/>
        <w:gridCol w:w="102"/>
        <w:gridCol w:w="9593"/>
      </w:tblGrid>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October 2, 2008 if the average EBITDA for fiscal 2007 and fiscal 2008 is at least 5% greater than the actual EBITDA for fiscal year 2006;</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October 2, 2010 if the average EBITDA for fiscal 2009 and fiscal 2010 is at least 10% greater than the actual EBITDA for fiscal year 2006;</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October 2, 2012 if the average EBITDA for fiscal 2011 and fiscal 2012 is at least 15% greater than the actual EBITDA for fiscal year 2006;</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October 2, 2014 if the average EBITDA for fiscal 2013 and fiscal 2014 is at least 20% greater than the actual EBITDA for fiscal year 2006;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October 2, 2016 if the average EBITDA for fiscal 2015 and fiscal 2016 is at least 25% greater than the actual EBITDA for fiscal year 2006.</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EBITDA is a non-GAAP figure calculated as earnings before interest, taxes, depreciation, amortization, and gain/loss on sale/disposal of assets. For comparability between periods, the calculation of EBITDA for this purpose is based on the accounting principles used in fiscal 2006 and excludes all extraordinary items as defined by U.S. GAAP.</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If the performance criteria above are not met in any vesting period, the unvested shares will be added to the next succeeding vesting date and will vest on that date provided the performance criteria for that vesting date are met. Upon death or disability, vesting will occur immediately on a portion of the unvested shares calculated as follows: 10% of the originally granted shares multiplied by the number of full or partial years of service since the award date, plus 20% of the originally granted shares, less the number of shares previously vested.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performance target for the first 20% vesting was achieved, and those shares (189,000 for Mr. Rotunda and 135,000 for Mr. Brinkley) vested October 2, 2008. The amounts shown represent the unvested shares as of the end of fiscal 2010, which are subject to performance-based vesting as described above.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On October 8, 2010, the Board of Directors, acting pursuant to the terms of the restricted stock award agreement and with the recommendation of the Compensation Committee, determined that Mr. Rotunda had satisfied the specified conditions for the accelerated vesting of the remaining shares (having served the full term of his employment agreement and successfully implemented a transition plan to a new Chief Executive Officer) and approved the vesting of the remaining 756,000 unvested shares on October 31, 2010 (the effective date of Mr. Rotundas retirement).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Subsequent to the end of fiscal 2010, the performance target for the second 20% vesting was achieved, and consequently, 135,000 of the shares shown for Mr. Brinkley vested on November 24,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These shares will vest on the fourth anniversary of the date of grant.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These shares will vest on the third anniversary of the date of grant.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Vesting of these shares was subject to a performance objective based on average EBITDA for fiscal 2007 through fiscal 2010. That performance objective was achieved at the end of fiscal 2010, and the shares vested on October 2,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(6)</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These shares were scheduled to vest on the third anniversary of the date of grant (October 1, 2011), but were forfeited upon Mr. Kasenters retirement on October 4,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(7)</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These shares vest pro rata over three years (10,000 shares on each September 30 from 2011 through 2013), conditioned on continued service as a consultant. However, vesting will be accelerated if Mr. Kasenters consulting arrangement is terminated by the company (other than due to a material breach by Mr. Kasenter of the terms of the consulting agreement), by Mr. Kasenter because of a material breach by the company of the terms of the consulting agreement, or by reason of Mr. Kasenters death or disability.</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Option Exercises and Stock Vested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certain information about option exercises by the Named Executive Officers during fiscal 2010. None of the Named Executive Officers had any restricted stock that vested during fiscal 2010. </w:t>
      </w:r>
    </w:p>
    <w:tbl>
      <w:tblPr>
        <w:tblW w:w="5000" w:type="pct"/>
        <w:jc w:val="center"/>
        <w:tblInd w:w="0" w:type="dxa"/>
        <w:tblCellMar>
          <w:top w:w="0" w:type="dxa"/>
          <w:left w:w="0" w:type="dxa"/>
          <w:bottom w:w="0" w:type="dxa"/>
          <w:right w:w="0" w:type="dxa"/>
        </w:tblCellMar>
      </w:tblPr>
      <w:tblGrid>
        <w:gridCol w:w="4438"/>
        <w:gridCol w:w="304"/>
        <w:gridCol w:w="234"/>
        <w:gridCol w:w="2711"/>
        <w:gridCol w:w="104"/>
        <w:gridCol w:w="304"/>
        <w:gridCol w:w="262"/>
        <w:gridCol w:w="1738"/>
        <w:gridCol w:w="110"/>
      </w:tblGrid>
      <w:tr>
        <w:trPr/>
        <w:tc>
          <w:tcPr>
            <w:tcW w:w="443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711"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73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443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535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Option Awards</w:t>
            </w:r>
          </w:p>
        </w:tc>
        <w:tc>
          <w:tcPr>
            <w:tcW w:w="110" w:type="dxa"/>
            <w:tcBorders/>
            <w:shd w:fill="auto" w:val="clear"/>
            <w:vAlign w:val="bottom"/>
          </w:tcPr>
          <w:p>
            <w:pPr>
              <w:pStyle w:val="TableContents"/>
              <w:spacing w:before="0" w:after="283"/>
              <w:rPr/>
            </w:pPr>
            <w:r>
              <w:rPr/>
              <w:t> </w:t>
            </w:r>
          </w:p>
        </w:tc>
      </w:tr>
      <w:tr>
        <w:trPr/>
        <w:tc>
          <w:tcPr>
            <w:tcW w:w="443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945" w:type="dxa"/>
            <w:gridSpan w:val="2"/>
            <w:tcBorders/>
            <w:shd w:fill="auto" w:val="clear"/>
            <w:vAlign w:val="bottom"/>
          </w:tcPr>
          <w:p>
            <w:pPr>
              <w:pStyle w:val="TableContents"/>
              <w:spacing w:before="0" w:after="283"/>
              <w:jc w:val="center"/>
              <w:rPr>
                <w:b/>
              </w:rPr>
            </w:pPr>
            <w:r>
              <w:rPr>
                <w:b/>
              </w:rPr>
              <w:t>Number of Shares Acquired</w:t>
            </w:r>
          </w:p>
        </w:tc>
        <w:tc>
          <w:tcPr>
            <w:tcW w:w="104"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000" w:type="dxa"/>
            <w:gridSpan w:val="2"/>
            <w:tcBorders/>
            <w:shd w:fill="auto" w:val="clear"/>
            <w:vAlign w:val="bottom"/>
          </w:tcPr>
          <w:p>
            <w:pPr>
              <w:pStyle w:val="TableContents"/>
              <w:spacing w:before="0" w:after="283"/>
              <w:jc w:val="center"/>
              <w:rPr>
                <w:b/>
              </w:rPr>
            </w:pPr>
            <w:r>
              <w:rPr>
                <w:b/>
              </w:rPr>
              <w:t>Value Realized on</w:t>
            </w:r>
          </w:p>
        </w:tc>
        <w:tc>
          <w:tcPr>
            <w:tcW w:w="110" w:type="dxa"/>
            <w:tcBorders/>
            <w:shd w:fill="auto" w:val="clear"/>
            <w:vAlign w:val="bottom"/>
          </w:tcPr>
          <w:p>
            <w:pPr>
              <w:pStyle w:val="TableContents"/>
              <w:spacing w:before="0" w:after="283"/>
              <w:rPr/>
            </w:pPr>
            <w:r>
              <w:rPr/>
              <w:t> </w:t>
            </w:r>
          </w:p>
        </w:tc>
      </w:tr>
      <w:tr>
        <w:trPr/>
        <w:tc>
          <w:tcPr>
            <w:tcW w:w="4438"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304" w:type="dxa"/>
            <w:tcBorders/>
            <w:shd w:fill="auto" w:val="clear"/>
            <w:vAlign w:val="bottom"/>
          </w:tcPr>
          <w:p>
            <w:pPr>
              <w:pStyle w:val="TableContents"/>
              <w:spacing w:before="0" w:after="283"/>
              <w:rPr/>
            </w:pPr>
            <w:r>
              <w:rPr/>
              <w:t> </w:t>
            </w:r>
          </w:p>
        </w:tc>
        <w:tc>
          <w:tcPr>
            <w:tcW w:w="29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on Exercise</w:t>
            </w:r>
          </w:p>
        </w:tc>
        <w:tc>
          <w:tcPr>
            <w:tcW w:w="104"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0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Exercise (1)</w:t>
            </w:r>
          </w:p>
        </w:tc>
        <w:tc>
          <w:tcPr>
            <w:tcW w:w="110" w:type="dxa"/>
            <w:tcBorders/>
            <w:shd w:fill="auto" w:val="clear"/>
            <w:vAlign w:val="bottom"/>
          </w:tcPr>
          <w:p>
            <w:pPr>
              <w:pStyle w:val="TableContents"/>
              <w:spacing w:before="0" w:after="283"/>
              <w:rPr/>
            </w:pPr>
            <w:r>
              <w:rPr/>
              <w:t> </w:t>
            </w:r>
          </w:p>
        </w:tc>
      </w:tr>
      <w:tr>
        <w:trPr/>
        <w:tc>
          <w:tcPr>
            <w:tcW w:w="4438" w:type="dxa"/>
            <w:tcBorders/>
            <w:shd w:fill="CCEEFF" w:val="clear"/>
            <w:vAlign w:val="bottom"/>
          </w:tcPr>
          <w:p>
            <w:pPr>
              <w:pStyle w:val="TableContents"/>
              <w:spacing w:before="0" w:after="0"/>
              <w:ind w:left="225" w:right="0" w:hanging="225"/>
              <w:rPr/>
            </w:pPr>
            <w:r>
              <w:rPr/>
              <w:t>Joseph L. Rotunda</w:t>
            </w:r>
          </w:p>
        </w:tc>
        <w:tc>
          <w:tcPr>
            <w:tcW w:w="30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2711"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jc w:val="left"/>
              <w:rPr/>
            </w:pPr>
            <w:r>
              <w:rPr/>
              <w:t>$</w:t>
            </w:r>
          </w:p>
        </w:tc>
        <w:tc>
          <w:tcPr>
            <w:tcW w:w="1738"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r>
      <w:tr>
        <w:trPr/>
        <w:tc>
          <w:tcPr>
            <w:tcW w:w="4438" w:type="dxa"/>
            <w:tcBorders/>
            <w:shd w:fill="auto" w:val="clear"/>
            <w:vAlign w:val="bottom"/>
          </w:tcPr>
          <w:p>
            <w:pPr>
              <w:pStyle w:val="TableContents"/>
              <w:spacing w:before="0" w:after="0"/>
              <w:ind w:left="225" w:right="0" w:hanging="225"/>
              <w:rPr/>
            </w:pPr>
            <w:r>
              <w:rPr/>
              <w:t>Daniel N. Tonissen</w:t>
            </w:r>
          </w:p>
        </w:tc>
        <w:tc>
          <w:tcPr>
            <w:tcW w:w="30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711" w:type="dxa"/>
            <w:tcBorders/>
            <w:shd w:fill="auto" w:val="clear"/>
            <w:vAlign w:val="bottom"/>
          </w:tcPr>
          <w:p>
            <w:pPr>
              <w:pStyle w:val="TableContents"/>
              <w:spacing w:before="0" w:after="283"/>
              <w:jc w:val="right"/>
              <w:rPr/>
            </w:pPr>
            <w:r>
              <w:rPr/>
              <w:t>120,000</w:t>
            </w:r>
          </w:p>
        </w:tc>
        <w:tc>
          <w:tcPr>
            <w:tcW w:w="104"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738" w:type="dxa"/>
            <w:tcBorders/>
            <w:shd w:fill="auto" w:val="clear"/>
            <w:vAlign w:val="bottom"/>
          </w:tcPr>
          <w:p>
            <w:pPr>
              <w:pStyle w:val="TableContents"/>
              <w:spacing w:before="0" w:after="283"/>
              <w:jc w:val="right"/>
              <w:rPr/>
            </w:pPr>
            <w:r>
              <w:rPr/>
              <w:t>1,724,800</w:t>
            </w:r>
          </w:p>
        </w:tc>
        <w:tc>
          <w:tcPr>
            <w:tcW w:w="110" w:type="dxa"/>
            <w:tcBorders/>
            <w:shd w:fill="auto" w:val="clear"/>
            <w:vAlign w:val="bottom"/>
          </w:tcPr>
          <w:p>
            <w:pPr>
              <w:pStyle w:val="TableContents"/>
              <w:spacing w:before="0" w:after="283"/>
              <w:rPr/>
            </w:pPr>
            <w:r>
              <w:rPr/>
              <w:t> </w:t>
            </w:r>
          </w:p>
        </w:tc>
      </w:tr>
      <w:tr>
        <w:trPr/>
        <w:tc>
          <w:tcPr>
            <w:tcW w:w="4438" w:type="dxa"/>
            <w:tcBorders/>
            <w:shd w:fill="CCEEFF" w:val="clear"/>
            <w:vAlign w:val="bottom"/>
          </w:tcPr>
          <w:p>
            <w:pPr>
              <w:pStyle w:val="TableContents"/>
              <w:spacing w:before="0" w:after="0"/>
              <w:ind w:left="225" w:right="0" w:hanging="225"/>
              <w:rPr/>
            </w:pPr>
            <w:r>
              <w:rPr/>
              <w:t>Brad Wolfe</w:t>
            </w:r>
          </w:p>
        </w:tc>
        <w:tc>
          <w:tcPr>
            <w:tcW w:w="30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2711"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738"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r>
      <w:tr>
        <w:trPr/>
        <w:tc>
          <w:tcPr>
            <w:tcW w:w="4438" w:type="dxa"/>
            <w:tcBorders/>
            <w:shd w:fill="auto" w:val="clear"/>
            <w:vAlign w:val="bottom"/>
          </w:tcPr>
          <w:p>
            <w:pPr>
              <w:pStyle w:val="TableContents"/>
              <w:spacing w:before="0" w:after="0"/>
              <w:ind w:left="225" w:right="0" w:hanging="225"/>
              <w:rPr/>
            </w:pPr>
            <w:r>
              <w:rPr/>
              <w:t>Daniel M. Chism</w:t>
            </w:r>
          </w:p>
        </w:tc>
        <w:tc>
          <w:tcPr>
            <w:tcW w:w="30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711"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738"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r>
      <w:tr>
        <w:trPr/>
        <w:tc>
          <w:tcPr>
            <w:tcW w:w="4438" w:type="dxa"/>
            <w:tcBorders/>
            <w:shd w:fill="CCEEFF" w:val="clear"/>
            <w:vAlign w:val="bottom"/>
          </w:tcPr>
          <w:p>
            <w:pPr>
              <w:pStyle w:val="TableContents"/>
              <w:spacing w:before="0" w:after="0"/>
              <w:ind w:left="225" w:right="0" w:hanging="225"/>
              <w:rPr/>
            </w:pPr>
            <w:r>
              <w:rPr/>
              <w:t>Sterling B. Brinkley</w:t>
            </w:r>
          </w:p>
        </w:tc>
        <w:tc>
          <w:tcPr>
            <w:tcW w:w="30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2711"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738"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r>
      <w:tr>
        <w:trPr/>
        <w:tc>
          <w:tcPr>
            <w:tcW w:w="4438" w:type="dxa"/>
            <w:tcBorders/>
            <w:shd w:fill="auto" w:val="clear"/>
            <w:vAlign w:val="bottom"/>
          </w:tcPr>
          <w:p>
            <w:pPr>
              <w:pStyle w:val="TableContents"/>
              <w:spacing w:before="0" w:after="0"/>
              <w:ind w:left="225" w:right="0" w:hanging="225"/>
              <w:rPr/>
            </w:pPr>
            <w:r>
              <w:rPr/>
              <w:t>Paul E. Rothamel</w:t>
            </w:r>
          </w:p>
        </w:tc>
        <w:tc>
          <w:tcPr>
            <w:tcW w:w="30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711"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738"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r>
      <w:tr>
        <w:trPr/>
        <w:tc>
          <w:tcPr>
            <w:tcW w:w="4438" w:type="dxa"/>
            <w:tcBorders/>
            <w:shd w:fill="CCEEFF" w:val="clear"/>
            <w:vAlign w:val="bottom"/>
          </w:tcPr>
          <w:p>
            <w:pPr>
              <w:pStyle w:val="TableContents"/>
              <w:spacing w:before="0" w:after="0"/>
              <w:ind w:left="225" w:right="0" w:hanging="225"/>
              <w:rPr/>
            </w:pPr>
            <w:r>
              <w:rPr/>
              <w:t>Robert A. Kasenter</w:t>
            </w:r>
          </w:p>
        </w:tc>
        <w:tc>
          <w:tcPr>
            <w:tcW w:w="30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2711" w:type="dxa"/>
            <w:tcBorders/>
            <w:shd w:fill="CCEEFF" w:val="clear"/>
            <w:vAlign w:val="bottom"/>
          </w:tcPr>
          <w:p>
            <w:pPr>
              <w:pStyle w:val="TableContents"/>
              <w:spacing w:before="0" w:after="283"/>
              <w:jc w:val="right"/>
              <w:rPr/>
            </w:pPr>
            <w:r>
              <w:rPr/>
              <w:t>120,000</w:t>
            </w:r>
          </w:p>
        </w:tc>
        <w:tc>
          <w:tcPr>
            <w:tcW w:w="1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738" w:type="dxa"/>
            <w:tcBorders/>
            <w:shd w:fill="CCEEFF" w:val="clear"/>
            <w:vAlign w:val="bottom"/>
          </w:tcPr>
          <w:p>
            <w:pPr>
              <w:pStyle w:val="TableContents"/>
              <w:spacing w:before="0" w:after="283"/>
              <w:jc w:val="right"/>
              <w:rPr/>
            </w:pPr>
            <w:r>
              <w:rPr/>
              <w:t>1,850,800</w:t>
            </w:r>
          </w:p>
        </w:tc>
        <w:tc>
          <w:tcPr>
            <w:tcW w:w="110"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Computed using the fair market value of the stock on the date of exercise.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Other Benefits and Perquisites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401(k) Retirement Plan </w:t>
      </w:r>
      <w:r>
        <w:rPr>
          <w:rFonts w:ascii="Times New Roman;Times;serif" w:hAnsi="Times New Roman;Times;serif"/>
          <w:sz w:val="17"/>
        </w:rPr>
        <w:t xml:space="preserve"> All employees are given an opportunity to participate in our 401(k) retirement savings plan (following a new-hire waiting period). This plan allows participants to have pre-tax amounts withheld from their pay and provides for a discretionary employer matching contribution (currently, a 25% match in the form of our Class A Non-voting Common Stock up to 6% of salary). Participants may invest their contributions in various fund options, but are prohibited from investing their contributions in our common stock. Participants are immediately vested in their contributions, and the company matching contributions vest over the first four years of employment and are fully vested for participants who have four or more years of service.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Supplemental Executive Retirement Plan </w:t>
      </w:r>
      <w:r>
        <w:rPr>
          <w:rFonts w:ascii="Times New Roman;Times;serif" w:hAnsi="Times New Roman;Times;serif"/>
          <w:sz w:val="17"/>
        </w:rPr>
        <w:t xml:space="preserve"> The Internal Revenue Code limits the amount of pre-tax savings that highly-paid executives can contribute to the 401(k) plan. To offset some of the negative impact of these limitations on retirement savings and to encourage retention of key executives, we provide selected executives with a non-qualified Supplemental Executive Retirement Plan (SERP). Company contributions to the SERP are formula-based, reviewed and recommended by management and approved by the Compensation Committee each year. Currently, our annual contributions to the SERP are calculated as a percentage of the sum of base salary plus target bonus, with that percentage being 9% for Senior Vice Presidents or above and 4% for Vice Presidents. The SERP has been designed to provide a potential replacement value of 10% to 20% of final pay for each participant, assuming that the individual remains with us and participates in the SERP for twenty years. There were fourteen participants in the SERP in fiscal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SERP funds have a vesting schedule as an additional retention tool. Generally, the funds vest over three years from the grant date, with one-third vesting each year. All of a participants SERP funds vest 100% in the event of his or her death or disability, the termination of his or her employment without cause, or the termination of the plan due to a change in control of the company. In addition, all SERP funds are 100% vested when a participant attains his or her normal retirement age (60 years old and five years of active service) while actively employed by us. All SERP funds are forfeited, regardless of vesting status, if the participants employment is terminated for cause.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 </w:t>
      </w:r>
    </w:p>
    <w:p>
      <w:pPr>
        <w:pStyle w:val="TextBody"/>
        <w:jc w:val="center"/>
        <w:rPr>
          <w:rFonts w:ascii="Times New Roman;Times;serif" w:hAnsi="Times New Roman;Times;serif"/>
          <w:sz w:val="17"/>
        </w:rPr>
      </w:pPr>
      <w:r>
        <w:rPr>
          <w:rFonts w:ascii="Times New Roman;Times;serif" w:hAnsi="Times New Roman;Times;serif"/>
          <w:sz w:val="17"/>
        </w:rPr>
        <w:t xml:space="preserve">102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describes the contributions, earnings and balance at the end of fiscal 2010 for each of the Named Executive Officers who participate in the SERP: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Nonqualified Deferred Compensation</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370"/>
        <w:gridCol w:w="123"/>
        <w:gridCol w:w="258"/>
        <w:gridCol w:w="1474"/>
        <w:gridCol w:w="71"/>
        <w:gridCol w:w="123"/>
        <w:gridCol w:w="354"/>
        <w:gridCol w:w="1727"/>
        <w:gridCol w:w="70"/>
        <w:gridCol w:w="123"/>
        <w:gridCol w:w="406"/>
        <w:gridCol w:w="2318"/>
        <w:gridCol w:w="71"/>
        <w:gridCol w:w="123"/>
        <w:gridCol w:w="225"/>
        <w:gridCol w:w="1288"/>
        <w:gridCol w:w="81"/>
      </w:tblGrid>
      <w:tr>
        <w:trPr/>
        <w:tc>
          <w:tcPr>
            <w:tcW w:w="13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31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r>
      <w:tr>
        <w:trPr/>
        <w:tc>
          <w:tcPr>
            <w:tcW w:w="13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31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513" w:type="dxa"/>
            <w:gridSpan w:val="2"/>
            <w:tcBorders/>
            <w:shd w:fill="auto" w:val="clear"/>
            <w:vAlign w:val="bottom"/>
          </w:tcPr>
          <w:p>
            <w:pPr>
              <w:pStyle w:val="TableContents"/>
              <w:spacing w:before="0" w:after="283"/>
              <w:jc w:val="center"/>
              <w:rPr>
                <w:b/>
              </w:rPr>
            </w:pPr>
            <w:r>
              <w:rPr>
                <w:b/>
              </w:rPr>
              <w:t>Aggregate</w:t>
            </w:r>
          </w:p>
        </w:tc>
        <w:tc>
          <w:tcPr>
            <w:tcW w:w="81" w:type="dxa"/>
            <w:tcBorders/>
            <w:shd w:fill="auto" w:val="clear"/>
            <w:vAlign w:val="bottom"/>
          </w:tcPr>
          <w:p>
            <w:pPr>
              <w:pStyle w:val="TableContents"/>
              <w:spacing w:before="0" w:after="283"/>
              <w:rPr/>
            </w:pPr>
            <w:r>
              <w:rPr/>
              <w:t> </w:t>
            </w:r>
          </w:p>
        </w:tc>
      </w:tr>
      <w:tr>
        <w:trPr/>
        <w:tc>
          <w:tcPr>
            <w:tcW w:w="13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732" w:type="dxa"/>
            <w:gridSpan w:val="2"/>
            <w:tcBorders/>
            <w:shd w:fill="auto" w:val="clear"/>
            <w:vAlign w:val="bottom"/>
          </w:tcPr>
          <w:p>
            <w:pPr>
              <w:pStyle w:val="TableContents"/>
              <w:spacing w:before="0" w:after="283"/>
              <w:jc w:val="center"/>
              <w:rPr>
                <w:b/>
              </w:rPr>
            </w:pPr>
            <w:r>
              <w:rPr>
                <w:b/>
              </w:rPr>
              <w:t>Company</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081" w:type="dxa"/>
            <w:gridSpan w:val="2"/>
            <w:tcBorders/>
            <w:shd w:fill="auto" w:val="clear"/>
            <w:vAlign w:val="bottom"/>
          </w:tcPr>
          <w:p>
            <w:pPr>
              <w:pStyle w:val="TableContents"/>
              <w:spacing w:before="0" w:after="283"/>
              <w:jc w:val="center"/>
              <w:rPr>
                <w:b/>
              </w:rPr>
            </w:pPr>
            <w:r>
              <w:rPr>
                <w:b/>
              </w:rPr>
              <w:t>Aggregate Earnings</w:t>
            </w:r>
          </w:p>
        </w:tc>
        <w:tc>
          <w:tcPr>
            <w:tcW w:w="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724" w:type="dxa"/>
            <w:gridSpan w:val="2"/>
            <w:tcBorders/>
            <w:shd w:fill="auto" w:val="clear"/>
            <w:vAlign w:val="bottom"/>
          </w:tcPr>
          <w:p>
            <w:pPr>
              <w:pStyle w:val="TableContents"/>
              <w:spacing w:before="0" w:after="283"/>
              <w:jc w:val="center"/>
              <w:rPr>
                <w:b/>
              </w:rPr>
            </w:pPr>
            <w:r>
              <w:rPr>
                <w:b/>
              </w:rPr>
              <w:t>Aggregate</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513" w:type="dxa"/>
            <w:gridSpan w:val="2"/>
            <w:tcBorders/>
            <w:shd w:fill="auto" w:val="clear"/>
            <w:vAlign w:val="bottom"/>
          </w:tcPr>
          <w:p>
            <w:pPr>
              <w:pStyle w:val="TableContents"/>
              <w:spacing w:before="0" w:after="283"/>
              <w:jc w:val="center"/>
              <w:rPr>
                <w:b/>
              </w:rPr>
            </w:pPr>
            <w:r>
              <w:rPr>
                <w:b/>
              </w:rPr>
              <w:t>Balance at</w:t>
            </w:r>
          </w:p>
        </w:tc>
        <w:tc>
          <w:tcPr>
            <w:tcW w:w="81" w:type="dxa"/>
            <w:tcBorders/>
            <w:shd w:fill="auto" w:val="clear"/>
            <w:vAlign w:val="bottom"/>
          </w:tcPr>
          <w:p>
            <w:pPr>
              <w:pStyle w:val="TableContents"/>
              <w:spacing w:before="0" w:after="283"/>
              <w:rPr/>
            </w:pPr>
            <w:r>
              <w:rPr/>
              <w:t> </w:t>
            </w:r>
          </w:p>
        </w:tc>
      </w:tr>
      <w:tr>
        <w:trPr/>
        <w:tc>
          <w:tcPr>
            <w:tcW w:w="13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732" w:type="dxa"/>
            <w:gridSpan w:val="2"/>
            <w:tcBorders/>
            <w:shd w:fill="auto" w:val="clear"/>
            <w:vAlign w:val="bottom"/>
          </w:tcPr>
          <w:p>
            <w:pPr>
              <w:pStyle w:val="TableContents"/>
              <w:spacing w:before="0" w:after="283"/>
              <w:jc w:val="center"/>
              <w:rPr>
                <w:b/>
              </w:rPr>
            </w:pPr>
            <w:r>
              <w:rPr>
                <w:b/>
              </w:rPr>
              <w:t>Contributions in</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081" w:type="dxa"/>
            <w:gridSpan w:val="2"/>
            <w:tcBorders/>
            <w:shd w:fill="auto" w:val="clear"/>
            <w:vAlign w:val="bottom"/>
          </w:tcPr>
          <w:p>
            <w:pPr>
              <w:pStyle w:val="TableContents"/>
              <w:spacing w:before="0" w:after="283"/>
              <w:jc w:val="center"/>
              <w:rPr>
                <w:b/>
              </w:rPr>
            </w:pPr>
            <w:r>
              <w:rPr>
                <w:b/>
              </w:rPr>
              <w:t>in</w:t>
            </w:r>
          </w:p>
        </w:tc>
        <w:tc>
          <w:tcPr>
            <w:tcW w:w="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724" w:type="dxa"/>
            <w:gridSpan w:val="2"/>
            <w:tcBorders/>
            <w:shd w:fill="auto" w:val="clear"/>
            <w:vAlign w:val="bottom"/>
          </w:tcPr>
          <w:p>
            <w:pPr>
              <w:pStyle w:val="TableContents"/>
              <w:spacing w:before="0" w:after="283"/>
              <w:jc w:val="center"/>
              <w:rPr>
                <w:b/>
              </w:rPr>
            </w:pPr>
            <w:r>
              <w:rPr>
                <w:b/>
              </w:rPr>
              <w:t>Withdrawals/Distributions</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513" w:type="dxa"/>
            <w:gridSpan w:val="2"/>
            <w:tcBorders/>
            <w:shd w:fill="auto" w:val="clear"/>
            <w:vAlign w:val="bottom"/>
          </w:tcPr>
          <w:p>
            <w:pPr>
              <w:pStyle w:val="TableContents"/>
              <w:spacing w:before="0" w:after="283"/>
              <w:jc w:val="center"/>
              <w:rPr>
                <w:b/>
              </w:rPr>
            </w:pPr>
            <w:r>
              <w:rPr>
                <w:b/>
              </w:rPr>
              <w:t>September 30,</w:t>
            </w:r>
          </w:p>
        </w:tc>
        <w:tc>
          <w:tcPr>
            <w:tcW w:w="81" w:type="dxa"/>
            <w:tcBorders/>
            <w:shd w:fill="auto" w:val="clear"/>
            <w:vAlign w:val="bottom"/>
          </w:tcPr>
          <w:p>
            <w:pPr>
              <w:pStyle w:val="TableContents"/>
              <w:spacing w:before="0" w:after="283"/>
              <w:rPr/>
            </w:pPr>
            <w:r>
              <w:rPr/>
              <w:t> </w:t>
            </w:r>
          </w:p>
        </w:tc>
      </w:tr>
      <w:tr>
        <w:trPr/>
        <w:tc>
          <w:tcPr>
            <w:tcW w:w="1370"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123" w:type="dxa"/>
            <w:tcBorders/>
            <w:shd w:fill="auto" w:val="clear"/>
            <w:vAlign w:val="bottom"/>
          </w:tcPr>
          <w:p>
            <w:pPr>
              <w:pStyle w:val="TableContents"/>
              <w:spacing w:before="0" w:after="283"/>
              <w:rPr/>
            </w:pPr>
            <w:r>
              <w:rPr/>
              <w:t> </w:t>
            </w:r>
          </w:p>
        </w:tc>
        <w:tc>
          <w:tcPr>
            <w:tcW w:w="17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Fiscal 2010 (1)</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08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Fiscal 2010 (2)</w:t>
            </w:r>
          </w:p>
        </w:tc>
        <w:tc>
          <w:tcPr>
            <w:tcW w:w="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7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 Fiscal 2010</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51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 (3)</w:t>
            </w:r>
          </w:p>
        </w:tc>
        <w:tc>
          <w:tcPr>
            <w:tcW w:w="81" w:type="dxa"/>
            <w:tcBorders/>
            <w:shd w:fill="auto" w:val="clear"/>
            <w:vAlign w:val="bottom"/>
          </w:tcPr>
          <w:p>
            <w:pPr>
              <w:pStyle w:val="TableContents"/>
              <w:spacing w:before="0" w:after="283"/>
              <w:rPr/>
            </w:pPr>
            <w:r>
              <w:rPr/>
              <w:t> </w:t>
            </w:r>
          </w:p>
        </w:tc>
      </w:tr>
      <w:tr>
        <w:trPr/>
        <w:tc>
          <w:tcPr>
            <w:tcW w:w="1370" w:type="dxa"/>
            <w:tcBorders/>
            <w:shd w:fill="CCEEFF" w:val="clear"/>
            <w:vAlign w:val="bottom"/>
          </w:tcPr>
          <w:p>
            <w:pPr>
              <w:pStyle w:val="TableContents"/>
              <w:spacing w:before="0" w:after="0"/>
              <w:ind w:left="225" w:right="0" w:hanging="225"/>
              <w:rPr/>
            </w:pPr>
            <w:r>
              <w:rPr/>
              <w:t>Joseph L. Rotunda</w:t>
            </w:r>
          </w:p>
        </w:tc>
        <w:tc>
          <w:tcPr>
            <w:tcW w:w="123"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w:t>
            </w:r>
          </w:p>
        </w:tc>
        <w:tc>
          <w:tcPr>
            <w:tcW w:w="1474" w:type="dxa"/>
            <w:tcBorders/>
            <w:shd w:fill="CCEEFF" w:val="clear"/>
            <w:vAlign w:val="bottom"/>
          </w:tcPr>
          <w:p>
            <w:pPr>
              <w:pStyle w:val="TableContents"/>
              <w:spacing w:before="0" w:after="283"/>
              <w:jc w:val="right"/>
              <w:rPr/>
            </w:pPr>
            <w:r>
              <w:rPr/>
              <w:t>236,250</w:t>
            </w:r>
          </w:p>
        </w:tc>
        <w:tc>
          <w:tcPr>
            <w:tcW w:w="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jc w:val="left"/>
              <w:rPr/>
            </w:pPr>
            <w:r>
              <w:rPr/>
              <w:t>$</w:t>
            </w:r>
          </w:p>
        </w:tc>
        <w:tc>
          <w:tcPr>
            <w:tcW w:w="1727" w:type="dxa"/>
            <w:tcBorders/>
            <w:shd w:fill="CCEEFF" w:val="clear"/>
            <w:vAlign w:val="bottom"/>
          </w:tcPr>
          <w:p>
            <w:pPr>
              <w:pStyle w:val="TableContents"/>
              <w:spacing w:before="0" w:after="283"/>
              <w:jc w:val="right"/>
              <w:rPr/>
            </w:pPr>
            <w:r>
              <w:rPr/>
              <w:t>84,407</w:t>
            </w:r>
          </w:p>
        </w:tc>
        <w:tc>
          <w:tcPr>
            <w:tcW w:w="7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jc w:val="left"/>
              <w:rPr/>
            </w:pPr>
            <w:r>
              <w:rPr/>
              <w:t>$</w:t>
            </w:r>
          </w:p>
        </w:tc>
        <w:tc>
          <w:tcPr>
            <w:tcW w:w="2318"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jc w:val="left"/>
              <w:rPr/>
            </w:pPr>
            <w:r>
              <w:rPr/>
              <w:t>$</w:t>
            </w:r>
          </w:p>
        </w:tc>
        <w:tc>
          <w:tcPr>
            <w:tcW w:w="1288" w:type="dxa"/>
            <w:tcBorders/>
            <w:shd w:fill="CCEEFF" w:val="clear"/>
            <w:vAlign w:val="bottom"/>
          </w:tcPr>
          <w:p>
            <w:pPr>
              <w:pStyle w:val="TableContents"/>
              <w:spacing w:before="0" w:after="283"/>
              <w:jc w:val="right"/>
              <w:rPr/>
            </w:pPr>
            <w:r>
              <w:rPr/>
              <w:t>936,386</w:t>
            </w:r>
          </w:p>
        </w:tc>
        <w:tc>
          <w:tcPr>
            <w:tcW w:w="81" w:type="dxa"/>
            <w:tcBorders/>
            <w:shd w:fill="CCEEFF" w:val="clear"/>
            <w:vAlign w:val="bottom"/>
          </w:tcPr>
          <w:p>
            <w:pPr>
              <w:pStyle w:val="TableContents"/>
              <w:spacing w:before="0" w:after="283"/>
              <w:rPr/>
            </w:pPr>
            <w:r>
              <w:rPr/>
              <w:t> </w:t>
            </w:r>
          </w:p>
        </w:tc>
      </w:tr>
      <w:tr>
        <w:trPr/>
        <w:tc>
          <w:tcPr>
            <w:tcW w:w="1370" w:type="dxa"/>
            <w:tcBorders/>
            <w:shd w:fill="auto" w:val="clear"/>
            <w:vAlign w:val="bottom"/>
          </w:tcPr>
          <w:p>
            <w:pPr>
              <w:pStyle w:val="TableContents"/>
              <w:spacing w:before="0" w:after="0"/>
              <w:ind w:left="225" w:right="0" w:hanging="225"/>
              <w:rPr/>
            </w:pPr>
            <w:r>
              <w:rPr/>
              <w:t>Daniel N. Tonissen</w:t>
            </w:r>
          </w:p>
        </w:tc>
        <w:tc>
          <w:tcPr>
            <w:tcW w:w="123"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pPr>
            <w:r>
              <w:rPr/>
              <w:t></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10,468</w:t>
            </w:r>
          </w:p>
        </w:tc>
        <w:tc>
          <w:tcPr>
            <w:tcW w:w="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318" w:type="dxa"/>
            <w:tcBorders/>
            <w:shd w:fill="auto" w:val="clear"/>
            <w:vAlign w:val="bottom"/>
          </w:tcPr>
          <w:p>
            <w:pPr>
              <w:pStyle w:val="TableContents"/>
              <w:spacing w:before="0" w:after="283"/>
              <w:jc w:val="right"/>
              <w:rPr/>
            </w:pPr>
            <w:r>
              <w:rPr/>
              <w:t>120,070</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r>
      <w:tr>
        <w:trPr/>
        <w:tc>
          <w:tcPr>
            <w:tcW w:w="1370" w:type="dxa"/>
            <w:tcBorders/>
            <w:shd w:fill="CCEEFF" w:val="clear"/>
            <w:vAlign w:val="bottom"/>
          </w:tcPr>
          <w:p>
            <w:pPr>
              <w:pStyle w:val="TableContents"/>
              <w:spacing w:before="0" w:after="0"/>
              <w:ind w:left="225" w:right="0" w:hanging="225"/>
              <w:rPr/>
            </w:pPr>
            <w:r>
              <w:rPr/>
              <w:t>Brad Wolfe</w:t>
            </w:r>
          </w:p>
        </w:tc>
        <w:tc>
          <w:tcPr>
            <w:tcW w:w="123"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r>
      <w:tr>
        <w:trPr/>
        <w:tc>
          <w:tcPr>
            <w:tcW w:w="1370" w:type="dxa"/>
            <w:tcBorders/>
            <w:shd w:fill="auto" w:val="clear"/>
            <w:vAlign w:val="bottom"/>
          </w:tcPr>
          <w:p>
            <w:pPr>
              <w:pStyle w:val="TableContents"/>
              <w:spacing w:before="0" w:after="0"/>
              <w:ind w:left="225" w:right="0" w:hanging="225"/>
              <w:rPr/>
            </w:pPr>
            <w:r>
              <w:rPr/>
              <w:t>Daniel M. Chism</w:t>
            </w:r>
          </w:p>
        </w:tc>
        <w:tc>
          <w:tcPr>
            <w:tcW w:w="123"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pPr>
            <w:r>
              <w:rPr/>
              <w:t></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318" w:type="dxa"/>
            <w:tcBorders/>
            <w:shd w:fill="auto" w:val="clear"/>
            <w:vAlign w:val="bottom"/>
          </w:tcPr>
          <w:p>
            <w:pPr>
              <w:pStyle w:val="TableContents"/>
              <w:spacing w:before="0" w:after="283"/>
              <w:jc w:val="right"/>
              <w:rPr/>
            </w:pPr>
            <w:r>
              <w:rPr/>
              <w:t></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r>
      <w:tr>
        <w:trPr/>
        <w:tc>
          <w:tcPr>
            <w:tcW w:w="1370" w:type="dxa"/>
            <w:tcBorders/>
            <w:shd w:fill="CCEEFF" w:val="clear"/>
            <w:vAlign w:val="bottom"/>
          </w:tcPr>
          <w:p>
            <w:pPr>
              <w:pStyle w:val="TableContents"/>
              <w:spacing w:before="0" w:after="0"/>
              <w:ind w:left="225" w:right="0" w:hanging="225"/>
              <w:rPr/>
            </w:pPr>
            <w:r>
              <w:rPr/>
              <w:t>Sterling B. Brinkley</w:t>
            </w:r>
          </w:p>
        </w:tc>
        <w:tc>
          <w:tcPr>
            <w:tcW w:w="123"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pPr>
            <w:r>
              <w:rPr/>
              <w:t>174,375</w:t>
            </w:r>
          </w:p>
        </w:tc>
        <w:tc>
          <w:tcPr>
            <w:tcW w:w="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59,447</w:t>
            </w:r>
          </w:p>
        </w:tc>
        <w:tc>
          <w:tcPr>
            <w:tcW w:w="7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620,634</w:t>
            </w:r>
          </w:p>
        </w:tc>
        <w:tc>
          <w:tcPr>
            <w:tcW w:w="81" w:type="dxa"/>
            <w:tcBorders/>
            <w:shd w:fill="CCEEFF" w:val="clear"/>
            <w:vAlign w:val="bottom"/>
          </w:tcPr>
          <w:p>
            <w:pPr>
              <w:pStyle w:val="TableContents"/>
              <w:spacing w:before="0" w:after="283"/>
              <w:rPr/>
            </w:pPr>
            <w:r>
              <w:rPr/>
              <w:t> </w:t>
            </w:r>
          </w:p>
        </w:tc>
      </w:tr>
      <w:tr>
        <w:trPr/>
        <w:tc>
          <w:tcPr>
            <w:tcW w:w="1370" w:type="dxa"/>
            <w:tcBorders/>
            <w:shd w:fill="auto" w:val="clear"/>
            <w:vAlign w:val="bottom"/>
          </w:tcPr>
          <w:p>
            <w:pPr>
              <w:pStyle w:val="TableContents"/>
              <w:spacing w:before="0" w:after="0"/>
              <w:ind w:left="225" w:right="0" w:hanging="225"/>
              <w:rPr/>
            </w:pPr>
            <w:r>
              <w:rPr/>
              <w:t>Paul E. Rothamel</w:t>
            </w:r>
          </w:p>
        </w:tc>
        <w:tc>
          <w:tcPr>
            <w:tcW w:w="123"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pPr>
            <w:r>
              <w:rPr/>
              <w:t>90,000</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9,351</w:t>
            </w:r>
          </w:p>
        </w:tc>
        <w:tc>
          <w:tcPr>
            <w:tcW w:w="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318" w:type="dxa"/>
            <w:tcBorders/>
            <w:shd w:fill="auto" w:val="clear"/>
            <w:vAlign w:val="bottom"/>
          </w:tcPr>
          <w:p>
            <w:pPr>
              <w:pStyle w:val="TableContents"/>
              <w:spacing w:before="0" w:after="283"/>
              <w:jc w:val="right"/>
              <w:rPr/>
            </w:pPr>
            <w:r>
              <w:rPr/>
              <w:t></w:t>
            </w:r>
          </w:p>
        </w:tc>
        <w:tc>
          <w:tcPr>
            <w:tcW w:w="7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88" w:type="dxa"/>
            <w:tcBorders/>
            <w:shd w:fill="auto" w:val="clear"/>
            <w:vAlign w:val="bottom"/>
          </w:tcPr>
          <w:p>
            <w:pPr>
              <w:pStyle w:val="TableContents"/>
              <w:spacing w:before="0" w:after="283"/>
              <w:jc w:val="right"/>
              <w:rPr/>
            </w:pPr>
            <w:r>
              <w:rPr/>
              <w:t>99,351</w:t>
            </w:r>
          </w:p>
        </w:tc>
        <w:tc>
          <w:tcPr>
            <w:tcW w:w="81" w:type="dxa"/>
            <w:tcBorders/>
            <w:shd w:fill="auto" w:val="clear"/>
            <w:vAlign w:val="bottom"/>
          </w:tcPr>
          <w:p>
            <w:pPr>
              <w:pStyle w:val="TableContents"/>
              <w:spacing w:before="0" w:after="283"/>
              <w:rPr/>
            </w:pPr>
            <w:r>
              <w:rPr/>
              <w:t> </w:t>
            </w:r>
          </w:p>
        </w:tc>
      </w:tr>
      <w:tr>
        <w:trPr/>
        <w:tc>
          <w:tcPr>
            <w:tcW w:w="1370" w:type="dxa"/>
            <w:tcBorders/>
            <w:shd w:fill="CCEEFF" w:val="clear"/>
            <w:vAlign w:val="bottom"/>
          </w:tcPr>
          <w:p>
            <w:pPr>
              <w:pStyle w:val="TableContents"/>
              <w:spacing w:before="0" w:after="0"/>
              <w:ind w:left="225" w:right="0" w:hanging="225"/>
              <w:rPr/>
            </w:pPr>
            <w:r>
              <w:rPr/>
              <w:t>Robert A. Kasenter</w:t>
            </w:r>
          </w:p>
        </w:tc>
        <w:tc>
          <w:tcPr>
            <w:tcW w:w="123"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pPr>
            <w:r>
              <w:rPr/>
              <w:t>44,640</w:t>
            </w:r>
          </w:p>
        </w:tc>
        <w:tc>
          <w:tcPr>
            <w:tcW w:w="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25,587</w:t>
            </w:r>
          </w:p>
        </w:tc>
        <w:tc>
          <w:tcPr>
            <w:tcW w:w="7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2318"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jc w:val="right"/>
              <w:rPr/>
            </w:pPr>
            <w:r>
              <w:rPr/>
              <w:t>223,791</w:t>
            </w:r>
          </w:p>
        </w:tc>
        <w:tc>
          <w:tcPr>
            <w:tcW w:w="81"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amounts were included in the Summary Compensation Table above in the column labeled All Other Compensation.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These amounts were not included in the Summary Compensation Table above, as the earnings were not in excess of market rates.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Of the Aggregate Balance at September 30, 2010, the following amounts were previously reported as compensation in the Summary Compensation Tables for prior years: $556,375 for Mr. Rotunda, $421,813 for Mr. Brinkley, and $134,950 for Mr. Kasenter.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All Other Compensation </w:t>
      </w:r>
      <w:r>
        <w:rPr>
          <w:rFonts w:ascii="Times New Roman;Times;serif" w:hAnsi="Times New Roman;Times;serif"/>
          <w:sz w:val="17"/>
        </w:rPr>
        <w:t xml:space="preserve"> The following table describes each component of the amounts shown in the All Other Compensation column in the Summary Compensation Table above. </w:t>
      </w:r>
    </w:p>
    <w:tbl>
      <w:tblPr>
        <w:tblW w:w="12860" w:type="dxa"/>
        <w:jc w:val="center"/>
        <w:tblInd w:w="0" w:type="dxa"/>
        <w:tblCellMar>
          <w:top w:w="0" w:type="dxa"/>
          <w:left w:w="0" w:type="dxa"/>
          <w:bottom w:w="0" w:type="dxa"/>
          <w:right w:w="0" w:type="dxa"/>
        </w:tblCellMar>
      </w:tblPr>
      <w:tblGrid>
        <w:gridCol w:w="710"/>
        <w:gridCol w:w="60"/>
        <w:gridCol w:w="60"/>
        <w:gridCol w:w="500"/>
        <w:gridCol w:w="60"/>
        <w:gridCol w:w="60"/>
        <w:gridCol w:w="240"/>
        <w:gridCol w:w="1175"/>
        <w:gridCol w:w="60"/>
        <w:gridCol w:w="60"/>
        <w:gridCol w:w="249"/>
        <w:gridCol w:w="1211"/>
        <w:gridCol w:w="60"/>
        <w:gridCol w:w="60"/>
        <w:gridCol w:w="126"/>
        <w:gridCol w:w="1694"/>
        <w:gridCol w:w="60"/>
        <w:gridCol w:w="60"/>
        <w:gridCol w:w="240"/>
        <w:gridCol w:w="1175"/>
        <w:gridCol w:w="60"/>
        <w:gridCol w:w="60"/>
        <w:gridCol w:w="376"/>
        <w:gridCol w:w="1504"/>
        <w:gridCol w:w="60"/>
        <w:gridCol w:w="60"/>
        <w:gridCol w:w="252"/>
        <w:gridCol w:w="1448"/>
        <w:gridCol w:w="60"/>
        <w:gridCol w:w="60"/>
        <w:gridCol w:w="140"/>
        <w:gridCol w:w="800"/>
        <w:gridCol w:w="60"/>
      </w:tblGrid>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Company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2"/>
            <w:tcBorders/>
            <w:shd w:fill="auto" w:val="clear"/>
            <w:vAlign w:val="bottom"/>
          </w:tcPr>
          <w:p>
            <w:pPr>
              <w:pStyle w:val="TableContents"/>
              <w:spacing w:before="0" w:after="283"/>
              <w:jc w:val="center"/>
              <w:rPr>
                <w:b/>
              </w:rPr>
            </w:pPr>
            <w:r>
              <w:rPr>
                <w:b/>
              </w:rPr>
              <w:t>Value of</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Contributions to</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jc w:val="center"/>
              <w:rPr>
                <w:b/>
              </w:rPr>
            </w:pPr>
            <w:r>
              <w:rPr>
                <w:b/>
              </w:rPr>
              <w:t>Health Care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2"/>
            <w:tcBorders/>
            <w:shd w:fill="auto" w:val="clear"/>
            <w:vAlign w:val="bottom"/>
          </w:tcPr>
          <w:p>
            <w:pPr>
              <w:pStyle w:val="TableContents"/>
              <w:spacing w:before="0" w:after="283"/>
              <w:jc w:val="center"/>
              <w:rPr>
                <w:b/>
              </w:rPr>
            </w:pPr>
            <w:r>
              <w:rPr>
                <w:b/>
              </w:rPr>
              <w:t>Supplemental Life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Defined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jc w:val="center"/>
              <w:rPr>
                <w:b/>
              </w:rPr>
            </w:pPr>
            <w:r>
              <w:rPr>
                <w:b/>
              </w:rPr>
              <w:t>Automobile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jc w:val="center"/>
              <w:rPr>
                <w:b/>
              </w:rPr>
            </w:pPr>
            <w:r>
              <w:rPr>
                <w:b/>
              </w:rPr>
              <w:t>Country Club</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jc w:val="center"/>
              <w:rPr>
                <w:b/>
              </w:rPr>
            </w:pPr>
            <w:r>
              <w:rPr>
                <w:b/>
              </w:rPr>
              <w:t>Supplemental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2"/>
            <w:tcBorders/>
            <w:shd w:fill="auto" w:val="clear"/>
            <w:vAlign w:val="bottom"/>
          </w:tcPr>
          <w:p>
            <w:pPr>
              <w:pStyle w:val="TableContents"/>
              <w:spacing w:before="0" w:after="283"/>
              <w:jc w:val="center"/>
              <w:rPr>
                <w:b/>
              </w:rPr>
            </w:pPr>
            <w:r>
              <w:rPr>
                <w:b/>
              </w:rPr>
              <w:t>Insurance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Contribution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r>
      <w:tr>
        <w:trPr/>
        <w:tc>
          <w:tcPr>
            <w:tcW w:w="710"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60" w:type="dxa"/>
            <w:tcBorders/>
            <w:shd w:fill="auto" w:val="clear"/>
            <w:vAlign w:val="bottom"/>
          </w:tcPr>
          <w:p>
            <w:pPr>
              <w:pStyle w:val="TableContents"/>
              <w:spacing w:before="0" w:after="283"/>
              <w:rPr/>
            </w:pPr>
            <w:r>
              <w:rPr/>
              <w:t> </w:t>
            </w:r>
          </w:p>
        </w:tc>
        <w:tc>
          <w:tcPr>
            <w:tcW w:w="5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Allowance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Allowance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Other Benefits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Insurance (3)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Premiums (4)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Plans (5)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Joseph L. Rotunda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jc w:val="left"/>
              <w:rPr/>
            </w:pPr>
            <w:r>
              <w:rPr/>
              <w:t>$</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175" w:type="dxa"/>
            <w:tcBorders/>
            <w:shd w:fill="CCEEFF" w:val="clear"/>
            <w:vAlign w:val="bottom"/>
          </w:tcPr>
          <w:p>
            <w:pPr>
              <w:pStyle w:val="TableContents"/>
              <w:spacing w:before="0" w:after="283"/>
              <w:jc w:val="right"/>
              <w:rPr/>
            </w:pPr>
            <w:r>
              <w:rPr/>
              <w:t>23,028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jc w:val="left"/>
              <w:rPr/>
            </w:pPr>
            <w:r>
              <w:rPr/>
              <w:t>$</w:t>
            </w:r>
          </w:p>
        </w:tc>
        <w:tc>
          <w:tcPr>
            <w:tcW w:w="1504" w:type="dxa"/>
            <w:tcBorders/>
            <w:shd w:fill="CCEEFF" w:val="clear"/>
            <w:vAlign w:val="bottom"/>
          </w:tcPr>
          <w:p>
            <w:pPr>
              <w:pStyle w:val="TableContents"/>
              <w:spacing w:before="0" w:after="283"/>
              <w:jc w:val="right"/>
              <w:rPr/>
            </w:pPr>
            <w:r>
              <w:rPr/>
              <w:t>2,760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left"/>
              <w:rPr/>
            </w:pPr>
            <w:r>
              <w:rPr/>
              <w:t>$</w:t>
            </w:r>
          </w:p>
        </w:tc>
        <w:tc>
          <w:tcPr>
            <w:tcW w:w="1448" w:type="dxa"/>
            <w:tcBorders/>
            <w:shd w:fill="CCEEFF" w:val="clear"/>
            <w:vAlign w:val="bottom"/>
          </w:tcPr>
          <w:p>
            <w:pPr>
              <w:pStyle w:val="TableContents"/>
              <w:spacing w:before="0" w:after="283"/>
              <w:jc w:val="right"/>
              <w:rPr/>
            </w:pPr>
            <w:r>
              <w:rPr/>
              <w:t>236,959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262,747</w:t>
            </w:r>
          </w:p>
        </w:tc>
        <w:tc>
          <w:tcPr>
            <w:tcW w:w="60" w:type="dxa"/>
            <w:tcBorders/>
            <w:shd w:fill="CCEEFF"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26,537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2,880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220,084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249,501</w:t>
            </w:r>
          </w:p>
        </w:tc>
        <w:tc>
          <w:tcPr>
            <w:tcW w:w="60" w:type="dxa"/>
            <w:tcBorders/>
            <w:shd w:fill="CCEEFF"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26,400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13,200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13,070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3,372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144,709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200,751</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Daniel N. Tonissen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13,595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690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200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14,485</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10,870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2,880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58,950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72,700</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18,000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10,550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3,372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46,575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78,497</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Brad Wolfe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331,615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575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332,190</w:t>
            </w:r>
          </w:p>
        </w:tc>
        <w:tc>
          <w:tcPr>
            <w:tcW w:w="60" w:type="dxa"/>
            <w:tcBorders/>
            <w:shd w:fill="CCEEFF"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Daniel M. Chism</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25,681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1,747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2,090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29,518</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Sterling B. Brinkley</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13,615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2,760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174,375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190,750</w:t>
            </w:r>
          </w:p>
        </w:tc>
        <w:tc>
          <w:tcPr>
            <w:tcW w:w="60" w:type="dxa"/>
            <w:tcBorders/>
            <w:shd w:fill="CCEEFF"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19,925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2,880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156,938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179,743</w:t>
            </w:r>
          </w:p>
        </w:tc>
        <w:tc>
          <w:tcPr>
            <w:tcW w:w="60" w:type="dxa"/>
            <w:tcBorders/>
            <w:shd w:fill="CCEEFF"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26,400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13,200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19,213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3,372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84,375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146,560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Paul E. Rothamel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jc w:val="right"/>
              <w:rPr/>
            </w:pPr>
            <w:r>
              <w:rPr/>
              <w:t>800,165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1,683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1,380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90,000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893,228</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Robert A. Kasenter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3,252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2,567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45,575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51,394</w:t>
            </w:r>
          </w:p>
        </w:tc>
        <w:tc>
          <w:tcPr>
            <w:tcW w:w="60" w:type="dxa"/>
            <w:tcBorders/>
            <w:shd w:fill="CCEEFF"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6,597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2,419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38,833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47,849</w:t>
            </w:r>
          </w:p>
        </w:tc>
        <w:tc>
          <w:tcPr>
            <w:tcW w:w="60" w:type="dxa"/>
            <w:tcBorders/>
            <w:shd w:fill="CCEEFF" w:val="clear"/>
            <w:vAlign w:val="bottom"/>
          </w:tcPr>
          <w:p>
            <w:pPr>
              <w:pStyle w:val="TableContents"/>
              <w:spacing w:before="0" w:after="283"/>
              <w:rPr/>
            </w:pPr>
            <w:r>
              <w:rPr/>
              <w:t> </w:t>
            </w:r>
          </w:p>
        </w:tc>
      </w:tr>
      <w:tr>
        <w:trPr/>
        <w:tc>
          <w:tcPr>
            <w:tcW w:w="710" w:type="dxa"/>
            <w:tcBorders/>
            <w:shd w:fill="CCEEFF" w:val="clear"/>
            <w:vAlign w:val="bottom"/>
          </w:tcPr>
          <w:p>
            <w:pPr>
              <w:pStyle w:val="TableContents"/>
              <w:spacing w:before="0" w:after="0"/>
              <w:ind w:left="225" w:right="0" w:hanging="225"/>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18,000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4,537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2,529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34,632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59,698</w:t>
            </w:r>
          </w:p>
        </w:tc>
        <w:tc>
          <w:tcPr>
            <w:tcW w:w="60"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This benefit was discontinued at the beginning of fiscal 2009.</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 xml:space="preserve">The amount shown for Mr. Wolfe represents the aggregate amount of the severance payments that the company agreed to pay Mr. Wolfe in connection with the termination of his employment. </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Rothamel joined the company in September 2009, and the amount shown for him represents the aggregate amounts the company paid to him in connection with his relocation from Omaha, Nebraska to Austin, Texas, including a one-time bonus in the amount of $197,949 (plus tax gross-up in the amount of $113,536) intended to compensate him for price reductions necessary to complete the sale of his house in Omaha and a one-time bonus in the amount of $200,000 (plus tax gross-up in the amount of $114,713) to assist him in the purchase of a house in Austin, Texas.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We reimburse certain of our executives, including all of the Named Executive Officers, for healthcare costs in excess of amounts covered by our health insurance plans. The amounts shown represent the amount of such supplemental healthcare benefits we paid to each of the Named Executive Officers during fiscal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Represents taxable group life insurance premiums paid on behalf of the Named Executive Officers. The benefit provides life and accidental death and dismemberment coverage at three times the Named Executive Officers annual salary up to a maximum of $1 million.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Includes the company contributions to the 401(k) plan and the Supplemental Executive Retirement Plan.</w:t>
            </w:r>
          </w:p>
        </w:tc>
      </w:tr>
    </w:tbl>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Certain Termination and Change-in-Control Benefits </w:t>
      </w:r>
      <w:r>
        <w:rPr>
          <w:rFonts w:ascii="Times New Roman;Times;serif" w:hAnsi="Times New Roman;Times;serif"/>
          <w:sz w:val="17"/>
        </w:rPr>
        <w:t xml:space="preserve"> The following is a summary of various agreements that provide for benefits to the Named Executive Officers upon termination of employment or a change-in-control: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i/>
              </w:rPr>
              <w:t xml:space="preserve">Rotunda Employment Agreement and Consulting Agreement </w:t>
            </w:r>
            <w:r>
              <w:rPr/>
              <w:t> Mr. Rotundas employment agreement provided him with certain severance and termination benefits if he served the full term of the agreement (through October 8, 2010). Those benefits, which Mr. Rotunda has now earned, include (1) a cash payment in an amount equal to one years base salary plus his most recent annual incentive bonus award (total of approximately $3.4 million, payable on January 7, 2011) and (2) a five-year consulting agreement that provides for the following: an annual consulting fee of $500,000; an annual incentive bonus with a target amount equal to 50% of the annual fee and a maximum amount equal to 100% of the annual fee; and reimbursement of reasonable business expenses. The company has also agreed to continue the healthcare benefits for Mr. Rotunda during the term of the consulting agreement. If the consulting agreement is terminated by reason of Mr. Rotundas death or disability, he will be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entitled to payment of an amount equal to one years annual consulting fee plus one year of incentive bonus (calculated at the target amount) and continuation of healthcare benefits for Mr. Rotunda and/or his spouse (as applicable) for one year. In addition, if the company terminates the consulting agreement (other than due to a material breach by Mr. Rotunda) or Mr. Rotunda terminates the consulting agreement because of a material breach by the company, then the company will pay Mr. Rotunda an amount of cash equal to all annual consulting fees that would have been payable to Mr. Rotunda had the agreement continued until the expiration of the five-year term, plus an additional $500,000 in lieu of subsequent annual incentive bonuses, and shall continue to provide the healthcare benefits for Mr. Rotunda until the expiration of the five-year term.</w:t>
            </w:r>
          </w:p>
        </w:tc>
      </w:tr>
    </w:tbl>
    <w:tbl>
      <w:tblPr>
        <w:tblW w:w="5000" w:type="pct"/>
        <w:jc w:val="left"/>
        <w:tblInd w:w="0" w:type="dxa"/>
        <w:tblCellMar>
          <w:top w:w="0" w:type="dxa"/>
          <w:left w:w="0" w:type="dxa"/>
          <w:bottom w:w="0" w:type="dxa"/>
          <w:right w:w="0" w:type="dxa"/>
        </w:tblCellMar>
      </w:tblPr>
      <w:tblGrid>
        <w:gridCol w:w="207"/>
        <w:gridCol w:w="102"/>
        <w:gridCol w:w="9896"/>
      </w:tblGrid>
      <w:tr>
        <w:trPr/>
        <w:tc>
          <w:tcPr>
            <w:tcW w:w="207"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283"/>
              <w:rPr/>
            </w:pPr>
            <w:r>
              <w:rPr>
                <w:i/>
              </w:rPr>
              <w:t xml:space="preserve">Rothamel Employment Agreement  </w:t>
            </w:r>
            <w:r>
              <w:rPr/>
              <w:t>Mr. Rothamels employment agreement provides for the payment of certain cash benefits upon the termination of Mr. Rothamels employment in the following circumstances:</w:t>
            </w:r>
          </w:p>
        </w:tc>
      </w:tr>
    </w:tbl>
    <w:tbl>
      <w:tblPr>
        <w:tblW w:w="5000" w:type="pct"/>
        <w:jc w:val="left"/>
        <w:tblInd w:w="0" w:type="dxa"/>
        <w:tblCellMar>
          <w:top w:w="0" w:type="dxa"/>
          <w:left w:w="0" w:type="dxa"/>
          <w:bottom w:w="0" w:type="dxa"/>
          <w:right w:w="0" w:type="dxa"/>
        </w:tblCellMar>
      </w:tblPr>
      <w:tblGrid>
        <w:gridCol w:w="305"/>
        <w:gridCol w:w="203"/>
        <w:gridCol w:w="102"/>
        <w:gridCol w:w="9595"/>
      </w:tblGrid>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If Mr. Rothamel resigns for good reason, he will be entitled to payment of an amount equal to one years base salary and payment of amounts required to allow continuation of healthcare benefits for one year plus tax gross-up. For this purpose, good reason includes (1) a resignation following a material diminution of, or material change to, his job title, reporting relationship or responsibilities, authorities and duties, (2) a reduction of his annual base salary below $500,000 or target bonus below 100% of base salary, (3) removal of his principal work location to a location more than 50 miles from Austin, Texas, (4) a change-in-control of the company and (5) a requirement that he perform an unlawful, dishonest or unethical act.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If Mr. Rothamels employment is terminated by the company without cause, he will be entitled to payment of the prorated portion of his current-year annual incentive bonus (calculated at the target amount), payment of an amount equal to one years base salary and payment of amounts required to allow continuation of healthcare benefits for one year plus tax gross-up.</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If Mr. Rothamels employment is terminated by reason of death or disability, he (or his estate or beneficiaries) will be entitled to payment of an amount equal to one years base salary and payment of amounts required to allow continuation of healthcare benefits (limited to coverage for Mr. Rothamels family in the case of Mr. Rothamels death) for one year plus tax gross-up.</w:t>
            </w:r>
          </w:p>
        </w:tc>
      </w:tr>
    </w:tbl>
    <w:tbl>
      <w:tblPr>
        <w:tblW w:w="5000" w:type="pct"/>
        <w:jc w:val="left"/>
        <w:tblInd w:w="0" w:type="dxa"/>
        <w:tblCellMar>
          <w:top w:w="0" w:type="dxa"/>
          <w:left w:w="0" w:type="dxa"/>
          <w:bottom w:w="0" w:type="dxa"/>
          <w:right w:w="0" w:type="dxa"/>
        </w:tblCellMar>
      </w:tblPr>
      <w:tblGrid>
        <w:gridCol w:w="206"/>
        <w:gridCol w:w="102"/>
        <w:gridCol w:w="9897"/>
      </w:tblGrid>
      <w:tr>
        <w:trPr/>
        <w:tc>
          <w:tcPr>
            <w:tcW w:w="2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7" w:type="dxa"/>
            <w:tcBorders/>
            <w:shd w:fill="auto" w:val="clear"/>
          </w:tcPr>
          <w:p>
            <w:pPr>
              <w:pStyle w:val="TableContents"/>
              <w:spacing w:before="0" w:after="283"/>
              <w:rPr/>
            </w:pPr>
            <w:r>
              <w:rPr>
                <w:i/>
              </w:rPr>
              <w:t xml:space="preserve">Kasenter Employment Agreement and Consulting Agreement  </w:t>
            </w:r>
            <w:r>
              <w:rPr/>
              <w:t>Mr. Kasenters employment agreement provided that, upon his retirement, the company and Mr. Kasenter would enter into a three-year consulting agreement that provides for the following: an annual consulting fee of $375,000; continuation of healthcare benefits during the term of the consulting agreement; and reimbursement of reasonable business expenses. If the consulting agreement is terminated by reason of Mr. Kasenters death or disability, he will be entitled to a payment equal to one years annual consulting fee and continuation of healthcare benefits for Mr. Kasenter and/or his spouse, as applicable, for one year. In addition, if the company terminates the consulting agreement (other than due to a material breach by Mr. Kasenter) or Mr. Kasenter terminates the consulting agreement because of a material breach by the company, then the company will pay Mr. Kasenter an amount equal to all annual consulting fees that would have been payable to Mr. Kasenter had the agreement continued until the expiration of the three-year term and shall continue to provide the healthcare benefits for Mr. Kasenter until the expiration of the three-year term.</w:t>
            </w:r>
          </w:p>
        </w:tc>
      </w:tr>
      <w:tr>
        <w:trPr/>
        <w:tc>
          <w:tcPr>
            <w:tcW w:w="206" w:type="dxa"/>
            <w:tcBorders/>
            <w:shd w:fill="auto" w:val="clear"/>
            <w:vAlign w:val="center"/>
          </w:tcPr>
          <w:p>
            <w:pPr>
              <w:pStyle w:val="TableContents"/>
              <w:spacing w:before="0" w:after="283"/>
              <w:rPr/>
            </w:pPr>
            <w:r>
              <w:rPr/>
              <w:t> </w:t>
            </w:r>
          </w:p>
        </w:tc>
        <w:tc>
          <w:tcPr>
            <w:tcW w:w="9999" w:type="dxa"/>
            <w:gridSpan w:val="2"/>
            <w:tcBorders/>
            <w:shd w:fill="auto" w:val="clear"/>
          </w:tcPr>
          <w:p>
            <w:pPr>
              <w:pStyle w:val="TableContents"/>
              <w:spacing w:before="0" w:after="283"/>
              <w:rPr>
                <w:sz w:val="4"/>
                <w:szCs w:val="4"/>
              </w:rPr>
            </w:pPr>
            <w:r>
              <w:rPr>
                <w:sz w:val="4"/>
                <w:szCs w:val="4"/>
              </w:rPr>
            </w:r>
          </w:p>
        </w:tc>
      </w:tr>
      <w:tr>
        <w:trPr/>
        <w:tc>
          <w:tcPr>
            <w:tcW w:w="2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897" w:type="dxa"/>
            <w:tcBorders/>
            <w:shd w:fill="auto" w:val="clear"/>
          </w:tcPr>
          <w:p>
            <w:pPr>
              <w:pStyle w:val="TableContents"/>
              <w:spacing w:before="0" w:after="283"/>
              <w:rPr/>
            </w:pPr>
            <w:r>
              <w:rPr>
                <w:i/>
              </w:rPr>
              <w:t xml:space="preserve">October 2, 2006 Restricted Stock Awards </w:t>
            </w:r>
            <w:r>
              <w:rPr/>
              <w:t> On October 2, 2006, we granted certain performance-based restricted stock awards to Mr. Rotunda and Mr. Brinkley. See Incentive Plan Based Awards  Outstanding Equity Awards at Fiscal Year-End. As described in footnote (2) to that table, all of Mr. Rotundas remaining unvested shares vested on October 31, 2010 (the effective date of Mr. Rotundas retirement) and the value on that date of the shares subject to such accelerated vesting (excluding shares that would have vested in any event based on the companys performance through the end of fiscal 2010) was approximately $12 million. Mr. Brinkleys remaining unvested shares will continue to vest over the next six years (subject to the achievement of the specified EBITDA targets), but vesting may be accelerated or continued upon termination of employment in the following circumstances:</w:t>
            </w:r>
          </w:p>
        </w:tc>
      </w:tr>
    </w:tbl>
    <w:tbl>
      <w:tblPr>
        <w:tblW w:w="5000" w:type="pct"/>
        <w:jc w:val="left"/>
        <w:tblInd w:w="0" w:type="dxa"/>
        <w:tblCellMar>
          <w:top w:w="0" w:type="dxa"/>
          <w:left w:w="0" w:type="dxa"/>
          <w:bottom w:w="0" w:type="dxa"/>
          <w:right w:w="0" w:type="dxa"/>
        </w:tblCellMar>
      </w:tblPr>
      <w:tblGrid>
        <w:gridCol w:w="304"/>
        <w:gridCol w:w="204"/>
        <w:gridCol w:w="101"/>
        <w:gridCol w:w="9596"/>
      </w:tblGrid>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If Mr. Brinkley resigns for good reason or if Mr. Brinkleys employment is terminated by the Company without cause, then vesting of all unvested shares will be accelerated to the date of termination.</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204"/>
        <w:gridCol w:w="101"/>
        <w:gridCol w:w="9596"/>
      </w:tblGrid>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If Mr. Brinkleys employment is terminated by reason of death or disability, then vesting of a portion of the unvested shares will be accelerated to the date of termination. Such portion is calculated as follows: 10% of the originally granted shares multiplied by the number of full or partial years of service since the award date, plus 20% of the originally granted shares, less the number of shares previously vested.</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If Mr. Brinkley voluntarily terminates his employment (other than for good reason and except for a voluntary termination that is mutually agreed upon by Mr. Brinkley and the Board of Directors), then all unvested shares will be forfeited.</w:t>
            </w:r>
          </w:p>
        </w:tc>
      </w:tr>
    </w:tbl>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i/>
              </w:rPr>
              <w:t xml:space="preserve">Kasenter Restricted Stock Award  </w:t>
            </w:r>
            <w:r>
              <w:rPr/>
              <w:t>The restricted stock award granted to Mr. Kasenter on July 23, 2010 provides that if Mr. Kasenters consulting arrangement is terminated by the company (other than due to a material breach by Mr. Kasenter of the terms of the consulting agreement), by Mr. Kasenter because of a material breach by the company of the terms of the consulting agreement, or by reason of Mr. Kasenters death or disability, then vesting of all unvested shares will be accelerated to the date of termination.</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i/>
              </w:rPr>
              <w:t xml:space="preserve">Other Restricted Stock Awards  </w:t>
            </w:r>
            <w:r>
              <w:rPr/>
              <w:t>The standard restricted stock award agreement pursuant to which the company grants restricted stock to its employees generally provides that vesting is accelerated in whole or in part in the event of the holders death or disability.</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i/>
              </w:rPr>
              <w:t xml:space="preserve">SERP Contributions </w:t>
            </w:r>
            <w:r>
              <w:rPr/>
              <w:t> For all executives (including the Named Executive Officers), any unvested company contributions to the SERP will vest in the case of death or disability of the participant or a change-in-control.</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the amounts of severance or termination benefits that would have been payable to each of the Named Executive Officers upon the occurrence of various events, assuming each of the events occurred on September 30, 2010. In connection with Mr. Rotundas retirement on October 31, 2010, Mr. Rotunda has received, or will receive, the benefits described above under Rotunda Employment Agreement and Consulting Agreement and October 2, 2006 Restricted Stock Awards. These benefits include a cash payment of approximately $3.4 million and the accelerated vesting of restricted stock having a value at the time of vesting of approximately $12 million. The amounts shown for Mr. Rotunda and Mr. Kasenter represent amounts that would be payable under their respective consulting agreements, assuming termination of those arrangements by reason of the events described. No amounts are included for Mr. Tonissen or Mr. Wolfe because their employment with the company terminated prior to September 30, 2010. </w:t>
      </w:r>
    </w:p>
    <w:tbl>
      <w:tblPr>
        <w:tblW w:w="5000" w:type="pct"/>
        <w:jc w:val="center"/>
        <w:tblInd w:w="0" w:type="dxa"/>
        <w:tblCellMar>
          <w:top w:w="0" w:type="dxa"/>
          <w:left w:w="0" w:type="dxa"/>
          <w:bottom w:w="0" w:type="dxa"/>
          <w:right w:w="0" w:type="dxa"/>
        </w:tblCellMar>
      </w:tblPr>
      <w:tblGrid>
        <w:gridCol w:w="1114"/>
        <w:gridCol w:w="65"/>
        <w:gridCol w:w="140"/>
        <w:gridCol w:w="983"/>
        <w:gridCol w:w="61"/>
        <w:gridCol w:w="65"/>
        <w:gridCol w:w="141"/>
        <w:gridCol w:w="812"/>
        <w:gridCol w:w="61"/>
        <w:gridCol w:w="65"/>
        <w:gridCol w:w="382"/>
        <w:gridCol w:w="1858"/>
        <w:gridCol w:w="60"/>
        <w:gridCol w:w="65"/>
        <w:gridCol w:w="230"/>
        <w:gridCol w:w="1815"/>
        <w:gridCol w:w="61"/>
        <w:gridCol w:w="65"/>
        <w:gridCol w:w="310"/>
        <w:gridCol w:w="1780"/>
        <w:gridCol w:w="72"/>
      </w:tblGrid>
      <w:tr>
        <w:trPr/>
        <w:tc>
          <w:tcPr>
            <w:tcW w:w="1114"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045" w:type="dxa"/>
            <w:gridSpan w:val="2"/>
            <w:tcBorders/>
            <w:shd w:fill="auto" w:val="clear"/>
            <w:vAlign w:val="bottom"/>
          </w:tcPr>
          <w:p>
            <w:pPr>
              <w:pStyle w:val="TableContents"/>
              <w:spacing w:before="0" w:after="283"/>
              <w:jc w:val="center"/>
              <w:rPr>
                <w:b/>
              </w:rPr>
            </w:pPr>
            <w:r>
              <w:rPr>
                <w:b/>
              </w:rPr>
              <w:t>Accelerated Vesting</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090" w:type="dxa"/>
            <w:gridSpan w:val="2"/>
            <w:tcBorders/>
            <w:shd w:fill="auto" w:val="clear"/>
            <w:vAlign w:val="bottom"/>
          </w:tcPr>
          <w:p>
            <w:pPr>
              <w:pStyle w:val="TableContents"/>
              <w:spacing w:before="0" w:after="283"/>
              <w:jc w:val="center"/>
              <w:rPr/>
            </w:pPr>
            <w:r>
              <w:rPr/>
              <w:t> </w:t>
            </w:r>
          </w:p>
        </w:tc>
        <w:tc>
          <w:tcPr>
            <w:tcW w:w="72" w:type="dxa"/>
            <w:tcBorders/>
            <w:shd w:fill="auto"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53" w:type="dxa"/>
            <w:gridSpan w:val="2"/>
            <w:tcBorders/>
            <w:shd w:fill="auto" w:val="clear"/>
            <w:vAlign w:val="bottom"/>
          </w:tcPr>
          <w:p>
            <w:pPr>
              <w:pStyle w:val="TableContents"/>
              <w:spacing w:before="0" w:after="283"/>
              <w:jc w:val="center"/>
              <w:rPr>
                <w:b/>
              </w:rPr>
            </w:pPr>
            <w:r>
              <w:rPr>
                <w:b/>
              </w:rPr>
              <w:t>Incentive</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240" w:type="dxa"/>
            <w:gridSpan w:val="2"/>
            <w:tcBorders/>
            <w:shd w:fill="auto" w:val="clear"/>
            <w:vAlign w:val="bottom"/>
          </w:tcPr>
          <w:p>
            <w:pPr>
              <w:pStyle w:val="TableContents"/>
              <w:spacing w:before="0" w:after="283"/>
              <w:jc w:val="center"/>
              <w:rPr>
                <w:b/>
              </w:rPr>
            </w:pPr>
            <w:r>
              <w:rPr>
                <w:b/>
              </w:rPr>
              <w:t>Aggregate Healthcare</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045" w:type="dxa"/>
            <w:gridSpan w:val="2"/>
            <w:tcBorders/>
            <w:shd w:fill="auto" w:val="clear"/>
            <w:vAlign w:val="bottom"/>
          </w:tcPr>
          <w:p>
            <w:pPr>
              <w:pStyle w:val="TableContents"/>
              <w:spacing w:before="0" w:after="283"/>
              <w:jc w:val="center"/>
              <w:rPr>
                <w:b/>
              </w:rPr>
            </w:pPr>
            <w:r>
              <w:rPr>
                <w:b/>
              </w:rPr>
              <w:t>of Restricted</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090" w:type="dxa"/>
            <w:gridSpan w:val="2"/>
            <w:tcBorders/>
            <w:shd w:fill="auto" w:val="clear"/>
            <w:vAlign w:val="bottom"/>
          </w:tcPr>
          <w:p>
            <w:pPr>
              <w:pStyle w:val="TableContents"/>
              <w:spacing w:before="0" w:after="283"/>
              <w:jc w:val="center"/>
              <w:rPr>
                <w:b/>
              </w:rPr>
            </w:pPr>
            <w:r>
              <w:rPr>
                <w:b/>
              </w:rPr>
              <w:t>Accelerated Vesting</w:t>
            </w:r>
          </w:p>
        </w:tc>
        <w:tc>
          <w:tcPr>
            <w:tcW w:w="72" w:type="dxa"/>
            <w:tcBorders/>
            <w:shd w:fill="auto"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1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Salary</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5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Bonus</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2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Payments (a)</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Stock (b)</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0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of SERP Balance (c)</w:t>
            </w:r>
          </w:p>
        </w:tc>
        <w:tc>
          <w:tcPr>
            <w:tcW w:w="72" w:type="dxa"/>
            <w:tcBorders/>
            <w:shd w:fill="auto" w:val="clear"/>
            <w:vAlign w:val="bottom"/>
          </w:tcPr>
          <w:p>
            <w:pPr>
              <w:pStyle w:val="TableContents"/>
              <w:spacing w:before="0" w:after="283"/>
              <w:rPr/>
            </w:pPr>
            <w:r>
              <w:rPr/>
              <w:t> </w:t>
            </w:r>
          </w:p>
        </w:tc>
      </w:tr>
      <w:tr>
        <w:trPr/>
        <w:tc>
          <w:tcPr>
            <w:tcW w:w="1114" w:type="dxa"/>
            <w:tcBorders/>
            <w:shd w:fill="CCEEFF" w:val="clear"/>
            <w:vAlign w:val="bottom"/>
          </w:tcPr>
          <w:p>
            <w:pPr>
              <w:pStyle w:val="TableContents"/>
              <w:spacing w:before="0" w:after="0"/>
              <w:ind w:left="225" w:right="0" w:hanging="225"/>
              <w:rPr>
                <w:b/>
              </w:rPr>
            </w:pPr>
            <w:r>
              <w:rPr>
                <w:b/>
              </w:rPr>
              <w:t>Resignation for Good Reason:</w:t>
            </w:r>
          </w:p>
        </w:tc>
        <w:tc>
          <w:tcPr>
            <w:tcW w:w="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78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225" w:right="0" w:hanging="225"/>
              <w:rPr/>
            </w:pPr>
            <w:r>
              <w:rPr/>
              <w:t> </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450" w:right="0" w:hanging="225"/>
              <w:rPr/>
            </w:pPr>
            <w:r>
              <w:rPr/>
              <w:t>Joseph L. Rotunda (d)</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83" w:type="dxa"/>
            <w:tcBorders/>
            <w:shd w:fill="auto" w:val="clear"/>
            <w:vAlign w:val="bottom"/>
          </w:tcPr>
          <w:p>
            <w:pPr>
              <w:pStyle w:val="TableContents"/>
              <w:spacing w:before="0" w:after="283"/>
              <w:jc w:val="right"/>
              <w:rPr/>
            </w:pPr>
            <w:r>
              <w:rPr/>
              <w:t>2,500,000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812" w:type="dxa"/>
            <w:tcBorders/>
            <w:shd w:fill="auto" w:val="clear"/>
            <w:vAlign w:val="bottom"/>
          </w:tcPr>
          <w:p>
            <w:pPr>
              <w:pStyle w:val="TableContents"/>
              <w:spacing w:before="0" w:after="283"/>
              <w:jc w:val="right"/>
              <w:rPr/>
            </w:pPr>
            <w:r>
              <w:rPr/>
              <w:t>500,000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left"/>
              <w:rPr/>
            </w:pPr>
            <w:r>
              <w:rPr/>
              <w:t>$</w:t>
            </w:r>
          </w:p>
        </w:tc>
        <w:tc>
          <w:tcPr>
            <w:tcW w:w="1858" w:type="dxa"/>
            <w:tcBorders/>
            <w:shd w:fill="auto" w:val="clear"/>
            <w:vAlign w:val="bottom"/>
          </w:tcPr>
          <w:p>
            <w:pPr>
              <w:pStyle w:val="TableContents"/>
              <w:spacing w:before="0" w:after="283"/>
              <w:jc w:val="right"/>
              <w:rPr/>
            </w:pPr>
            <w:r>
              <w:rPr/>
              <w:t>72,540</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815"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jc w:val="left"/>
              <w:rPr/>
            </w:pPr>
            <w:r>
              <w:rPr/>
              <w:t>$</w:t>
            </w:r>
          </w:p>
        </w:tc>
        <w:tc>
          <w:tcPr>
            <w:tcW w:w="1780"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r>
      <w:tr>
        <w:trPr/>
        <w:tc>
          <w:tcPr>
            <w:tcW w:w="1114" w:type="dxa"/>
            <w:tcBorders/>
            <w:shd w:fill="CCEEFF" w:val="clear"/>
            <w:vAlign w:val="bottom"/>
          </w:tcPr>
          <w:p>
            <w:pPr>
              <w:pStyle w:val="TableContents"/>
              <w:spacing w:before="0" w:after="0"/>
              <w:ind w:left="450" w:right="0" w:hanging="225"/>
              <w:rPr/>
            </w:pPr>
            <w:r>
              <w:rPr/>
              <w:t>Daniel M. Chism</w:t>
            </w:r>
          </w:p>
        </w:tc>
        <w:tc>
          <w:tcPr>
            <w:tcW w:w="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780" w:type="dxa"/>
            <w:tcBorders/>
            <w:shd w:fill="CCEEFF" w:val="clear"/>
            <w:vAlign w:val="bottom"/>
          </w:tcPr>
          <w:p>
            <w:pPr>
              <w:pStyle w:val="TableContents"/>
              <w:spacing w:before="0" w:after="283"/>
              <w:jc w:val="right"/>
              <w:rPr/>
            </w:pPr>
            <w:r>
              <w:rPr/>
              <w:t></w:t>
            </w:r>
          </w:p>
        </w:tc>
        <w:tc>
          <w:tcPr>
            <w:tcW w:w="72" w:type="dxa"/>
            <w:tcBorders/>
            <w:shd w:fill="CCEEFF"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450" w:right="0" w:hanging="225"/>
              <w:rPr/>
            </w:pPr>
            <w:r>
              <w:rPr/>
              <w:t>Sterling B. Brinkley</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jc w:val="right"/>
              <w:rPr/>
            </w:pPr>
            <w:r>
              <w:rPr/>
              <w:t>10,821,600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r>
      <w:tr>
        <w:trPr/>
        <w:tc>
          <w:tcPr>
            <w:tcW w:w="1114" w:type="dxa"/>
            <w:tcBorders/>
            <w:shd w:fill="CCEEFF" w:val="clear"/>
            <w:vAlign w:val="bottom"/>
          </w:tcPr>
          <w:p>
            <w:pPr>
              <w:pStyle w:val="TableContents"/>
              <w:spacing w:before="0" w:after="0"/>
              <w:ind w:left="450" w:right="0" w:hanging="225"/>
              <w:rPr/>
            </w:pPr>
            <w:r>
              <w:rPr/>
              <w:t>Paul E. Rothamel</w:t>
            </w:r>
          </w:p>
        </w:tc>
        <w:tc>
          <w:tcPr>
            <w:tcW w:w="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500,000</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30,328</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780" w:type="dxa"/>
            <w:tcBorders/>
            <w:shd w:fill="CCEEFF" w:val="clear"/>
            <w:vAlign w:val="bottom"/>
          </w:tcPr>
          <w:p>
            <w:pPr>
              <w:pStyle w:val="TableContents"/>
              <w:spacing w:before="0" w:after="283"/>
              <w:jc w:val="right"/>
              <w:rPr/>
            </w:pPr>
            <w:r>
              <w:rPr/>
              <w:t></w:t>
            </w:r>
          </w:p>
        </w:tc>
        <w:tc>
          <w:tcPr>
            <w:tcW w:w="72" w:type="dxa"/>
            <w:tcBorders/>
            <w:shd w:fill="CCEEFF"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450" w:right="0" w:hanging="225"/>
              <w:rPr/>
            </w:pPr>
            <w:r>
              <w:rPr/>
              <w:t>Robert A. Kasenter (d)</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1,125,000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43,524</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jc w:val="right"/>
              <w:rPr/>
            </w:pPr>
            <w:r>
              <w:rPr/>
              <w:t>601,200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225" w:right="0" w:hanging="225"/>
              <w:rPr/>
            </w:pPr>
            <w:r>
              <w:rPr/>
              <w:t> </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r>
      <w:tr>
        <w:trPr/>
        <w:tc>
          <w:tcPr>
            <w:tcW w:w="1114" w:type="dxa"/>
            <w:tcBorders/>
            <w:shd w:fill="CCEEFF" w:val="clear"/>
            <w:vAlign w:val="bottom"/>
          </w:tcPr>
          <w:p>
            <w:pPr>
              <w:pStyle w:val="TableContents"/>
              <w:spacing w:before="0" w:after="0"/>
              <w:ind w:left="225" w:right="0" w:hanging="225"/>
              <w:rPr>
                <w:b/>
              </w:rPr>
            </w:pPr>
            <w:r>
              <w:rPr>
                <w:b/>
              </w:rPr>
              <w:t>Termination Without Cause:</w:t>
            </w:r>
          </w:p>
        </w:tc>
        <w:tc>
          <w:tcPr>
            <w:tcW w:w="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78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225" w:right="0" w:hanging="225"/>
              <w:rPr/>
            </w:pPr>
            <w:r>
              <w:rPr/>
              <w:t> </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450" w:right="0" w:hanging="225"/>
              <w:rPr/>
            </w:pPr>
            <w:r>
              <w:rPr/>
              <w:t>Joseph L. Rotunda (e)</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2,500,000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500,000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72,540</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r>
      <w:tr>
        <w:trPr/>
        <w:tc>
          <w:tcPr>
            <w:tcW w:w="1114" w:type="dxa"/>
            <w:tcBorders/>
            <w:shd w:fill="CCEEFF" w:val="clear"/>
            <w:vAlign w:val="bottom"/>
          </w:tcPr>
          <w:p>
            <w:pPr>
              <w:pStyle w:val="TableContents"/>
              <w:spacing w:before="0" w:after="0"/>
              <w:ind w:left="450" w:right="0" w:hanging="225"/>
              <w:rPr/>
            </w:pPr>
            <w:r>
              <w:rPr/>
              <w:t>Daniel M. Chism</w:t>
            </w:r>
          </w:p>
        </w:tc>
        <w:tc>
          <w:tcPr>
            <w:tcW w:w="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780" w:type="dxa"/>
            <w:tcBorders/>
            <w:shd w:fill="CCEEFF" w:val="clear"/>
            <w:vAlign w:val="bottom"/>
          </w:tcPr>
          <w:p>
            <w:pPr>
              <w:pStyle w:val="TableContents"/>
              <w:spacing w:before="0" w:after="283"/>
              <w:jc w:val="right"/>
              <w:rPr/>
            </w:pPr>
            <w:r>
              <w:rPr/>
              <w:t></w:t>
            </w:r>
          </w:p>
        </w:tc>
        <w:tc>
          <w:tcPr>
            <w:tcW w:w="72" w:type="dxa"/>
            <w:tcBorders/>
            <w:shd w:fill="CCEEFF"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450" w:right="0" w:hanging="225"/>
              <w:rPr/>
            </w:pPr>
            <w:r>
              <w:rPr/>
              <w:t>Sterling B. Brinkley</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jc w:val="right"/>
              <w:rPr/>
            </w:pPr>
            <w:r>
              <w:rPr/>
              <w:t>10,821,600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r>
      <w:tr>
        <w:trPr/>
        <w:tc>
          <w:tcPr>
            <w:tcW w:w="1114" w:type="dxa"/>
            <w:tcBorders/>
            <w:shd w:fill="CCEEFF" w:val="clear"/>
            <w:vAlign w:val="bottom"/>
          </w:tcPr>
          <w:p>
            <w:pPr>
              <w:pStyle w:val="TableContents"/>
              <w:spacing w:before="0" w:after="0"/>
              <w:ind w:left="450" w:right="0" w:hanging="225"/>
              <w:rPr/>
            </w:pPr>
            <w:r>
              <w:rPr/>
              <w:t>Paul E. Rothamel</w:t>
            </w:r>
          </w:p>
        </w:tc>
        <w:tc>
          <w:tcPr>
            <w:tcW w:w="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500,000</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750,000</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30,328</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780" w:type="dxa"/>
            <w:tcBorders/>
            <w:shd w:fill="CCEEFF" w:val="clear"/>
            <w:vAlign w:val="bottom"/>
          </w:tcPr>
          <w:p>
            <w:pPr>
              <w:pStyle w:val="TableContents"/>
              <w:spacing w:before="0" w:after="283"/>
              <w:jc w:val="right"/>
              <w:rPr/>
            </w:pPr>
            <w:r>
              <w:rPr/>
              <w:t></w:t>
            </w:r>
          </w:p>
        </w:tc>
        <w:tc>
          <w:tcPr>
            <w:tcW w:w="72" w:type="dxa"/>
            <w:tcBorders/>
            <w:shd w:fill="CCEEFF"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450" w:right="0" w:hanging="225"/>
              <w:rPr/>
            </w:pPr>
            <w:r>
              <w:rPr/>
              <w:t>Robert A. Kasenter (e)</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1,125,000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43,524</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jc w:val="right"/>
              <w:rPr/>
            </w:pPr>
            <w:r>
              <w:rPr/>
              <w:t>601,200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225" w:right="0" w:hanging="225"/>
              <w:rPr/>
            </w:pPr>
            <w:r>
              <w:rPr/>
              <w:t> </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r>
      <w:tr>
        <w:trPr/>
        <w:tc>
          <w:tcPr>
            <w:tcW w:w="1114" w:type="dxa"/>
            <w:tcBorders/>
            <w:shd w:fill="CCEEFF" w:val="clear"/>
            <w:vAlign w:val="bottom"/>
          </w:tcPr>
          <w:p>
            <w:pPr>
              <w:pStyle w:val="TableContents"/>
              <w:spacing w:before="0" w:after="0"/>
              <w:ind w:left="225" w:right="0" w:hanging="225"/>
              <w:rPr>
                <w:b/>
              </w:rPr>
            </w:pPr>
            <w:r>
              <w:rPr>
                <w:b/>
              </w:rPr>
              <w:t>Death or Disability:</w:t>
            </w:r>
          </w:p>
        </w:tc>
        <w:tc>
          <w:tcPr>
            <w:tcW w:w="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78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225" w:right="0" w:hanging="225"/>
              <w:rPr/>
            </w:pPr>
            <w:r>
              <w:rPr/>
              <w:t> </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450" w:right="0" w:hanging="225"/>
              <w:rPr/>
            </w:pPr>
            <w:r>
              <w:rPr/>
              <w:t>Joseph L. Rotunda</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750,000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72,540</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r>
      <w:tr>
        <w:trPr/>
        <w:tc>
          <w:tcPr>
            <w:tcW w:w="1114" w:type="dxa"/>
            <w:tcBorders/>
            <w:shd w:fill="CCEEFF" w:val="clear"/>
            <w:vAlign w:val="bottom"/>
          </w:tcPr>
          <w:p>
            <w:pPr>
              <w:pStyle w:val="TableContents"/>
              <w:spacing w:before="0" w:after="0"/>
              <w:ind w:left="450" w:right="0" w:hanging="225"/>
              <w:rPr/>
            </w:pPr>
            <w:r>
              <w:rPr/>
              <w:t>Daniel M. Chism</w:t>
            </w:r>
          </w:p>
        </w:tc>
        <w:tc>
          <w:tcPr>
            <w:tcW w:w="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185,370</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780" w:type="dxa"/>
            <w:tcBorders/>
            <w:shd w:fill="CCEEFF" w:val="clear"/>
            <w:vAlign w:val="bottom"/>
          </w:tcPr>
          <w:p>
            <w:pPr>
              <w:pStyle w:val="TableContents"/>
              <w:spacing w:before="0" w:after="283"/>
              <w:jc w:val="right"/>
              <w:rPr/>
            </w:pPr>
            <w:r>
              <w:rPr/>
              <w:t></w:t>
            </w:r>
          </w:p>
        </w:tc>
        <w:tc>
          <w:tcPr>
            <w:tcW w:w="72" w:type="dxa"/>
            <w:tcBorders/>
            <w:shd w:fill="CCEEFF"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450" w:right="0" w:hanging="225"/>
              <w:rPr/>
            </w:pPr>
            <w:r>
              <w:rPr/>
              <w:t>Sterling B. Brinkley</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jc w:val="right"/>
              <w:rPr/>
            </w:pPr>
            <w:r>
              <w:rPr/>
              <w:t>5,410,800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jc w:val="right"/>
              <w:rPr/>
            </w:pPr>
            <w:r>
              <w:rPr/>
              <w:t>197,756</w:t>
            </w:r>
          </w:p>
        </w:tc>
        <w:tc>
          <w:tcPr>
            <w:tcW w:w="72" w:type="dxa"/>
            <w:tcBorders/>
            <w:shd w:fill="auto" w:val="clear"/>
            <w:vAlign w:val="bottom"/>
          </w:tcPr>
          <w:p>
            <w:pPr>
              <w:pStyle w:val="TableContents"/>
              <w:spacing w:before="0" w:after="283"/>
              <w:rPr/>
            </w:pPr>
            <w:r>
              <w:rPr/>
              <w:t> </w:t>
            </w:r>
          </w:p>
        </w:tc>
      </w:tr>
      <w:tr>
        <w:trPr/>
        <w:tc>
          <w:tcPr>
            <w:tcW w:w="1114" w:type="dxa"/>
            <w:tcBorders/>
            <w:shd w:fill="CCEEFF" w:val="clear"/>
            <w:vAlign w:val="bottom"/>
          </w:tcPr>
          <w:p>
            <w:pPr>
              <w:pStyle w:val="TableContents"/>
              <w:spacing w:before="0" w:after="0"/>
              <w:ind w:left="450" w:right="0" w:hanging="225"/>
              <w:rPr/>
            </w:pPr>
            <w:r>
              <w:rPr/>
              <w:t>Paul E. Rothamel</w:t>
            </w:r>
          </w:p>
        </w:tc>
        <w:tc>
          <w:tcPr>
            <w:tcW w:w="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500,000</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pPr>
            <w:r>
              <w:rPr/>
              <w:t>30,328</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166,993</w:t>
            </w:r>
          </w:p>
        </w:tc>
        <w:tc>
          <w:tcPr>
            <w:tcW w:w="61"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780" w:type="dxa"/>
            <w:tcBorders/>
            <w:shd w:fill="CCEEFF" w:val="clear"/>
            <w:vAlign w:val="bottom"/>
          </w:tcPr>
          <w:p>
            <w:pPr>
              <w:pStyle w:val="TableContents"/>
              <w:spacing w:before="0" w:after="283"/>
              <w:jc w:val="right"/>
              <w:rPr/>
            </w:pPr>
            <w:r>
              <w:rPr/>
              <w:t>66,565</w:t>
            </w:r>
          </w:p>
        </w:tc>
        <w:tc>
          <w:tcPr>
            <w:tcW w:w="72" w:type="dxa"/>
            <w:tcBorders/>
            <w:shd w:fill="CCEEFF" w:val="clear"/>
            <w:vAlign w:val="bottom"/>
          </w:tcPr>
          <w:p>
            <w:pPr>
              <w:pStyle w:val="TableContents"/>
              <w:spacing w:before="0" w:after="283"/>
              <w:rPr/>
            </w:pPr>
            <w:r>
              <w:rPr/>
              <w:t> </w:t>
            </w:r>
          </w:p>
        </w:tc>
      </w:tr>
      <w:tr>
        <w:trPr/>
        <w:tc>
          <w:tcPr>
            <w:tcW w:w="1114" w:type="dxa"/>
            <w:tcBorders/>
            <w:shd w:fill="auto" w:val="clear"/>
            <w:vAlign w:val="bottom"/>
          </w:tcPr>
          <w:p>
            <w:pPr>
              <w:pStyle w:val="TableContents"/>
              <w:spacing w:before="0" w:after="0"/>
              <w:ind w:left="450" w:right="0" w:hanging="225"/>
              <w:rPr/>
            </w:pPr>
            <w:r>
              <w:rPr/>
              <w:t>Robert A. Kasenter</w:t>
            </w:r>
          </w:p>
        </w:tc>
        <w:tc>
          <w:tcPr>
            <w:tcW w:w="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375,000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43,524</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jc w:val="right"/>
              <w:rPr/>
            </w:pPr>
            <w:r>
              <w:rPr/>
              <w:t>601,200</w:t>
            </w:r>
          </w:p>
        </w:tc>
        <w:tc>
          <w:tcPr>
            <w:tcW w:w="6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780" w:type="dxa"/>
            <w:tcBorders/>
            <w:shd w:fill="auto" w:val="clear"/>
            <w:vAlign w:val="bottom"/>
          </w:tcPr>
          <w:p>
            <w:pPr>
              <w:pStyle w:val="TableContents"/>
              <w:spacing w:before="0" w:after="283"/>
              <w:jc w:val="right"/>
              <w:rPr/>
            </w:pPr>
            <w:r>
              <w:rPr/>
              <w:t></w:t>
            </w:r>
          </w:p>
        </w:tc>
        <w:tc>
          <w:tcPr>
            <w:tcW w:w="72"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Represents the aggregate amount of the payments to be made to allow continuation of healthcare benefits, plus the related tax gross-up payments (if applicable).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7"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Represents the number of shares subject to accelerated vesting (as described above), multiplied by the closing sales price of the Class A Common Stock on September 30, 2010 ($20.04).</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As noted under Other Benefits and Perquisites  Supplemental Executive Retirement Plan above, all SERP contributions are 100% vested if the participant is at least 60 years old and has five years of active service with the company. Both Mr. Rotunda and Mr. Kasenter have met the requirements for 100% vesting; consequently, they would not receive any incremental acceleration benefit under the SERP as a result of their death or disability.</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corresponding termination event under the applicable consulting agreement is a termination by the consultant because of a material breach by the company. The amount shown in the Salary column represents the amount of the annual consulting fee that would be payable upon the occurrence of the event.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(e)</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corresponding termination event under the applicable consulting agreement is a termination by the company (other than by reason of a material breach by the consultant). The amount shown in the Salary column represents the amount of the annual consulting fee that would be payable upon the occurrence of the event.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additional benefits described above would apply, depending on the circumstances of the termination. </w:t>
      </w:r>
    </w:p>
    <w:p>
      <w:pPr>
        <w:pStyle w:val="TextBody"/>
        <w:jc w:val="center"/>
        <w:rPr>
          <w:rFonts w:ascii="Times New Roman;Times;serif" w:hAnsi="Times New Roman;Times;serif"/>
          <w:sz w:val="17"/>
        </w:rPr>
      </w:pPr>
      <w:r>
        <w:rPr>
          <w:rFonts w:ascii="Times New Roman;Times;serif" w:hAnsi="Times New Roman;Times;serif"/>
          <w:sz w:val="17"/>
        </w:rPr>
        <w:t xml:space="preserve">107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Director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non-employee director receives a basic annual retainer fee, with the chair of the Audit Committee, the chair of the Compensation Committee and the Lead Director each receiving an additional amount. During fiscal 2010, the basic annual retainer fee was $60,000, and additional amounts paid to the chair of the Audit Committee, the chair of the Compensation Committee and the Lead Director were $15,000, $10,000 and $25,000, respectively. For fiscal 2011, the basic annual retainer fee will be $75,000 and the additional amounts paid to the chair of the Audit Committee, the chair of the Compensation Committee and the Lead Director will be $15,000, $10,000 and $45,000, respectively. Annual retainer fees are paid in cash on a quarterly basis.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 No options have been awarded to the non-employee directors since fiscal 2007. Equity awards are generally granted on the first business day of the fiscal year.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sets forth the compensation paid to our non-employee directors for fiscal 2010. Mr. Brinkley and Mr. Rothamel are executive officers of the company and do not receive any additional compensation for serving on the Board of Directors, nor did Mr. Rotunda or Mr. Tonissen receive additional compensation for serving on the Board of Directors while they were executive officers of the Company. </w:t>
      </w:r>
    </w:p>
    <w:tbl>
      <w:tblPr>
        <w:tblW w:w="5000" w:type="pct"/>
        <w:jc w:val="center"/>
        <w:tblInd w:w="0" w:type="dxa"/>
        <w:tblCellMar>
          <w:top w:w="0" w:type="dxa"/>
          <w:left w:w="0" w:type="dxa"/>
          <w:bottom w:w="0" w:type="dxa"/>
          <w:right w:w="0" w:type="dxa"/>
        </w:tblCellMar>
      </w:tblPr>
      <w:tblGrid>
        <w:gridCol w:w="4333"/>
        <w:gridCol w:w="346"/>
        <w:gridCol w:w="279"/>
        <w:gridCol w:w="1368"/>
        <w:gridCol w:w="108"/>
        <w:gridCol w:w="346"/>
        <w:gridCol w:w="170"/>
        <w:gridCol w:w="1563"/>
        <w:gridCol w:w="108"/>
        <w:gridCol w:w="346"/>
        <w:gridCol w:w="172"/>
        <w:gridCol w:w="951"/>
        <w:gridCol w:w="115"/>
      </w:tblGrid>
      <w:tr>
        <w:trPr/>
        <w:tc>
          <w:tcPr>
            <w:tcW w:w="4333"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36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56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333"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647" w:type="dxa"/>
            <w:gridSpan w:val="2"/>
            <w:tcBorders/>
            <w:shd w:fill="auto" w:val="clear"/>
            <w:vAlign w:val="bottom"/>
          </w:tcPr>
          <w:p>
            <w:pPr>
              <w:pStyle w:val="TableContents"/>
              <w:spacing w:before="0" w:after="283"/>
              <w:jc w:val="center"/>
              <w:rPr>
                <w:b/>
              </w:rPr>
            </w:pPr>
            <w:r>
              <w:rPr>
                <w:b/>
              </w:rPr>
              <w:t>Fees Earned or</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33" w:type="dxa"/>
            <w:gridSpan w:val="2"/>
            <w:tcBorders/>
            <w:shd w:fill="auto" w:val="clear"/>
            <w:vAlign w:val="bottom"/>
          </w:tcPr>
          <w:p>
            <w:pPr>
              <w:pStyle w:val="TableContents"/>
              <w:spacing w:before="0" w:after="283"/>
              <w:jc w:val="center"/>
              <w:rPr>
                <w:b/>
              </w:rPr>
            </w:pPr>
            <w:r>
              <w:rPr>
                <w:b/>
              </w:rPr>
              <w:t>Restricted Stock</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r>
      <w:tr>
        <w:trPr/>
        <w:tc>
          <w:tcPr>
            <w:tcW w:w="4333" w:type="dxa"/>
            <w:tcBorders>
              <w:bottom w:val="single" w:sz="2" w:space="0" w:color="000000"/>
            </w:tcBorders>
            <w:shd w:fill="auto" w:val="clear"/>
            <w:tcMar>
              <w:bottom w:w="28" w:type="dxa"/>
            </w:tcMar>
            <w:vAlign w:val="bottom"/>
          </w:tcPr>
          <w:p>
            <w:pPr>
              <w:pStyle w:val="TableContents"/>
              <w:spacing w:before="0" w:after="283"/>
              <w:jc w:val="left"/>
              <w:rPr>
                <w:b/>
              </w:rPr>
            </w:pPr>
            <w:r>
              <w:rPr>
                <w:b/>
              </w:rPr>
              <w:t>Name</w:t>
            </w:r>
          </w:p>
        </w:tc>
        <w:tc>
          <w:tcPr>
            <w:tcW w:w="346" w:type="dxa"/>
            <w:tcBorders/>
            <w:shd w:fill="auto" w:val="clear"/>
            <w:vAlign w:val="bottom"/>
          </w:tcPr>
          <w:p>
            <w:pPr>
              <w:pStyle w:val="TableContents"/>
              <w:spacing w:before="0" w:after="283"/>
              <w:rPr/>
            </w:pPr>
            <w:r>
              <w:rPr/>
              <w:t> </w:t>
            </w:r>
          </w:p>
        </w:tc>
        <w:tc>
          <w:tcPr>
            <w:tcW w:w="16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Paid in Cash</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Awards (1)</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1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5" w:type="dxa"/>
            <w:tcBorders/>
            <w:shd w:fill="auto" w:val="clear"/>
            <w:vAlign w:val="bottom"/>
          </w:tcPr>
          <w:p>
            <w:pPr>
              <w:pStyle w:val="TableContents"/>
              <w:spacing w:before="0" w:after="283"/>
              <w:rPr/>
            </w:pPr>
            <w:r>
              <w:rPr/>
              <w:t> </w:t>
            </w:r>
          </w:p>
        </w:tc>
      </w:tr>
      <w:tr>
        <w:trPr/>
        <w:tc>
          <w:tcPr>
            <w:tcW w:w="4333" w:type="dxa"/>
            <w:tcBorders/>
            <w:shd w:fill="CCEEFF" w:val="clear"/>
            <w:vAlign w:val="bottom"/>
          </w:tcPr>
          <w:p>
            <w:pPr>
              <w:pStyle w:val="TableContents"/>
              <w:spacing w:before="0" w:after="0"/>
              <w:ind w:left="225" w:right="0" w:hanging="225"/>
              <w:rPr/>
            </w:pPr>
            <w:r>
              <w:rPr/>
              <w:t>Joseph J. Beal</w:t>
            </w:r>
          </w:p>
        </w:tc>
        <w:tc>
          <w:tcPr>
            <w:tcW w:w="34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left"/>
              <w:rPr/>
            </w:pPr>
            <w:r>
              <w:rPr/>
              <w:t>$</w:t>
            </w:r>
          </w:p>
        </w:tc>
        <w:tc>
          <w:tcPr>
            <w:tcW w:w="1368" w:type="dxa"/>
            <w:tcBorders/>
            <w:shd w:fill="CCEEFF" w:val="clear"/>
            <w:vAlign w:val="bottom"/>
          </w:tcPr>
          <w:p>
            <w:pPr>
              <w:pStyle w:val="TableContents"/>
              <w:spacing w:before="0" w:after="283"/>
              <w:jc w:val="right"/>
              <w:rPr/>
            </w:pPr>
            <w:r>
              <w:rPr/>
              <w:t>60,000</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563" w:type="dxa"/>
            <w:tcBorders/>
            <w:shd w:fill="CCEEFF" w:val="clear"/>
            <w:vAlign w:val="bottom"/>
          </w:tcPr>
          <w:p>
            <w:pPr>
              <w:pStyle w:val="TableContents"/>
              <w:spacing w:before="0" w:after="283"/>
              <w:jc w:val="right"/>
              <w:rPr/>
            </w:pPr>
            <w:r>
              <w:rPr/>
              <w:t>79,020</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951" w:type="dxa"/>
            <w:tcBorders/>
            <w:shd w:fill="CCEEFF" w:val="clear"/>
            <w:vAlign w:val="bottom"/>
          </w:tcPr>
          <w:p>
            <w:pPr>
              <w:pStyle w:val="TableContents"/>
              <w:spacing w:before="0" w:after="283"/>
              <w:jc w:val="right"/>
              <w:rPr/>
            </w:pPr>
            <w:r>
              <w:rPr/>
              <w:t>139,020</w:t>
            </w:r>
          </w:p>
        </w:tc>
        <w:tc>
          <w:tcPr>
            <w:tcW w:w="115" w:type="dxa"/>
            <w:tcBorders/>
            <w:shd w:fill="CCEEFF" w:val="clear"/>
            <w:vAlign w:val="bottom"/>
          </w:tcPr>
          <w:p>
            <w:pPr>
              <w:pStyle w:val="TableContents"/>
              <w:spacing w:before="0" w:after="283"/>
              <w:rPr/>
            </w:pPr>
            <w:r>
              <w:rPr/>
              <w:t> </w:t>
            </w:r>
          </w:p>
        </w:tc>
      </w:tr>
      <w:tr>
        <w:trPr/>
        <w:tc>
          <w:tcPr>
            <w:tcW w:w="4333" w:type="dxa"/>
            <w:tcBorders/>
            <w:shd w:fill="auto" w:val="clear"/>
            <w:vAlign w:val="bottom"/>
          </w:tcPr>
          <w:p>
            <w:pPr>
              <w:pStyle w:val="TableContents"/>
              <w:spacing w:before="0" w:after="0"/>
              <w:ind w:left="225" w:right="0" w:hanging="225"/>
              <w:rPr/>
            </w:pPr>
            <w:r>
              <w:rPr/>
              <w:t>Pablo Lagos Espinosa (2)</w:t>
            </w:r>
          </w:p>
        </w:tc>
        <w:tc>
          <w:tcPr>
            <w:tcW w:w="34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368"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56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r>
      <w:tr>
        <w:trPr/>
        <w:tc>
          <w:tcPr>
            <w:tcW w:w="4333" w:type="dxa"/>
            <w:tcBorders/>
            <w:shd w:fill="CCEEFF" w:val="clear"/>
            <w:vAlign w:val="bottom"/>
          </w:tcPr>
          <w:p>
            <w:pPr>
              <w:pStyle w:val="TableContents"/>
              <w:spacing w:before="0" w:after="0"/>
              <w:ind w:left="225" w:right="0" w:hanging="225"/>
              <w:rPr/>
            </w:pPr>
            <w:r>
              <w:rPr/>
              <w:t>William C. Love</w:t>
            </w:r>
          </w:p>
        </w:tc>
        <w:tc>
          <w:tcPr>
            <w:tcW w:w="34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368" w:type="dxa"/>
            <w:tcBorders/>
            <w:shd w:fill="CCEEFF" w:val="clear"/>
            <w:vAlign w:val="bottom"/>
          </w:tcPr>
          <w:p>
            <w:pPr>
              <w:pStyle w:val="TableContents"/>
              <w:spacing w:before="0" w:after="283"/>
              <w:jc w:val="right"/>
              <w:rPr/>
            </w:pPr>
            <w:r>
              <w:rPr/>
              <w:t>75,000</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563" w:type="dxa"/>
            <w:tcBorders/>
            <w:shd w:fill="CCEEFF" w:val="clear"/>
            <w:vAlign w:val="bottom"/>
          </w:tcPr>
          <w:p>
            <w:pPr>
              <w:pStyle w:val="TableContents"/>
              <w:spacing w:before="0" w:after="283"/>
              <w:jc w:val="right"/>
              <w:rPr/>
            </w:pPr>
            <w:r>
              <w:rPr/>
              <w:t>79,020</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pPr>
            <w:r>
              <w:rPr/>
              <w:t>154,020</w:t>
            </w:r>
          </w:p>
        </w:tc>
        <w:tc>
          <w:tcPr>
            <w:tcW w:w="115" w:type="dxa"/>
            <w:tcBorders/>
            <w:shd w:fill="CCEEFF" w:val="clear"/>
            <w:vAlign w:val="bottom"/>
          </w:tcPr>
          <w:p>
            <w:pPr>
              <w:pStyle w:val="TableContents"/>
              <w:spacing w:before="0" w:after="283"/>
              <w:rPr/>
            </w:pPr>
            <w:r>
              <w:rPr/>
              <w:t> </w:t>
            </w:r>
          </w:p>
        </w:tc>
      </w:tr>
      <w:tr>
        <w:trPr/>
        <w:tc>
          <w:tcPr>
            <w:tcW w:w="4333" w:type="dxa"/>
            <w:tcBorders/>
            <w:shd w:fill="auto" w:val="clear"/>
            <w:vAlign w:val="bottom"/>
          </w:tcPr>
          <w:p>
            <w:pPr>
              <w:pStyle w:val="TableContents"/>
              <w:spacing w:before="0" w:after="0"/>
              <w:ind w:left="225" w:right="0" w:hanging="225"/>
              <w:rPr/>
            </w:pPr>
            <w:r>
              <w:rPr/>
              <w:t>Gary C. Matzner (3)</w:t>
            </w:r>
          </w:p>
        </w:tc>
        <w:tc>
          <w:tcPr>
            <w:tcW w:w="34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368" w:type="dxa"/>
            <w:tcBorders/>
            <w:shd w:fill="auto" w:val="clear"/>
            <w:vAlign w:val="bottom"/>
          </w:tcPr>
          <w:p>
            <w:pPr>
              <w:pStyle w:val="TableContents"/>
              <w:spacing w:before="0" w:after="283"/>
              <w:jc w:val="right"/>
              <w:rPr/>
            </w:pPr>
            <w:r>
              <w:rPr/>
              <w:t>60,000</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563" w:type="dxa"/>
            <w:tcBorders/>
            <w:shd w:fill="auto" w:val="clear"/>
            <w:vAlign w:val="bottom"/>
          </w:tcPr>
          <w:p>
            <w:pPr>
              <w:pStyle w:val="TableContents"/>
              <w:spacing w:before="0" w:after="283"/>
              <w:jc w:val="right"/>
              <w:rPr/>
            </w:pPr>
            <w:r>
              <w:rPr/>
              <w:t>79,020</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pPr>
            <w:r>
              <w:rPr/>
              <w:t>139,020</w:t>
            </w:r>
          </w:p>
        </w:tc>
        <w:tc>
          <w:tcPr>
            <w:tcW w:w="115" w:type="dxa"/>
            <w:tcBorders/>
            <w:shd w:fill="auto" w:val="clear"/>
            <w:vAlign w:val="bottom"/>
          </w:tcPr>
          <w:p>
            <w:pPr>
              <w:pStyle w:val="TableContents"/>
              <w:spacing w:before="0" w:after="283"/>
              <w:rPr/>
            </w:pPr>
            <w:r>
              <w:rPr/>
              <w:t> </w:t>
            </w:r>
          </w:p>
        </w:tc>
      </w:tr>
      <w:tr>
        <w:trPr/>
        <w:tc>
          <w:tcPr>
            <w:tcW w:w="4333" w:type="dxa"/>
            <w:tcBorders/>
            <w:shd w:fill="CCEEFF" w:val="clear"/>
            <w:vAlign w:val="bottom"/>
          </w:tcPr>
          <w:p>
            <w:pPr>
              <w:pStyle w:val="TableContents"/>
              <w:spacing w:before="0" w:after="0"/>
              <w:ind w:left="225" w:right="0" w:hanging="225"/>
              <w:rPr/>
            </w:pPr>
            <w:r>
              <w:rPr/>
              <w:t>Thomas C. Roberts</w:t>
            </w:r>
          </w:p>
        </w:tc>
        <w:tc>
          <w:tcPr>
            <w:tcW w:w="346"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368" w:type="dxa"/>
            <w:tcBorders/>
            <w:shd w:fill="CCEEFF" w:val="clear"/>
            <w:vAlign w:val="bottom"/>
          </w:tcPr>
          <w:p>
            <w:pPr>
              <w:pStyle w:val="TableContents"/>
              <w:spacing w:before="0" w:after="283"/>
              <w:jc w:val="right"/>
              <w:rPr/>
            </w:pPr>
            <w:r>
              <w:rPr/>
              <w:t>85,000</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563" w:type="dxa"/>
            <w:tcBorders/>
            <w:shd w:fill="CCEEFF" w:val="clear"/>
            <w:vAlign w:val="bottom"/>
          </w:tcPr>
          <w:p>
            <w:pPr>
              <w:pStyle w:val="TableContents"/>
              <w:spacing w:before="0" w:after="283"/>
              <w:jc w:val="right"/>
              <w:rPr/>
            </w:pPr>
            <w:r>
              <w:rPr/>
              <w:t>79,020</w:t>
            </w:r>
          </w:p>
        </w:tc>
        <w:tc>
          <w:tcPr>
            <w:tcW w:w="108"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pPr>
            <w:r>
              <w:rPr/>
              <w:t>164,020</w:t>
            </w:r>
          </w:p>
        </w:tc>
        <w:tc>
          <w:tcPr>
            <w:tcW w:w="115" w:type="dxa"/>
            <w:tcBorders/>
            <w:shd w:fill="CCEEFF" w:val="clear"/>
            <w:vAlign w:val="bottom"/>
          </w:tcPr>
          <w:p>
            <w:pPr>
              <w:pStyle w:val="TableContents"/>
              <w:spacing w:before="0" w:after="283"/>
              <w:rPr/>
            </w:pPr>
            <w:r>
              <w:rPr/>
              <w:t> </w:t>
            </w:r>
          </w:p>
        </w:tc>
      </w:tr>
      <w:tr>
        <w:trPr/>
        <w:tc>
          <w:tcPr>
            <w:tcW w:w="4333" w:type="dxa"/>
            <w:tcBorders/>
            <w:shd w:fill="auto" w:val="clear"/>
            <w:vAlign w:val="bottom"/>
          </w:tcPr>
          <w:p>
            <w:pPr>
              <w:pStyle w:val="TableContents"/>
              <w:spacing w:before="0" w:after="0"/>
              <w:ind w:left="225" w:right="0" w:hanging="225"/>
              <w:rPr/>
            </w:pPr>
            <w:r>
              <w:rPr/>
              <w:t>Richard D. Sage</w:t>
            </w:r>
          </w:p>
        </w:tc>
        <w:tc>
          <w:tcPr>
            <w:tcW w:w="346"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368" w:type="dxa"/>
            <w:tcBorders/>
            <w:shd w:fill="auto" w:val="clear"/>
            <w:vAlign w:val="bottom"/>
          </w:tcPr>
          <w:p>
            <w:pPr>
              <w:pStyle w:val="TableContents"/>
              <w:spacing w:before="0" w:after="283"/>
              <w:jc w:val="right"/>
              <w:rPr/>
            </w:pPr>
            <w:r>
              <w:rPr/>
              <w:t>70,000</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563" w:type="dxa"/>
            <w:tcBorders/>
            <w:shd w:fill="auto" w:val="clear"/>
            <w:vAlign w:val="bottom"/>
          </w:tcPr>
          <w:p>
            <w:pPr>
              <w:pStyle w:val="TableContents"/>
              <w:spacing w:before="0" w:after="283"/>
              <w:jc w:val="right"/>
              <w:rPr/>
            </w:pPr>
            <w:r>
              <w:rPr/>
              <w:t>79,020</w:t>
            </w:r>
          </w:p>
        </w:tc>
        <w:tc>
          <w:tcPr>
            <w:tcW w:w="10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pPr>
            <w:r>
              <w:rPr/>
              <w:t>149,020</w:t>
            </w:r>
          </w:p>
        </w:tc>
        <w:tc>
          <w:tcPr>
            <w:tcW w:w="115"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Amounts represent the aggregate grant date fair value of restricted stock awards, computed in accordance with FASB ASC Topic 718. See Note I to our Consolidated Financial Statements included in Item 8  Financial Statements and Supplemental Data for a description of the assumptions used in that computation. The actual value realized by the director with respect to stock awards will depend on the market value of our stock on the date the stock is sold.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On October 1, 2009, each non-employee director received a grant of 6,000 shares of restricted stock, vesting over a two-year period (50% on the first anniversary of the date of grant and 50% on the second anniversary of the date of grant). The values shown above were computed using the closing price of our Class A Non-Voting Common Stock on October 1, 2009 ($13.17).</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At September 30, 2010, each of the non-employee directors held the following number of shares of restricted stock: Mr. Beal, 6,000; Mr. Lagos, none; Mr. Love, 8,500; Mr. Matzner, 8,500; Mr. Roberts, 8,500; and Mr. Sage, 8,500.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Lagos joined the Board of Directors effective October 1, 2010, and thus did not receive any director compensation during fiscal 2010.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Matzner retired from the Board of Directors effective October 26, 2010, after having served as a director for more than eight years. As permitted under his restricted stock award agreements, the Board of Directors elected to accelerate the vesting on all 9,000 shares of unvested restricted stock held by Mr. Matzner on the date of his retirement. The market value of those shares on the date of vesting was $191,790. In addition, the Board agreed to pay Mr. Matzner his retainer payments through March 31, 2011 (representing an additional retirement benefit of $18,750).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bookmarkStart w:id="28" w:name="120"/>
      <w:bookmarkEnd w:id="28"/>
      <w:r>
        <w:rPr>
          <w:rFonts w:ascii="Times New Roman;Times;serif" w:hAnsi="Times New Roman;Times;serif"/>
          <w:b/>
          <w:smallCaps/>
          <w:sz w:val="17"/>
        </w:rPr>
        <w:t>Item 12. Security Ownership of Certain Beneficial Owners and Management and Related Stockholder Matters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Equity Compensation Plans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Stockholders have approved the 2010 Long-Term Incentive Plan, which we currently use for stock incentive awards. These awards can be in the form of stock options, stock appreciation rights, stock bonuses, restricted stock, restricted stock units, performance units, or performance shares. Although options are still outstanding under the 1998, 2003 and 2006 Incentive Plans, no shares are available for future awards. We do not have any equity compensation plans that were not approved by stockholders. The following table summarizes information about our equity compensation plans as of September 30, 2010. </w:t>
      </w:r>
    </w:p>
    <w:tbl>
      <w:tblPr>
        <w:tblW w:w="5000" w:type="pct"/>
        <w:jc w:val="center"/>
        <w:tblInd w:w="0" w:type="dxa"/>
        <w:tblCellMar>
          <w:top w:w="0" w:type="dxa"/>
          <w:left w:w="0" w:type="dxa"/>
          <w:bottom w:w="0" w:type="dxa"/>
          <w:right w:w="0" w:type="dxa"/>
        </w:tblCellMar>
      </w:tblPr>
      <w:tblGrid>
        <w:gridCol w:w="1510"/>
        <w:gridCol w:w="61"/>
        <w:gridCol w:w="151"/>
        <w:gridCol w:w="2014"/>
        <w:gridCol w:w="60"/>
        <w:gridCol w:w="61"/>
        <w:gridCol w:w="515"/>
        <w:gridCol w:w="1621"/>
        <w:gridCol w:w="60"/>
        <w:gridCol w:w="61"/>
        <w:gridCol w:w="231"/>
        <w:gridCol w:w="3793"/>
        <w:gridCol w:w="67"/>
      </w:tblGrid>
      <w:tr>
        <w:trPr/>
        <w:tc>
          <w:tcPr>
            <w:tcW w:w="151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3793"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r>
      <w:tr>
        <w:trPr/>
        <w:tc>
          <w:tcPr>
            <w:tcW w:w="151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65" w:type="dxa"/>
            <w:gridSpan w:val="2"/>
            <w:tcBorders/>
            <w:shd w:fill="auto" w:val="clear"/>
            <w:vAlign w:val="bottom"/>
          </w:tcPr>
          <w:p>
            <w:pPr>
              <w:pStyle w:val="TableContents"/>
              <w:spacing w:before="0" w:after="283"/>
              <w:jc w:val="center"/>
              <w:rPr>
                <w:b/>
              </w:rPr>
            </w:pPr>
            <w:r>
              <w:rPr>
                <w:b/>
              </w:rPr>
              <w:t>Number of Securities</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4024" w:type="dxa"/>
            <w:gridSpan w:val="2"/>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r>
      <w:tr>
        <w:trPr/>
        <w:tc>
          <w:tcPr>
            <w:tcW w:w="151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65" w:type="dxa"/>
            <w:gridSpan w:val="2"/>
            <w:tcBorders/>
            <w:shd w:fill="auto" w:val="clear"/>
            <w:vAlign w:val="bottom"/>
          </w:tcPr>
          <w:p>
            <w:pPr>
              <w:pStyle w:val="TableContents"/>
              <w:spacing w:before="0" w:after="283"/>
              <w:jc w:val="center"/>
              <w:rPr>
                <w:b/>
              </w:rPr>
            </w:pPr>
            <w:r>
              <w:rPr>
                <w:b/>
              </w:rPr>
              <w:t>to be Issued Upon</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36" w:type="dxa"/>
            <w:gridSpan w:val="2"/>
            <w:tcBorders/>
            <w:shd w:fill="auto" w:val="clear"/>
            <w:vAlign w:val="bottom"/>
          </w:tcPr>
          <w:p>
            <w:pPr>
              <w:pStyle w:val="TableContents"/>
              <w:spacing w:before="0" w:after="283"/>
              <w:jc w:val="center"/>
              <w:rPr>
                <w:b/>
              </w:rPr>
            </w:pPr>
            <w:r>
              <w:rPr>
                <w:b/>
              </w:rPr>
              <w:t>Weighted Average</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4024" w:type="dxa"/>
            <w:gridSpan w:val="2"/>
            <w:tcBorders/>
            <w:shd w:fill="auto" w:val="clear"/>
            <w:vAlign w:val="bottom"/>
          </w:tcPr>
          <w:p>
            <w:pPr>
              <w:pStyle w:val="TableContents"/>
              <w:spacing w:before="0" w:after="283"/>
              <w:jc w:val="center"/>
              <w:rPr>
                <w:b/>
              </w:rPr>
            </w:pPr>
            <w:r>
              <w:rPr>
                <w:b/>
              </w:rPr>
              <w:t>Number of Securities Remaining</w:t>
            </w:r>
          </w:p>
        </w:tc>
        <w:tc>
          <w:tcPr>
            <w:tcW w:w="67" w:type="dxa"/>
            <w:tcBorders/>
            <w:shd w:fill="auto" w:val="clear"/>
            <w:vAlign w:val="bottom"/>
          </w:tcPr>
          <w:p>
            <w:pPr>
              <w:pStyle w:val="TableContents"/>
              <w:spacing w:before="0" w:after="283"/>
              <w:rPr/>
            </w:pPr>
            <w:r>
              <w:rPr/>
              <w:t> </w:t>
            </w:r>
          </w:p>
        </w:tc>
      </w:tr>
      <w:tr>
        <w:trPr/>
        <w:tc>
          <w:tcPr>
            <w:tcW w:w="151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65" w:type="dxa"/>
            <w:gridSpan w:val="2"/>
            <w:tcBorders/>
            <w:shd w:fill="auto" w:val="clear"/>
            <w:vAlign w:val="bottom"/>
          </w:tcPr>
          <w:p>
            <w:pPr>
              <w:pStyle w:val="TableContents"/>
              <w:spacing w:before="0" w:after="283"/>
              <w:jc w:val="center"/>
              <w:rPr>
                <w:b/>
              </w:rPr>
            </w:pPr>
            <w:r>
              <w:rPr>
                <w:b/>
              </w:rPr>
              <w:t>Exercise of</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36" w:type="dxa"/>
            <w:gridSpan w:val="2"/>
            <w:tcBorders/>
            <w:shd w:fill="auto" w:val="clear"/>
            <w:vAlign w:val="bottom"/>
          </w:tcPr>
          <w:p>
            <w:pPr>
              <w:pStyle w:val="TableContents"/>
              <w:spacing w:before="0" w:after="283"/>
              <w:jc w:val="center"/>
              <w:rPr>
                <w:b/>
              </w:rPr>
            </w:pPr>
            <w:r>
              <w:rPr>
                <w:b/>
              </w:rPr>
              <w:t>Exercise Price of</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4024" w:type="dxa"/>
            <w:gridSpan w:val="2"/>
            <w:tcBorders/>
            <w:shd w:fill="auto" w:val="clear"/>
            <w:vAlign w:val="bottom"/>
          </w:tcPr>
          <w:p>
            <w:pPr>
              <w:pStyle w:val="TableContents"/>
              <w:spacing w:before="0" w:after="283"/>
              <w:jc w:val="center"/>
              <w:rPr>
                <w:b/>
              </w:rPr>
            </w:pPr>
            <w:r>
              <w:rPr>
                <w:b/>
              </w:rPr>
              <w:t>Available for Future Issuance Under</w:t>
            </w:r>
          </w:p>
        </w:tc>
        <w:tc>
          <w:tcPr>
            <w:tcW w:w="67" w:type="dxa"/>
            <w:tcBorders/>
            <w:shd w:fill="auto" w:val="clear"/>
            <w:vAlign w:val="bottom"/>
          </w:tcPr>
          <w:p>
            <w:pPr>
              <w:pStyle w:val="TableContents"/>
              <w:spacing w:before="0" w:after="283"/>
              <w:rPr/>
            </w:pPr>
            <w:r>
              <w:rPr/>
              <w:t> </w:t>
            </w:r>
          </w:p>
        </w:tc>
      </w:tr>
      <w:tr>
        <w:trPr/>
        <w:tc>
          <w:tcPr>
            <w:tcW w:w="151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65" w:type="dxa"/>
            <w:gridSpan w:val="2"/>
            <w:tcBorders/>
            <w:shd w:fill="auto" w:val="clear"/>
            <w:vAlign w:val="bottom"/>
          </w:tcPr>
          <w:p>
            <w:pPr>
              <w:pStyle w:val="TableContents"/>
              <w:spacing w:before="0" w:after="283"/>
              <w:jc w:val="center"/>
              <w:rPr>
                <w:b/>
              </w:rPr>
            </w:pPr>
            <w:r>
              <w:rPr>
                <w:b/>
              </w:rPr>
              <w:t>Outstanding Options</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36" w:type="dxa"/>
            <w:gridSpan w:val="2"/>
            <w:tcBorders/>
            <w:shd w:fill="auto" w:val="clear"/>
            <w:vAlign w:val="bottom"/>
          </w:tcPr>
          <w:p>
            <w:pPr>
              <w:pStyle w:val="TableContents"/>
              <w:spacing w:before="0" w:after="283"/>
              <w:jc w:val="center"/>
              <w:rPr>
                <w:b/>
              </w:rPr>
            </w:pPr>
            <w:r>
              <w:rPr>
                <w:b/>
              </w:rPr>
              <w:t>Outstanding Options</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4024" w:type="dxa"/>
            <w:gridSpan w:val="2"/>
            <w:tcBorders/>
            <w:shd w:fill="auto" w:val="clear"/>
            <w:vAlign w:val="bottom"/>
          </w:tcPr>
          <w:p>
            <w:pPr>
              <w:pStyle w:val="TableContents"/>
              <w:spacing w:before="0" w:after="283"/>
              <w:jc w:val="center"/>
              <w:rPr>
                <w:b/>
              </w:rPr>
            </w:pPr>
            <w:r>
              <w:rPr>
                <w:b/>
              </w:rPr>
              <w:t>Equity Compensation Plans (Excluding</w:t>
            </w:r>
          </w:p>
        </w:tc>
        <w:tc>
          <w:tcPr>
            <w:tcW w:w="67" w:type="dxa"/>
            <w:tcBorders/>
            <w:shd w:fill="auto" w:val="clear"/>
            <w:vAlign w:val="bottom"/>
          </w:tcPr>
          <w:p>
            <w:pPr>
              <w:pStyle w:val="TableContents"/>
              <w:spacing w:before="0" w:after="283"/>
              <w:rPr/>
            </w:pPr>
            <w:r>
              <w:rPr/>
              <w:t> </w:t>
            </w:r>
          </w:p>
        </w:tc>
      </w:tr>
      <w:tr>
        <w:trPr/>
        <w:tc>
          <w:tcPr>
            <w:tcW w:w="1510" w:type="dxa"/>
            <w:tcBorders>
              <w:bottom w:val="single" w:sz="2" w:space="0" w:color="000000"/>
            </w:tcBorders>
            <w:shd w:fill="auto" w:val="clear"/>
            <w:tcMar>
              <w:bottom w:w="28" w:type="dxa"/>
            </w:tcMar>
            <w:vAlign w:val="bottom"/>
          </w:tcPr>
          <w:p>
            <w:pPr>
              <w:pStyle w:val="TableContents"/>
              <w:spacing w:before="0" w:after="283"/>
              <w:jc w:val="center"/>
              <w:rPr>
                <w:b/>
              </w:rPr>
            </w:pPr>
            <w:r>
              <w:rPr>
                <w:b/>
              </w:rPr>
              <w:t>Plan Category</w:t>
            </w:r>
          </w:p>
        </w:tc>
        <w:tc>
          <w:tcPr>
            <w:tcW w:w="61" w:type="dxa"/>
            <w:tcBorders/>
            <w:shd w:fill="auto" w:val="clear"/>
            <w:vAlign w:val="bottom"/>
          </w:tcPr>
          <w:p>
            <w:pPr>
              <w:pStyle w:val="TableContents"/>
              <w:spacing w:before="0" w:after="283"/>
              <w:rPr/>
            </w:pPr>
            <w:r>
              <w:rPr/>
              <w:t> </w:t>
            </w:r>
          </w:p>
        </w:tc>
        <w:tc>
          <w:tcPr>
            <w:tcW w:w="21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 (1)</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40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Securities Reflected in Column (a)) (c)</w:t>
            </w:r>
          </w:p>
        </w:tc>
        <w:tc>
          <w:tcPr>
            <w:tcW w:w="67" w:type="dxa"/>
            <w:tcBorders/>
            <w:shd w:fill="auto" w:val="clear"/>
            <w:vAlign w:val="bottom"/>
          </w:tcPr>
          <w:p>
            <w:pPr>
              <w:pStyle w:val="TableContents"/>
              <w:spacing w:before="0" w:after="283"/>
              <w:rPr/>
            </w:pPr>
            <w:r>
              <w:rPr/>
              <w:t> </w:t>
            </w:r>
          </w:p>
        </w:tc>
      </w:tr>
      <w:tr>
        <w:trPr/>
        <w:tc>
          <w:tcPr>
            <w:tcW w:w="1510" w:type="dxa"/>
            <w:tcBorders/>
            <w:shd w:fill="CCEEFF" w:val="clear"/>
            <w:vAlign w:val="bottom"/>
          </w:tcPr>
          <w:p>
            <w:pPr>
              <w:pStyle w:val="TableContents"/>
              <w:spacing w:before="0" w:after="0"/>
              <w:ind w:left="225" w:right="0" w:hanging="225"/>
              <w:rPr/>
            </w:pPr>
            <w:r>
              <w:rPr/>
              <w:t>Equity compensation plans approved by security holders</w:t>
            </w:r>
          </w:p>
        </w:tc>
        <w:tc>
          <w:tcPr>
            <w:tcW w:w="6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293,398</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left"/>
              <w:rPr/>
            </w:pPr>
            <w:r>
              <w:rPr/>
              <w:t>$</w:t>
            </w:r>
          </w:p>
        </w:tc>
        <w:tc>
          <w:tcPr>
            <w:tcW w:w="1621" w:type="dxa"/>
            <w:tcBorders/>
            <w:shd w:fill="CCEEFF" w:val="clear"/>
            <w:vAlign w:val="bottom"/>
          </w:tcPr>
          <w:p>
            <w:pPr>
              <w:pStyle w:val="TableContents"/>
              <w:spacing w:before="0" w:after="283"/>
              <w:jc w:val="right"/>
              <w:rPr/>
            </w:pPr>
            <w:r>
              <w:rPr/>
              <w:t>3.81</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3793" w:type="dxa"/>
            <w:tcBorders/>
            <w:shd w:fill="CCEEFF" w:val="clear"/>
            <w:vAlign w:val="bottom"/>
          </w:tcPr>
          <w:p>
            <w:pPr>
              <w:pStyle w:val="TableContents"/>
              <w:spacing w:before="0" w:after="283"/>
              <w:jc w:val="right"/>
              <w:rPr/>
            </w:pPr>
            <w:r>
              <w:rPr/>
              <w:t>1,542,750</w:t>
            </w:r>
          </w:p>
        </w:tc>
        <w:tc>
          <w:tcPr>
            <w:tcW w:w="67" w:type="dxa"/>
            <w:tcBorders/>
            <w:shd w:fill="CCEEFF" w:val="clear"/>
            <w:vAlign w:val="bottom"/>
          </w:tcPr>
          <w:p>
            <w:pPr>
              <w:pStyle w:val="TableContents"/>
              <w:spacing w:before="0" w:after="283"/>
              <w:rPr/>
            </w:pPr>
            <w:r>
              <w:rPr/>
              <w:t> </w:t>
            </w:r>
          </w:p>
        </w:tc>
      </w:tr>
      <w:tr>
        <w:trPr/>
        <w:tc>
          <w:tcPr>
            <w:tcW w:w="1510" w:type="dxa"/>
            <w:tcBorders/>
            <w:shd w:fill="auto" w:val="clear"/>
            <w:vAlign w:val="bottom"/>
          </w:tcPr>
          <w:p>
            <w:pPr>
              <w:pStyle w:val="TableContents"/>
              <w:spacing w:before="0" w:after="0"/>
              <w:ind w:left="225" w:right="0" w:hanging="225"/>
              <w:rPr/>
            </w:pPr>
            <w:r>
              <w:rPr/>
              <w:t> </w:t>
            </w:r>
          </w:p>
        </w:tc>
        <w:tc>
          <w:tcPr>
            <w:tcW w:w="6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3793"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r>
      <w:tr>
        <w:trPr/>
        <w:tc>
          <w:tcPr>
            <w:tcW w:w="1510" w:type="dxa"/>
            <w:tcBorders/>
            <w:shd w:fill="auto" w:val="clear"/>
            <w:vAlign w:val="bottom"/>
          </w:tcPr>
          <w:p>
            <w:pPr>
              <w:pStyle w:val="TableContents"/>
              <w:spacing w:before="0" w:after="0"/>
              <w:ind w:left="225" w:right="0" w:hanging="225"/>
              <w:rPr/>
            </w:pPr>
            <w:r>
              <w:rPr/>
              <w:t>Equity compensation plans not approved by security holders</w:t>
            </w:r>
          </w:p>
        </w:tc>
        <w:tc>
          <w:tcPr>
            <w:tcW w:w="6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3793"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r>
      <w:tr>
        <w:trPr/>
        <w:tc>
          <w:tcPr>
            <w:tcW w:w="1510" w:type="dxa"/>
            <w:tcBorders/>
            <w:shd w:fill="auto" w:val="clear"/>
            <w:vAlign w:val="center"/>
          </w:tcPr>
          <w:p>
            <w:pPr>
              <w:pStyle w:val="TableContents"/>
              <w:spacing w:before="0" w:after="0"/>
              <w:ind w:left="225" w:right="0" w:hanging="225"/>
              <w:rPr/>
            </w:pPr>
            <w:r>
              <w:rPr/>
              <w:t> </w:t>
            </w:r>
          </w:p>
        </w:tc>
        <w:tc>
          <w:tcPr>
            <w:tcW w:w="61" w:type="dxa"/>
            <w:tcBorders/>
            <w:shd w:fill="auto" w:val="clear"/>
            <w:vAlign w:val="center"/>
          </w:tcPr>
          <w:p>
            <w:pPr>
              <w:pStyle w:val="TableContents"/>
              <w:spacing w:before="0" w:after="283"/>
              <w:rPr/>
            </w:pPr>
            <w:r>
              <w:rPr/>
              <w:t> </w:t>
            </w:r>
          </w:p>
        </w:tc>
        <w:tc>
          <w:tcPr>
            <w:tcW w:w="21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2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4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7" w:type="dxa"/>
            <w:tcBorders/>
            <w:shd w:fill="auto" w:val="clear"/>
            <w:vAlign w:val="center"/>
          </w:tcPr>
          <w:p>
            <w:pPr>
              <w:pStyle w:val="TableContents"/>
              <w:spacing w:before="0" w:after="283"/>
              <w:rPr/>
            </w:pPr>
            <w:r>
              <w:rPr/>
              <w:t> </w:t>
            </w:r>
          </w:p>
        </w:tc>
      </w:tr>
      <w:tr>
        <w:trPr/>
        <w:tc>
          <w:tcPr>
            <w:tcW w:w="1510" w:type="dxa"/>
            <w:tcBorders/>
            <w:shd w:fill="CCEEFF" w:val="clear"/>
            <w:vAlign w:val="bottom"/>
          </w:tcPr>
          <w:p>
            <w:pPr>
              <w:pStyle w:val="TableContents"/>
              <w:spacing w:before="0" w:after="0"/>
              <w:ind w:left="225" w:right="0" w:hanging="225"/>
              <w:rPr/>
            </w:pPr>
            <w:r>
              <w:rPr/>
              <w:t>Total</w:t>
            </w:r>
          </w:p>
        </w:tc>
        <w:tc>
          <w:tcPr>
            <w:tcW w:w="6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293,398</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left"/>
              <w:rPr/>
            </w:pPr>
            <w:r>
              <w:rPr/>
              <w:t>$</w:t>
            </w:r>
          </w:p>
        </w:tc>
        <w:tc>
          <w:tcPr>
            <w:tcW w:w="1621" w:type="dxa"/>
            <w:tcBorders/>
            <w:shd w:fill="CCEEFF" w:val="clear"/>
            <w:vAlign w:val="bottom"/>
          </w:tcPr>
          <w:p>
            <w:pPr>
              <w:pStyle w:val="TableContents"/>
              <w:spacing w:before="0" w:after="283"/>
              <w:jc w:val="right"/>
              <w:rPr/>
            </w:pPr>
            <w:r>
              <w:rPr/>
              <w:t>3.81</w:t>
            </w:r>
          </w:p>
        </w:tc>
        <w:tc>
          <w:tcPr>
            <w:tcW w:w="6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3793" w:type="dxa"/>
            <w:tcBorders/>
            <w:shd w:fill="CCEEFF" w:val="clear"/>
            <w:vAlign w:val="bottom"/>
          </w:tcPr>
          <w:p>
            <w:pPr>
              <w:pStyle w:val="TableContents"/>
              <w:spacing w:before="0" w:after="283"/>
              <w:jc w:val="right"/>
              <w:rPr/>
            </w:pPr>
            <w:r>
              <w:rPr/>
              <w:t>1,542,750</w:t>
            </w:r>
          </w:p>
        </w:tc>
        <w:tc>
          <w:tcPr>
            <w:tcW w:w="67" w:type="dxa"/>
            <w:tcBorders/>
            <w:shd w:fill="CCEEFF" w:val="clear"/>
            <w:vAlign w:val="bottom"/>
          </w:tcPr>
          <w:p>
            <w:pPr>
              <w:pStyle w:val="TableContents"/>
              <w:spacing w:before="0" w:after="283"/>
              <w:rPr/>
            </w:pPr>
            <w:r>
              <w:rPr/>
              <w:t> </w:t>
            </w:r>
          </w:p>
        </w:tc>
      </w:tr>
      <w:tr>
        <w:trPr/>
        <w:tc>
          <w:tcPr>
            <w:tcW w:w="1510" w:type="dxa"/>
            <w:tcBorders/>
            <w:shd w:fill="auto" w:val="clear"/>
            <w:vAlign w:val="center"/>
          </w:tcPr>
          <w:p>
            <w:pPr>
              <w:pStyle w:val="TableContents"/>
              <w:spacing w:before="0" w:after="0"/>
              <w:ind w:left="225" w:right="0" w:hanging="225"/>
              <w:rPr/>
            </w:pPr>
            <w:r>
              <w:rPr/>
              <w:t> </w:t>
            </w:r>
          </w:p>
        </w:tc>
        <w:tc>
          <w:tcPr>
            <w:tcW w:w="61" w:type="dxa"/>
            <w:tcBorders/>
            <w:shd w:fill="auto" w:val="clear"/>
            <w:vAlign w:val="center"/>
          </w:tcPr>
          <w:p>
            <w:pPr>
              <w:pStyle w:val="TableContents"/>
              <w:spacing w:before="0" w:after="283"/>
              <w:rPr/>
            </w:pPr>
            <w:r>
              <w:rPr/>
              <w:t> </w:t>
            </w:r>
          </w:p>
        </w:tc>
        <w:tc>
          <w:tcPr>
            <w:tcW w:w="21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2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4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7"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Excludes 1,782,250 shares of restricted stock that were outstanding at September 30, 2010.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Stock Ownership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October 31, 2010 for (i) each person known to us to be the beneficial owner of more than 5% of the total number of shares outstanding, (ii) each of our directors, (iii) each of the Named Executive Officers (other than Mr. Tonissen and Mr. Wolfe, who are no longer with the company), and (iv) all directors and executive officers as a group. Unless otherwise indicated, each person named below holds sole voting and investment power over the shares shown, subject to community property laws where applicable. </w:t>
      </w:r>
    </w:p>
    <w:tbl>
      <w:tblPr>
        <w:tblW w:w="11800" w:type="dxa"/>
        <w:jc w:val="center"/>
        <w:tblInd w:w="0" w:type="dxa"/>
        <w:tblCellMar>
          <w:top w:w="0" w:type="dxa"/>
          <w:left w:w="0" w:type="dxa"/>
          <w:bottom w:w="0" w:type="dxa"/>
          <w:right w:w="0" w:type="dxa"/>
        </w:tblCellMar>
      </w:tblPr>
      <w:tblGrid>
        <w:gridCol w:w="5555"/>
        <w:gridCol w:w="60"/>
        <w:gridCol w:w="63"/>
        <w:gridCol w:w="1035"/>
        <w:gridCol w:w="369"/>
        <w:gridCol w:w="63"/>
        <w:gridCol w:w="95"/>
        <w:gridCol w:w="705"/>
        <w:gridCol w:w="545"/>
        <w:gridCol w:w="60"/>
        <w:gridCol w:w="60"/>
        <w:gridCol w:w="980"/>
        <w:gridCol w:w="60"/>
        <w:gridCol w:w="60"/>
        <w:gridCol w:w="109"/>
        <w:gridCol w:w="691"/>
        <w:gridCol w:w="215"/>
        <w:gridCol w:w="60"/>
        <w:gridCol w:w="108"/>
        <w:gridCol w:w="692"/>
        <w:gridCol w:w="215"/>
      </w:tblGrid>
      <w:tr>
        <w:trPr/>
        <w:tc>
          <w:tcPr>
            <w:tcW w:w="55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0" w:type="dxa"/>
            <w:gridSpan w:val="6"/>
            <w:tcBorders/>
            <w:shd w:fill="auto" w:val="clear"/>
            <w:vAlign w:val="bottom"/>
          </w:tcPr>
          <w:p>
            <w:pPr>
              <w:pStyle w:val="TableContents"/>
              <w:spacing w:before="0" w:after="283"/>
              <w:jc w:val="center"/>
              <w:rPr>
                <w:b/>
              </w:rPr>
            </w:pPr>
            <w:r>
              <w:rPr>
                <w:b/>
              </w:rPr>
              <w:t>Class A Non-Voting</w:t>
            </w:r>
          </w:p>
        </w:tc>
        <w:tc>
          <w:tcPr>
            <w:tcW w:w="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0" w:type="dxa"/>
            <w:gridSpan w:val="6"/>
            <w:tcBorders/>
            <w:shd w:fill="auto" w:val="clear"/>
            <w:vAlign w:val="bottom"/>
          </w:tcPr>
          <w:p>
            <w:pPr>
              <w:pStyle w:val="TableContents"/>
              <w:spacing w:before="0" w:after="283"/>
              <w:jc w:val="center"/>
              <w:rPr>
                <w:b/>
              </w:rPr>
            </w:pPr>
            <w:r>
              <w:rPr>
                <w:b/>
              </w:rPr>
              <w:t>Class B Voting</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Common Stock</w:t>
            </w:r>
          </w:p>
        </w:tc>
        <w:tc>
          <w:tcPr>
            <w:tcW w:w="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Common Stock</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jc w:val="center"/>
              <w:rPr>
                <w:b/>
              </w:rPr>
            </w:pPr>
            <w:r>
              <w:rPr>
                <w:b/>
              </w:rPr>
              <w:t>Voting</w:t>
            </w:r>
          </w:p>
        </w:tc>
        <w:tc>
          <w:tcPr>
            <w:tcW w:w="215" w:type="dxa"/>
            <w:tcBorders/>
            <w:shd w:fill="auto" w:val="clear"/>
            <w:vAlign w:val="bottom"/>
          </w:tcPr>
          <w:p>
            <w:pPr>
              <w:pStyle w:val="TableContents"/>
              <w:spacing w:before="0" w:after="283"/>
              <w:rPr/>
            </w:pPr>
            <w:r>
              <w:rPr/>
              <w:t> </w:t>
            </w:r>
          </w:p>
        </w:tc>
      </w:tr>
      <w:tr>
        <w:trPr/>
        <w:tc>
          <w:tcPr>
            <w:tcW w:w="5555" w:type="dxa"/>
            <w:tcBorders>
              <w:bottom w:val="single" w:sz="2" w:space="0" w:color="000000"/>
            </w:tcBorders>
            <w:shd w:fill="auto" w:val="clear"/>
            <w:tcMar>
              <w:bottom w:w="28" w:type="dxa"/>
            </w:tcMar>
            <w:vAlign w:val="bottom"/>
          </w:tcPr>
          <w:p>
            <w:pPr>
              <w:pStyle w:val="TableContents"/>
              <w:spacing w:before="0" w:after="283"/>
              <w:jc w:val="center"/>
              <w:rPr>
                <w:b/>
              </w:rPr>
            </w:pPr>
            <w:r>
              <w:rPr>
                <w:b/>
              </w:rPr>
              <w:t>Beneficial Owner</w:t>
            </w:r>
          </w:p>
        </w:tc>
        <w:tc>
          <w:tcPr>
            <w:tcW w:w="60"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369"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Percent</w:t>
            </w:r>
          </w:p>
        </w:tc>
        <w:tc>
          <w:tcPr>
            <w:tcW w:w="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Percent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Percent</w:t>
            </w:r>
          </w:p>
        </w:tc>
        <w:tc>
          <w:tcPr>
            <w:tcW w:w="215"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MS Pawn Limited Partnership (a)</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2,974,047</w:t>
            </w:r>
          </w:p>
        </w:tc>
        <w:tc>
          <w:tcPr>
            <w:tcW w:w="369" w:type="dxa"/>
            <w:tcBorders/>
            <w:shd w:fill="CCEEFF" w:val="clear"/>
            <w:vAlign w:val="bottom"/>
          </w:tcPr>
          <w:p>
            <w:pPr>
              <w:pStyle w:val="TableContents"/>
              <w:spacing w:before="0" w:after="283"/>
              <w:rPr/>
            </w:pPr>
            <w:r>
              <w:rPr/>
              <w:t> </w:t>
            </w:r>
            <w:r>
              <w:rPr/>
              <w:t>(b)</w:t>
            </w:r>
          </w:p>
        </w:tc>
        <w:tc>
          <w:tcPr>
            <w:tcW w:w="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705" w:type="dxa"/>
            <w:tcBorders/>
            <w:shd w:fill="CCEEFF" w:val="clear"/>
            <w:vAlign w:val="bottom"/>
          </w:tcPr>
          <w:p>
            <w:pPr>
              <w:pStyle w:val="TableContents"/>
              <w:spacing w:before="0" w:after="283"/>
              <w:jc w:val="right"/>
              <w:rPr/>
            </w:pPr>
            <w:r>
              <w:rPr/>
              <w:t>5.97</w:t>
            </w:r>
          </w:p>
        </w:tc>
        <w:tc>
          <w:tcPr>
            <w:tcW w:w="545" w:type="dxa"/>
            <w:tcBorders/>
            <w:shd w:fill="CCEEFF" w:val="clear"/>
            <w:vAlign w:val="bottom"/>
          </w:tcPr>
          <w:p>
            <w:pPr>
              <w:pStyle w:val="TableContents"/>
              <w:spacing w:before="0" w:after="283"/>
              <w:rPr/>
            </w:pPr>
            <w:r>
              <w:rPr/>
              <w:t>% (b)</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2,970,171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jc w:val="left"/>
              <w:rPr/>
            </w:pPr>
            <w:r>
              <w:rPr/>
              <w:t> </w:t>
            </w:r>
          </w:p>
        </w:tc>
        <w:tc>
          <w:tcPr>
            <w:tcW w:w="691" w:type="dxa"/>
            <w:tcBorders/>
            <w:shd w:fill="CCEEFF" w:val="clear"/>
            <w:vAlign w:val="bottom"/>
          </w:tcPr>
          <w:p>
            <w:pPr>
              <w:pStyle w:val="TableContents"/>
              <w:spacing w:before="0" w:after="283"/>
              <w:jc w:val="right"/>
              <w:rPr/>
            </w:pPr>
            <w:r>
              <w:rPr/>
              <w:t>100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692" w:type="dxa"/>
            <w:tcBorders/>
            <w:shd w:fill="CCEEFF" w:val="clear"/>
            <w:vAlign w:val="bottom"/>
          </w:tcPr>
          <w:p>
            <w:pPr>
              <w:pStyle w:val="TableContents"/>
              <w:spacing w:before="0" w:after="283"/>
              <w:jc w:val="right"/>
              <w:rPr/>
            </w:pPr>
            <w:r>
              <w:rPr/>
              <w:t>100</w:t>
            </w:r>
          </w:p>
        </w:tc>
        <w:tc>
          <w:tcPr>
            <w:tcW w:w="215" w:type="dxa"/>
            <w:tcBorders/>
            <w:shd w:fill="CCEEFF" w:val="clear"/>
            <w:vAlign w:val="bottom"/>
          </w:tcPr>
          <w:p>
            <w:pPr>
              <w:pStyle w:val="TableContents"/>
              <w:spacing w:before="0" w:after="283"/>
              <w:rPr/>
            </w:pPr>
            <w:r>
              <w:rPr/>
              <w:t>%</w:t>
            </w:r>
          </w:p>
        </w:tc>
      </w:tr>
      <w:tr>
        <w:trPr/>
        <w:tc>
          <w:tcPr>
            <w:tcW w:w="5555" w:type="dxa"/>
            <w:tcBorders/>
            <w:shd w:fill="CCEEFF" w:val="clear"/>
            <w:vAlign w:val="bottom"/>
          </w:tcPr>
          <w:p>
            <w:pPr>
              <w:pStyle w:val="TableContents"/>
              <w:spacing w:before="0" w:after="0"/>
              <w:ind w:left="225" w:right="0" w:hanging="225"/>
              <w:rPr/>
            </w:pPr>
            <w:r>
              <w:rPr/>
              <w:t>MS Pawn Corporation</w:t>
              <w:br/>
              <w:t>Phillip Ean Cohen</w:t>
              <w:br/>
              <w:t>1901 Capital Parkway</w:t>
              <w:br/>
              <w:t>Austin, Texas 78746</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Sterling B. Brinkley</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829,943</w:t>
            </w:r>
          </w:p>
        </w:tc>
        <w:tc>
          <w:tcPr>
            <w:tcW w:w="369" w:type="dxa"/>
            <w:tcBorders/>
            <w:shd w:fill="auto" w:val="clear"/>
            <w:vAlign w:val="bottom"/>
          </w:tcPr>
          <w:p>
            <w:pPr>
              <w:pStyle w:val="TableContents"/>
              <w:spacing w:before="0" w:after="283"/>
              <w:rPr/>
            </w:pPr>
            <w:r>
              <w:rPr/>
              <w:t> </w:t>
            </w:r>
            <w:r>
              <w:rPr/>
              <w:t>(c)</w:t>
            </w:r>
          </w:p>
        </w:tc>
        <w:tc>
          <w:tcPr>
            <w:tcW w:w="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pPr>
            <w:r>
              <w:rPr/>
              <w:t>1.77</w:t>
            </w:r>
          </w:p>
        </w:tc>
        <w:tc>
          <w:tcPr>
            <w:tcW w:w="54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Joseph L. Rotunda</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1,088,886</w:t>
            </w:r>
          </w:p>
        </w:tc>
        <w:tc>
          <w:tcPr>
            <w:tcW w:w="369"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705" w:type="dxa"/>
            <w:tcBorders/>
            <w:shd w:fill="CCEEFF" w:val="clear"/>
            <w:vAlign w:val="bottom"/>
          </w:tcPr>
          <w:p>
            <w:pPr>
              <w:pStyle w:val="TableContents"/>
              <w:spacing w:before="0" w:after="283"/>
              <w:jc w:val="right"/>
              <w:rPr/>
            </w:pPr>
            <w:r>
              <w:rPr/>
              <w:t>2.30</w:t>
            </w:r>
          </w:p>
        </w:tc>
        <w:tc>
          <w:tcPr>
            <w:tcW w:w="54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Daniel M. Chism</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28,331</w:t>
            </w:r>
          </w:p>
        </w:tc>
        <w:tc>
          <w:tcPr>
            <w:tcW w:w="369" w:type="dxa"/>
            <w:tcBorders/>
            <w:shd w:fill="auto" w:val="clear"/>
            <w:vAlign w:val="bottom"/>
          </w:tcPr>
          <w:p>
            <w:pPr>
              <w:pStyle w:val="TableContents"/>
              <w:spacing w:before="0" w:after="283"/>
              <w:rPr/>
            </w:pPr>
            <w:r>
              <w:rPr/>
              <w:t> </w:t>
            </w:r>
            <w:r>
              <w:rPr/>
              <w:t>(d)</w:t>
            </w:r>
          </w:p>
        </w:tc>
        <w:tc>
          <w:tcPr>
            <w:tcW w:w="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pPr>
            <w:r>
              <w:rPr/>
              <w:t>0.06</w:t>
            </w:r>
          </w:p>
        </w:tc>
        <w:tc>
          <w:tcPr>
            <w:tcW w:w="54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Joseph J. Beal</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3,000</w:t>
            </w:r>
          </w:p>
        </w:tc>
        <w:tc>
          <w:tcPr>
            <w:tcW w:w="369" w:type="dxa"/>
            <w:tcBorders/>
            <w:shd w:fill="CCEEFF" w:val="clear"/>
            <w:vAlign w:val="bottom"/>
          </w:tcPr>
          <w:p>
            <w:pPr>
              <w:pStyle w:val="TableContents"/>
              <w:spacing w:before="0" w:after="283"/>
              <w:rPr/>
            </w:pPr>
            <w:r>
              <w:rPr/>
              <w:t> </w:t>
            </w:r>
            <w:r>
              <w:rPr/>
              <w:t>(e)</w:t>
            </w:r>
          </w:p>
        </w:tc>
        <w:tc>
          <w:tcPr>
            <w:tcW w:w="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705" w:type="dxa"/>
            <w:tcBorders/>
            <w:shd w:fill="CCEEFF" w:val="clear"/>
            <w:vAlign w:val="bottom"/>
          </w:tcPr>
          <w:p>
            <w:pPr>
              <w:pStyle w:val="TableContents"/>
              <w:spacing w:before="0" w:after="283"/>
              <w:jc w:val="right"/>
              <w:rPr/>
            </w:pPr>
            <w:r>
              <w:rPr/>
              <w:t>0.01</w:t>
            </w:r>
          </w:p>
        </w:tc>
        <w:tc>
          <w:tcPr>
            <w:tcW w:w="54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William C. Love</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6,500</w:t>
            </w:r>
          </w:p>
        </w:tc>
        <w:tc>
          <w:tcPr>
            <w:tcW w:w="369" w:type="dxa"/>
            <w:tcBorders/>
            <w:shd w:fill="auto" w:val="clear"/>
            <w:vAlign w:val="bottom"/>
          </w:tcPr>
          <w:p>
            <w:pPr>
              <w:pStyle w:val="TableContents"/>
              <w:spacing w:before="0" w:after="283"/>
              <w:rPr/>
            </w:pPr>
            <w:r>
              <w:rPr/>
              <w:t> </w:t>
            </w:r>
            <w:r>
              <w:rPr/>
              <w:t>(f)</w:t>
            </w:r>
          </w:p>
        </w:tc>
        <w:tc>
          <w:tcPr>
            <w:tcW w:w="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pPr>
            <w:r>
              <w:rPr/>
              <w:t>0.01</w:t>
            </w:r>
          </w:p>
        </w:tc>
        <w:tc>
          <w:tcPr>
            <w:tcW w:w="54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Thomas C. Roberts</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27,000</w:t>
            </w:r>
          </w:p>
        </w:tc>
        <w:tc>
          <w:tcPr>
            <w:tcW w:w="369" w:type="dxa"/>
            <w:tcBorders/>
            <w:shd w:fill="CCEEFF" w:val="clear"/>
            <w:vAlign w:val="bottom"/>
          </w:tcPr>
          <w:p>
            <w:pPr>
              <w:pStyle w:val="TableContents"/>
              <w:spacing w:before="0" w:after="283"/>
              <w:rPr/>
            </w:pPr>
            <w:r>
              <w:rPr/>
              <w:t> </w:t>
            </w:r>
            <w:r>
              <w:rPr/>
              <w:t>(e)</w:t>
            </w:r>
          </w:p>
        </w:tc>
        <w:tc>
          <w:tcPr>
            <w:tcW w:w="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705" w:type="dxa"/>
            <w:tcBorders/>
            <w:shd w:fill="CCEEFF" w:val="clear"/>
            <w:vAlign w:val="bottom"/>
          </w:tcPr>
          <w:p>
            <w:pPr>
              <w:pStyle w:val="TableContents"/>
              <w:spacing w:before="0" w:after="283"/>
              <w:jc w:val="right"/>
              <w:rPr/>
            </w:pPr>
            <w:r>
              <w:rPr/>
              <w:t>0.06</w:t>
            </w:r>
          </w:p>
        </w:tc>
        <w:tc>
          <w:tcPr>
            <w:tcW w:w="54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Richard D. Sage</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4,093</w:t>
            </w:r>
          </w:p>
        </w:tc>
        <w:tc>
          <w:tcPr>
            <w:tcW w:w="369" w:type="dxa"/>
            <w:tcBorders/>
            <w:shd w:fill="auto" w:val="clear"/>
            <w:vAlign w:val="bottom"/>
          </w:tcPr>
          <w:p>
            <w:pPr>
              <w:pStyle w:val="TableContents"/>
              <w:spacing w:before="0" w:after="283"/>
              <w:rPr/>
            </w:pPr>
            <w:r>
              <w:rPr/>
              <w:t> </w:t>
            </w:r>
            <w:r>
              <w:rPr/>
              <w:t>(e)</w:t>
            </w:r>
          </w:p>
        </w:tc>
        <w:tc>
          <w:tcPr>
            <w:tcW w:w="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pPr>
            <w:r>
              <w:rPr/>
              <w:t>0.01</w:t>
            </w:r>
          </w:p>
        </w:tc>
        <w:tc>
          <w:tcPr>
            <w:tcW w:w="54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Pablo Lagos Espinosa</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w:t>
            </w:r>
          </w:p>
        </w:tc>
        <w:tc>
          <w:tcPr>
            <w:tcW w:w="369" w:type="dxa"/>
            <w:tcBorders/>
            <w:shd w:fill="CCEEFF" w:val="clear"/>
            <w:vAlign w:val="bottom"/>
          </w:tcPr>
          <w:p>
            <w:pPr>
              <w:pStyle w:val="TableContents"/>
              <w:spacing w:before="0" w:after="283"/>
              <w:rPr/>
            </w:pPr>
            <w:r>
              <w:rPr/>
              <w:t> </w:t>
            </w:r>
            <w:r>
              <w:rPr/>
              <w:t>(g)</w:t>
            </w:r>
          </w:p>
        </w:tc>
        <w:tc>
          <w:tcPr>
            <w:tcW w:w="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705" w:type="dxa"/>
            <w:tcBorders/>
            <w:shd w:fill="CCEEFF" w:val="clear"/>
            <w:vAlign w:val="bottom"/>
          </w:tcPr>
          <w:p>
            <w:pPr>
              <w:pStyle w:val="TableContents"/>
              <w:spacing w:before="0" w:after="283"/>
              <w:jc w:val="right"/>
              <w:rPr/>
            </w:pPr>
            <w:r>
              <w:rPr/>
              <w:t>0.00</w:t>
            </w:r>
          </w:p>
        </w:tc>
        <w:tc>
          <w:tcPr>
            <w:tcW w:w="54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 xml:space="preserve">Paul E. Rothamel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w:t>
            </w:r>
          </w:p>
        </w:tc>
        <w:tc>
          <w:tcPr>
            <w:tcW w:w="369" w:type="dxa"/>
            <w:tcBorders/>
            <w:shd w:fill="auto" w:val="clear"/>
            <w:vAlign w:val="bottom"/>
          </w:tcPr>
          <w:p>
            <w:pPr>
              <w:pStyle w:val="TableContents"/>
              <w:spacing w:before="0" w:after="283"/>
              <w:rPr/>
            </w:pPr>
            <w:r>
              <w:rPr/>
              <w:t> </w:t>
            </w:r>
            <w:r>
              <w:rPr/>
              <w:t>(h)</w:t>
            </w:r>
          </w:p>
        </w:tc>
        <w:tc>
          <w:tcPr>
            <w:tcW w:w="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pPr>
            <w:r>
              <w:rPr/>
              <w:t>0.00</w:t>
            </w:r>
          </w:p>
        </w:tc>
        <w:tc>
          <w:tcPr>
            <w:tcW w:w="54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r>
      <w:tr>
        <w:trPr/>
        <w:tc>
          <w:tcPr>
            <w:tcW w:w="5555" w:type="dxa"/>
            <w:tcBorders/>
            <w:shd w:fill="CCEEFF" w:val="clear"/>
            <w:vAlign w:val="bottom"/>
          </w:tcPr>
          <w:p>
            <w:pPr>
              <w:pStyle w:val="TableContents"/>
              <w:spacing w:before="0" w:after="0"/>
              <w:ind w:left="225" w:right="0" w:hanging="225"/>
              <w:rPr/>
            </w:pPr>
            <w:r>
              <w:rPr/>
              <w:t xml:space="preserve">Robert A. Kasenter </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44,290</w:t>
            </w:r>
          </w:p>
        </w:tc>
        <w:tc>
          <w:tcPr>
            <w:tcW w:w="369" w:type="dxa"/>
            <w:tcBorders/>
            <w:shd w:fill="CCEEFF" w:val="clear"/>
            <w:vAlign w:val="bottom"/>
          </w:tcPr>
          <w:p>
            <w:pPr>
              <w:pStyle w:val="TableContents"/>
              <w:spacing w:before="0" w:after="283"/>
              <w:rPr/>
            </w:pPr>
            <w:r>
              <w:rPr/>
              <w:t> </w:t>
            </w:r>
            <w:r>
              <w:rPr/>
              <w:t>(i)</w:t>
            </w:r>
          </w:p>
        </w:tc>
        <w:tc>
          <w:tcPr>
            <w:tcW w:w="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left"/>
              <w:rPr/>
            </w:pPr>
            <w:r>
              <w:rPr/>
              <w:t> </w:t>
            </w:r>
          </w:p>
        </w:tc>
        <w:tc>
          <w:tcPr>
            <w:tcW w:w="705" w:type="dxa"/>
            <w:tcBorders/>
            <w:shd w:fill="CCEEFF" w:val="clear"/>
            <w:vAlign w:val="bottom"/>
          </w:tcPr>
          <w:p>
            <w:pPr>
              <w:pStyle w:val="TableContents"/>
              <w:spacing w:before="0" w:after="283"/>
              <w:jc w:val="right"/>
              <w:rPr/>
            </w:pPr>
            <w:r>
              <w:rPr/>
              <w:t>0.09</w:t>
            </w:r>
          </w:p>
        </w:tc>
        <w:tc>
          <w:tcPr>
            <w:tcW w:w="54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0"/>
              <w:ind w:left="225" w:right="0" w:hanging="225"/>
              <w:rPr/>
            </w:pPr>
            <w:r>
              <w:rPr/>
              <w:t>Directors and executive officers as a group (15 persons) (j)</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2,058,645</w:t>
            </w:r>
          </w:p>
        </w:tc>
        <w:tc>
          <w:tcPr>
            <w:tcW w:w="369" w:type="dxa"/>
            <w:tcBorders/>
            <w:shd w:fill="auto" w:val="clear"/>
            <w:vAlign w:val="bottom"/>
          </w:tcPr>
          <w:p>
            <w:pPr>
              <w:pStyle w:val="TableContents"/>
              <w:spacing w:before="0" w:after="283"/>
              <w:rPr/>
            </w:pPr>
            <w:r>
              <w:rPr/>
              <w:t> </w:t>
            </w:r>
            <w:r>
              <w:rPr/>
              <w:t>(k)</w:t>
            </w:r>
          </w:p>
        </w:tc>
        <w:tc>
          <w:tcPr>
            <w:tcW w:w="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pPr>
            <w:r>
              <w:rPr/>
              <w:t>4.33</w:t>
            </w:r>
          </w:p>
        </w:tc>
        <w:tc>
          <w:tcPr>
            <w:tcW w:w="54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w:t>
            </w:r>
          </w:p>
        </w:tc>
        <w:tc>
          <w:tcPr>
            <w:tcW w:w="215"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MS Pawn Corporation is the general partner of MS Pawn Limited Partnership and has the sole right to vote its shares of Class B Common Stock and to direct their disposition. Mr. Cohen is the sole stockholder of MS Pawn Corporation.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number of shares and percentage reflect Class A Common Stock, inclusive of Class B Common Stock, which are convertible to Class A Common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Does not include 705,000 shares of unvested restricted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Includes currently exercisable options to acquire 1,200 shares of Class A Common Stock. Does not include 11,000 shares of unvested restricted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(e)</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Does not include 9,000 shares of unvested restricted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(f)</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Does not include 11,500 shares of unvested restricted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(g)</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Does not include 6,000 shares of unvested restricted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(h)</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Does not include 325,000 shares of unvested restricted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(i)</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Does not include 30,000 shares of unvested restricted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(j)</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Group includes those persons who were serving as directors and executive officers on October 31, 2010. Mr. Rotunda, who is included in that group, retired from his director and executive officer positions effective at the end of that day, but remains a consultant to the company under a five-year consulting agreement.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(k)</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Includes currently exercisable options to acquire 55,200 shares of Class A Common Stock. Does not include 1,227,500 shares of unvested restricted stock.</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bookmarkStart w:id="29" w:name="121"/>
      <w:bookmarkEnd w:id="29"/>
      <w:r>
        <w:rPr>
          <w:rFonts w:ascii="Times New Roman;Times;serif" w:hAnsi="Times New Roman;Times;serif"/>
          <w:b/>
          <w:smallCaps/>
          <w:sz w:val="17"/>
        </w:rPr>
        <w:t>Item 13. Certain Relationships and Related Transactions, and Director Independence</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Related Party Transactions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Agreement with Madison Park</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September 30, 2010, we entered into an advisory services agreement with Madison Park, LLC (Madison Park), a business and financial advisory firm wholly-owned by Phillip E. Cohen, the beneficial owner of all of our outstanding Class B 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Summary of Terms </w:t>
      </w:r>
      <w:r>
        <w:rPr>
          <w:rFonts w:ascii="Times New Roman;Times;serif" w:hAnsi="Times New Roman;Times;serif"/>
          <w:b/>
          <w:i/>
          <w:sz w:val="17"/>
        </w:rPr>
        <w:t xml:space="preserve"> </w:t>
      </w:r>
      <w:r>
        <w:rPr>
          <w:rFonts w:ascii="Times New Roman;Times;serif" w:hAnsi="Times New Roman;Times;serif"/>
          <w:sz w:val="17"/>
        </w:rPr>
        <w:t xml:space="preserve">Pursuant to the agreement, Madison Park will provide advisory services related to our business and long term strategic plan, including (a) identifying, evaluating, and negotiating potential acquisitions and strategic alliances, (b) assessing operating and strategic objectives, including new business development, (c) advising on investor relations and relations with investment bankers, securities analysts, and other members of the financial services industry, (d) assisting in international business development and strategic investment opportunities, and (e) analyzing, evaluating, and advising on various financial matters. In exchange for those services, we will pay Madison Park a retainer fee of $400,000 per month and will reimburse Madison Park for its out-of-pocket expenses incurred in connection with the engagement. In addition, we will indemnify Madison Park (and its officers, directors, employees, and affiliates) from and against all claims, costs, liabilities, and damages related to or arising out of the engagement (except to the extent that any claim, cost, liability, or damage results from the recklessness, willful misconduct, or bad faith of the indemnified party).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advisory services agreement is effective as of October 1, 2010, and the term of the engagement runs through September 30, 2011. Either party may terminate the agreement at any time on thirty days written notice to the other party.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Board Governance Process </w:t>
      </w:r>
      <w:r>
        <w:rPr>
          <w:rFonts w:ascii="Times New Roman;Times;serif" w:hAnsi="Times New Roman;Times;serif"/>
          <w:b/>
          <w:i/>
          <w:sz w:val="17"/>
        </w:rPr>
        <w:t xml:space="preserve"> </w:t>
      </w:r>
      <w:r>
        <w:rPr>
          <w:rFonts w:ascii="Times New Roman;Times;serif" w:hAnsi="Times New Roman;Times;serif"/>
          <w:sz w:val="17"/>
        </w:rPr>
        <w:t xml:space="preserve">The engagement of Madison Park pursuant to the advisory services agreement was identified and acknowledged by our Board of Directors from the outset as a related party transaction. Consequently, pursuant to its Policy for Review and Evaluation of Related Party Transactions (described below), the Board of Directors referred the matter to the Audit Committee, which is comprised entirely of independent, non-employee directors. Acting pursuant to that policy, the Audit Committee implemented measures designed to ensure that the advisory services agreement with Madison Park was considered, analyzed, negotiated and approved objectively. Those measures included the following: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The Audit Committee engaged a qualified, independent financial advisory firm for the purpose of evaluating the proposed advisory services agreement relative to comparable market rates for the services contemplated by the agreement, and that firm counseled and advised the committee in the course of its consideration and evaluation of the Madison Park relationship and the proposed terms of the new advisory services agreement.</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The Audit Committee sought, received, and relied upon an opinion from that independent financial advisory firm to the effect that the consideration to be paid to Madison Park pursuant to the advisory services agreement is fair to the company from a financial point of view.</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With those measures, the Audit Committee evaluated and considered a number of factors, including the companys need for the services to be provided under the advisory services agreement; the unique character of the companys business; the unique capabilities and expertise of Madison Park and its principal, Mr. Cohen, to provide the needed services; the amount of the proposed annual retainer fee in relation to comparable related party and other publicly disclosed advisory engagements and in relation to various financial performance measures; and the extent to which the company has benefitted in prior years from the advisory relationship with Madison Park.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After consideration and discussion of those factors, the information and fairness opinion provided by its independent financial advisory firm, and the relationships and the interests of Mr. Cohen, the Audit Committee concluded that the advisory services agreement was fair to, and in the best interests of, the company and its stockholders and, on that basis, approved the engagement of Madison Park pursuant to the advisory services agreement. </w:t>
      </w:r>
    </w:p>
    <w:p>
      <w:pPr>
        <w:pStyle w:val="TextBody"/>
        <w:jc w:val="center"/>
        <w:rPr>
          <w:rFonts w:ascii="Times New Roman;Times;serif" w:hAnsi="Times New Roman;Times;serif"/>
          <w:sz w:val="17"/>
        </w:rPr>
      </w:pPr>
      <w:r>
        <w:rPr>
          <w:rFonts w:ascii="Times New Roman;Times;serif" w:hAnsi="Times New Roman;Times;serif"/>
          <w:sz w:val="17"/>
        </w:rPr>
        <w:t xml:space="preserve">111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advisory services agreement replaces a similar agreement that expired on September 30, 2010. Under that prior agreement, which was effective for all of fiscal 2010, we paid Madison Park a total of $3.6 million in exchange for the financial advisory services provided pursuant to the agreement.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Review and Approval of Transactions with Related Persons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 As noted under Agreement with Madison Park, the Audit Committee reviewed and approved the transactions described in that section.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Director Independence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Board of Directors believes that the interests of the stockholders are best served by having a substantial number of objective, independent representatives on the Board. For this purpose, a director is considered to be independent only if the Board affirmatively determines that the director does not have any direct or indirect material relationship with the company that may impair, or appear to impair, the directors ability to make independent judgments.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Board has evaluated all relationships between each director and the company and has made the following determinations with respect to each directors independence: </w:t>
      </w:r>
    </w:p>
    <w:tbl>
      <w:tblPr>
        <w:tblW w:w="5000" w:type="pct"/>
        <w:jc w:val="center"/>
        <w:tblInd w:w="0" w:type="dxa"/>
        <w:tblCellMar>
          <w:top w:w="0" w:type="dxa"/>
          <w:left w:w="0" w:type="dxa"/>
          <w:bottom w:w="0" w:type="dxa"/>
          <w:right w:w="0" w:type="dxa"/>
        </w:tblCellMar>
      </w:tblPr>
      <w:tblGrid>
        <w:gridCol w:w="8500"/>
        <w:gridCol w:w="487"/>
        <w:gridCol w:w="1218"/>
      </w:tblGrid>
      <w:tr>
        <w:trPr/>
        <w:tc>
          <w:tcPr>
            <w:tcW w:w="850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rPr/>
            </w:pPr>
            <w:r>
              <w:rPr/>
              <w:t> </w:t>
            </w:r>
          </w:p>
        </w:tc>
      </w:tr>
      <w:tr>
        <w:trPr/>
        <w:tc>
          <w:tcPr>
            <w:tcW w:w="8500" w:type="dxa"/>
            <w:tcBorders>
              <w:bottom w:val="single" w:sz="2" w:space="0" w:color="000000"/>
            </w:tcBorders>
            <w:shd w:fill="auto" w:val="clear"/>
            <w:tcMar>
              <w:bottom w:w="28" w:type="dxa"/>
            </w:tcMar>
            <w:vAlign w:val="bottom"/>
          </w:tcPr>
          <w:p>
            <w:pPr>
              <w:pStyle w:val="TableContents"/>
              <w:spacing w:before="0" w:after="283"/>
              <w:jc w:val="left"/>
              <w:rPr>
                <w:b/>
              </w:rPr>
            </w:pPr>
            <w:r>
              <w:rPr>
                <w:b/>
              </w:rPr>
              <w:t>Director</w:t>
            </w:r>
          </w:p>
        </w:tc>
        <w:tc>
          <w:tcPr>
            <w:tcW w:w="487" w:type="dxa"/>
            <w:tcBorders/>
            <w:shd w:fill="auto" w:val="clear"/>
            <w:vAlign w:val="bottom"/>
          </w:tcPr>
          <w:p>
            <w:pPr>
              <w:pStyle w:val="TableContents"/>
              <w:spacing w:before="0" w:after="283"/>
              <w:rPr/>
            </w:pPr>
            <w:r>
              <w:rPr/>
              <w:t> </w:t>
            </w:r>
          </w:p>
        </w:tc>
        <w:tc>
          <w:tcPr>
            <w:tcW w:w="1218" w:type="dxa"/>
            <w:tcBorders>
              <w:bottom w:val="single" w:sz="2" w:space="0" w:color="000000"/>
            </w:tcBorders>
            <w:shd w:fill="auto" w:val="clear"/>
            <w:tcMar>
              <w:bottom w:w="28" w:type="dxa"/>
            </w:tcMar>
            <w:vAlign w:val="bottom"/>
          </w:tcPr>
          <w:p>
            <w:pPr>
              <w:pStyle w:val="TableContents"/>
              <w:spacing w:before="0" w:after="283"/>
              <w:jc w:val="left"/>
              <w:rPr>
                <w:b/>
              </w:rPr>
            </w:pPr>
            <w:r>
              <w:rPr>
                <w:b/>
              </w:rPr>
              <w:t>Status (a)</w:t>
            </w:r>
          </w:p>
        </w:tc>
      </w:tr>
      <w:tr>
        <w:trPr/>
        <w:tc>
          <w:tcPr>
            <w:tcW w:w="8500" w:type="dxa"/>
            <w:tcBorders/>
            <w:shd w:fill="CCEEFF" w:val="clear"/>
            <w:vAlign w:val="bottom"/>
          </w:tcPr>
          <w:p>
            <w:pPr>
              <w:pStyle w:val="TableContents"/>
              <w:spacing w:before="0" w:after="0"/>
              <w:ind w:left="225" w:right="0" w:hanging="225"/>
              <w:rPr/>
            </w:pPr>
            <w:r>
              <w:rPr/>
              <w:t>Sterling B. Brinkley</w:t>
            </w:r>
          </w:p>
        </w:tc>
        <w:tc>
          <w:tcPr>
            <w:tcW w:w="487" w:type="dxa"/>
            <w:tcBorders/>
            <w:shd w:fill="CCEEFF" w:val="clear"/>
            <w:vAlign w:val="bottom"/>
          </w:tcPr>
          <w:p>
            <w:pPr>
              <w:pStyle w:val="TableContents"/>
              <w:spacing w:before="0" w:after="283"/>
              <w:rPr/>
            </w:pPr>
            <w:r>
              <w:rPr/>
              <w:t> </w:t>
            </w:r>
          </w:p>
        </w:tc>
        <w:tc>
          <w:tcPr>
            <w:tcW w:w="1218" w:type="dxa"/>
            <w:tcBorders/>
            <w:shd w:fill="CCEEFF" w:val="clear"/>
          </w:tcPr>
          <w:p>
            <w:pPr>
              <w:pStyle w:val="TableContents"/>
              <w:spacing w:before="0" w:after="283"/>
              <w:jc w:val="left"/>
              <w:rPr/>
            </w:pPr>
            <w:r>
              <w:rPr/>
              <w:t>Not independent (b)</w:t>
            </w:r>
          </w:p>
        </w:tc>
      </w:tr>
      <w:tr>
        <w:trPr/>
        <w:tc>
          <w:tcPr>
            <w:tcW w:w="8500" w:type="dxa"/>
            <w:tcBorders/>
            <w:shd w:fill="auto" w:val="clear"/>
            <w:vAlign w:val="bottom"/>
          </w:tcPr>
          <w:p>
            <w:pPr>
              <w:pStyle w:val="TableContents"/>
              <w:spacing w:before="0" w:after="0"/>
              <w:ind w:left="225" w:right="0" w:hanging="225"/>
              <w:rPr/>
            </w:pPr>
            <w:r>
              <w:rPr/>
              <w:t>Paul E. Rothamel</w:t>
            </w:r>
          </w:p>
        </w:tc>
        <w:tc>
          <w:tcPr>
            <w:tcW w:w="487" w:type="dxa"/>
            <w:tcBorders/>
            <w:shd w:fill="auto" w:val="clear"/>
            <w:vAlign w:val="bottom"/>
          </w:tcPr>
          <w:p>
            <w:pPr>
              <w:pStyle w:val="TableContents"/>
              <w:spacing w:before="0" w:after="283"/>
              <w:rPr/>
            </w:pPr>
            <w:r>
              <w:rPr/>
              <w:t> </w:t>
            </w:r>
          </w:p>
        </w:tc>
        <w:tc>
          <w:tcPr>
            <w:tcW w:w="1218" w:type="dxa"/>
            <w:tcBorders/>
            <w:shd w:fill="auto" w:val="clear"/>
          </w:tcPr>
          <w:p>
            <w:pPr>
              <w:pStyle w:val="TableContents"/>
              <w:spacing w:before="0" w:after="283"/>
              <w:jc w:val="left"/>
              <w:rPr/>
            </w:pPr>
            <w:r>
              <w:rPr/>
              <w:t>Not independent (b)</w:t>
            </w:r>
          </w:p>
        </w:tc>
      </w:tr>
      <w:tr>
        <w:trPr/>
        <w:tc>
          <w:tcPr>
            <w:tcW w:w="8500" w:type="dxa"/>
            <w:tcBorders/>
            <w:shd w:fill="CCEEFF" w:val="clear"/>
            <w:vAlign w:val="bottom"/>
          </w:tcPr>
          <w:p>
            <w:pPr>
              <w:pStyle w:val="TableContents"/>
              <w:spacing w:before="0" w:after="0"/>
              <w:ind w:left="225" w:right="0" w:hanging="225"/>
              <w:rPr/>
            </w:pPr>
            <w:r>
              <w:rPr/>
              <w:t>Joseph J. Beal</w:t>
            </w:r>
          </w:p>
        </w:tc>
        <w:tc>
          <w:tcPr>
            <w:tcW w:w="487" w:type="dxa"/>
            <w:tcBorders/>
            <w:shd w:fill="CCEEFF" w:val="clear"/>
            <w:vAlign w:val="bottom"/>
          </w:tcPr>
          <w:p>
            <w:pPr>
              <w:pStyle w:val="TableContents"/>
              <w:spacing w:before="0" w:after="283"/>
              <w:rPr/>
            </w:pPr>
            <w:r>
              <w:rPr/>
              <w:t> </w:t>
            </w:r>
          </w:p>
        </w:tc>
        <w:tc>
          <w:tcPr>
            <w:tcW w:w="1218" w:type="dxa"/>
            <w:tcBorders/>
            <w:shd w:fill="CCEEFF" w:val="clear"/>
          </w:tcPr>
          <w:p>
            <w:pPr>
              <w:pStyle w:val="TableContents"/>
              <w:spacing w:before="0" w:after="283"/>
              <w:jc w:val="left"/>
              <w:rPr/>
            </w:pPr>
            <w:r>
              <w:rPr/>
              <w:t>Independent</w:t>
            </w:r>
          </w:p>
        </w:tc>
      </w:tr>
      <w:tr>
        <w:trPr/>
        <w:tc>
          <w:tcPr>
            <w:tcW w:w="8500" w:type="dxa"/>
            <w:tcBorders/>
            <w:shd w:fill="auto" w:val="clear"/>
            <w:vAlign w:val="bottom"/>
          </w:tcPr>
          <w:p>
            <w:pPr>
              <w:pStyle w:val="TableContents"/>
              <w:spacing w:before="0" w:after="0"/>
              <w:ind w:left="225" w:right="0" w:hanging="225"/>
              <w:rPr/>
            </w:pPr>
            <w:r>
              <w:rPr/>
              <w:t>Pablo Lagos Espinosa</w:t>
            </w:r>
          </w:p>
        </w:tc>
        <w:tc>
          <w:tcPr>
            <w:tcW w:w="487" w:type="dxa"/>
            <w:tcBorders/>
            <w:shd w:fill="auto" w:val="clear"/>
            <w:vAlign w:val="bottom"/>
          </w:tcPr>
          <w:p>
            <w:pPr>
              <w:pStyle w:val="TableContents"/>
              <w:spacing w:before="0" w:after="283"/>
              <w:rPr/>
            </w:pPr>
            <w:r>
              <w:rPr/>
              <w:t> </w:t>
            </w:r>
          </w:p>
        </w:tc>
        <w:tc>
          <w:tcPr>
            <w:tcW w:w="1218" w:type="dxa"/>
            <w:tcBorders/>
            <w:shd w:fill="auto" w:val="clear"/>
          </w:tcPr>
          <w:p>
            <w:pPr>
              <w:pStyle w:val="TableContents"/>
              <w:spacing w:before="0" w:after="283"/>
              <w:jc w:val="left"/>
              <w:rPr/>
            </w:pPr>
            <w:r>
              <w:rPr/>
              <w:t>Independent</w:t>
            </w:r>
          </w:p>
        </w:tc>
      </w:tr>
      <w:tr>
        <w:trPr/>
        <w:tc>
          <w:tcPr>
            <w:tcW w:w="8500" w:type="dxa"/>
            <w:tcBorders/>
            <w:shd w:fill="CCEEFF" w:val="clear"/>
            <w:vAlign w:val="bottom"/>
          </w:tcPr>
          <w:p>
            <w:pPr>
              <w:pStyle w:val="TableContents"/>
              <w:spacing w:before="0" w:after="0"/>
              <w:ind w:left="225" w:right="0" w:hanging="225"/>
              <w:rPr/>
            </w:pPr>
            <w:r>
              <w:rPr/>
              <w:t>William C. Love</w:t>
            </w:r>
          </w:p>
        </w:tc>
        <w:tc>
          <w:tcPr>
            <w:tcW w:w="487" w:type="dxa"/>
            <w:tcBorders/>
            <w:shd w:fill="CCEEFF" w:val="clear"/>
            <w:vAlign w:val="bottom"/>
          </w:tcPr>
          <w:p>
            <w:pPr>
              <w:pStyle w:val="TableContents"/>
              <w:spacing w:before="0" w:after="283"/>
              <w:rPr/>
            </w:pPr>
            <w:r>
              <w:rPr/>
              <w:t> </w:t>
            </w:r>
          </w:p>
        </w:tc>
        <w:tc>
          <w:tcPr>
            <w:tcW w:w="1218" w:type="dxa"/>
            <w:tcBorders/>
            <w:shd w:fill="CCEEFF" w:val="clear"/>
          </w:tcPr>
          <w:p>
            <w:pPr>
              <w:pStyle w:val="TableContents"/>
              <w:spacing w:before="0" w:after="283"/>
              <w:jc w:val="left"/>
              <w:rPr/>
            </w:pPr>
            <w:r>
              <w:rPr/>
              <w:t>Independent</w:t>
            </w:r>
          </w:p>
        </w:tc>
      </w:tr>
      <w:tr>
        <w:trPr/>
        <w:tc>
          <w:tcPr>
            <w:tcW w:w="8500" w:type="dxa"/>
            <w:tcBorders/>
            <w:shd w:fill="auto" w:val="clear"/>
            <w:vAlign w:val="bottom"/>
          </w:tcPr>
          <w:p>
            <w:pPr>
              <w:pStyle w:val="TableContents"/>
              <w:spacing w:before="0" w:after="0"/>
              <w:ind w:left="225" w:right="0" w:hanging="225"/>
              <w:rPr/>
            </w:pPr>
            <w:r>
              <w:rPr/>
              <w:t>Gary C. Matzner (c)</w:t>
            </w:r>
          </w:p>
        </w:tc>
        <w:tc>
          <w:tcPr>
            <w:tcW w:w="487" w:type="dxa"/>
            <w:tcBorders/>
            <w:shd w:fill="auto" w:val="clear"/>
            <w:vAlign w:val="bottom"/>
          </w:tcPr>
          <w:p>
            <w:pPr>
              <w:pStyle w:val="TableContents"/>
              <w:spacing w:before="0" w:after="283"/>
              <w:rPr/>
            </w:pPr>
            <w:r>
              <w:rPr/>
              <w:t> </w:t>
            </w:r>
          </w:p>
        </w:tc>
        <w:tc>
          <w:tcPr>
            <w:tcW w:w="1218" w:type="dxa"/>
            <w:tcBorders/>
            <w:shd w:fill="auto" w:val="clear"/>
          </w:tcPr>
          <w:p>
            <w:pPr>
              <w:pStyle w:val="TableContents"/>
              <w:spacing w:before="0" w:after="283"/>
              <w:jc w:val="left"/>
              <w:rPr/>
            </w:pPr>
            <w:r>
              <w:rPr/>
              <w:t>Independent</w:t>
            </w:r>
          </w:p>
        </w:tc>
      </w:tr>
      <w:tr>
        <w:trPr/>
        <w:tc>
          <w:tcPr>
            <w:tcW w:w="8500" w:type="dxa"/>
            <w:tcBorders/>
            <w:shd w:fill="CCEEFF" w:val="clear"/>
            <w:vAlign w:val="bottom"/>
          </w:tcPr>
          <w:p>
            <w:pPr>
              <w:pStyle w:val="TableContents"/>
              <w:spacing w:before="0" w:after="0"/>
              <w:ind w:left="225" w:right="0" w:hanging="225"/>
              <w:rPr/>
            </w:pPr>
            <w:r>
              <w:rPr/>
              <w:t>Thomas C. Roberts</w:t>
            </w:r>
          </w:p>
        </w:tc>
        <w:tc>
          <w:tcPr>
            <w:tcW w:w="487" w:type="dxa"/>
            <w:tcBorders/>
            <w:shd w:fill="CCEEFF" w:val="clear"/>
            <w:vAlign w:val="bottom"/>
          </w:tcPr>
          <w:p>
            <w:pPr>
              <w:pStyle w:val="TableContents"/>
              <w:spacing w:before="0" w:after="283"/>
              <w:rPr/>
            </w:pPr>
            <w:r>
              <w:rPr/>
              <w:t> </w:t>
            </w:r>
          </w:p>
        </w:tc>
        <w:tc>
          <w:tcPr>
            <w:tcW w:w="1218" w:type="dxa"/>
            <w:tcBorders/>
            <w:shd w:fill="CCEEFF" w:val="clear"/>
          </w:tcPr>
          <w:p>
            <w:pPr>
              <w:pStyle w:val="TableContents"/>
              <w:spacing w:before="0" w:after="283"/>
              <w:jc w:val="left"/>
              <w:rPr/>
            </w:pPr>
            <w:r>
              <w:rPr/>
              <w:t>Independent</w:t>
            </w:r>
          </w:p>
        </w:tc>
      </w:tr>
      <w:tr>
        <w:trPr/>
        <w:tc>
          <w:tcPr>
            <w:tcW w:w="8500" w:type="dxa"/>
            <w:tcBorders/>
            <w:shd w:fill="auto" w:val="clear"/>
            <w:vAlign w:val="bottom"/>
          </w:tcPr>
          <w:p>
            <w:pPr>
              <w:pStyle w:val="TableContents"/>
              <w:spacing w:before="0" w:after="0"/>
              <w:ind w:left="225" w:right="0" w:hanging="225"/>
              <w:rPr/>
            </w:pPr>
            <w:r>
              <w:rPr/>
              <w:t>Richard D. Sage</w:t>
            </w:r>
          </w:p>
        </w:tc>
        <w:tc>
          <w:tcPr>
            <w:tcW w:w="487" w:type="dxa"/>
            <w:tcBorders/>
            <w:shd w:fill="auto" w:val="clear"/>
            <w:vAlign w:val="bottom"/>
          </w:tcPr>
          <w:p>
            <w:pPr>
              <w:pStyle w:val="TableContents"/>
              <w:spacing w:before="0" w:after="283"/>
              <w:rPr/>
            </w:pPr>
            <w:r>
              <w:rPr/>
              <w:t> </w:t>
            </w:r>
          </w:p>
        </w:tc>
        <w:tc>
          <w:tcPr>
            <w:tcW w:w="1218" w:type="dxa"/>
            <w:tcBorders/>
            <w:shd w:fill="auto" w:val="clear"/>
          </w:tcPr>
          <w:p>
            <w:pPr>
              <w:pStyle w:val="TableContents"/>
              <w:spacing w:before="0" w:after="283"/>
              <w:jc w:val="left"/>
              <w:rPr/>
            </w:pPr>
            <w:r>
              <w:rPr/>
              <w:t>Independent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Mr. Brinkley and Mr. Rothamel are executive officers and, therefore, are not independent in accordance with the standards set forth in the NASDAQ Listing Rules.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 xml:space="preserve">Mr. Matzner served as a director during all of fiscal 2010, but retired from the Board of Directors on October 26, 2010. Until February 2010, Mr. Matzner was associated with Akerman Senterfitt, one of the largest law firms in Florida. Under the terms of his relationship with Akerman Senterfitt, Mr. Matzner did not have an equity interest in the firm and was paid a fixed, guaranteed amount that was not dependent on client billings, business generation or firm profitability. From June 2008 through January 2010, we engaged Akerman Senterfitt to provide legal services in connection with several matters involving our operations in Florida. The aggregate fees we paid to Akerman Senterfitt were approximately $231,000, including approximately $24,000 during fiscal 2010. After considering all the surrounding facts and circumstances, the Board concluded that this relationship was not material and did not otherwise impair, or appear to impair, Mr. Matzners ability to make independent judgments and, therefore, did not prevent Mr. Matzner from being considered an independent director. In reaching that conclusion, the Board considered (1) the relatively small size of the amounts involved, (2) the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nature of Mr. Matzners relationship with Akerman Senterfitt, and (3) the fact that Mr. Matzner was not involved in providing any legal services to the company.</w:t>
            </w:r>
          </w:p>
        </w:tc>
      </w:tr>
    </w:tbl>
    <w:p>
      <w:pPr>
        <w:pStyle w:val="TextBody"/>
        <w:spacing w:before="120" w:after="283"/>
        <w:jc w:val="left"/>
        <w:rPr>
          <w:rFonts w:ascii="Times New Roman;Times;serif" w:hAnsi="Times New Roman;Times;serif"/>
          <w:sz w:val="17"/>
        </w:rPr>
      </w:pPr>
      <w:bookmarkStart w:id="30" w:name="122"/>
      <w:bookmarkEnd w:id="30"/>
      <w:r>
        <w:rPr>
          <w:rFonts w:ascii="Times New Roman;Times;serif" w:hAnsi="Times New Roman;Times;serif"/>
          <w:b/>
          <w:smallCaps/>
          <w:sz w:val="17"/>
        </w:rPr>
        <w:t>Item 14. Principal Accountant Fees and Services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BDO USA, LLP is a registered public accounting firm and has been our independent auditor since 2004. In addition to retaining BDO USA, LLP to audit our consolidated financial statements, we engage the firm from time to time to perform other services. The following table presents all fees we incurred in connection with professional services provided by BDO USA, LLP during each of the last two fiscal years: </w:t>
      </w:r>
    </w:p>
    <w:tbl>
      <w:tblPr>
        <w:tblW w:w="5000" w:type="pct"/>
        <w:jc w:val="center"/>
        <w:tblInd w:w="0" w:type="dxa"/>
        <w:tblCellMar>
          <w:top w:w="0" w:type="dxa"/>
          <w:left w:w="0" w:type="dxa"/>
          <w:bottom w:w="0" w:type="dxa"/>
          <w:right w:w="0" w:type="dxa"/>
        </w:tblCellMar>
      </w:tblPr>
      <w:tblGrid>
        <w:gridCol w:w="6388"/>
        <w:gridCol w:w="401"/>
        <w:gridCol w:w="211"/>
        <w:gridCol w:w="1161"/>
        <w:gridCol w:w="131"/>
        <w:gridCol w:w="420"/>
        <w:gridCol w:w="211"/>
        <w:gridCol w:w="1163"/>
        <w:gridCol w:w="119"/>
      </w:tblGrid>
      <w:tr>
        <w:trPr/>
        <w:tc>
          <w:tcPr>
            <w:tcW w:w="638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638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29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Years Ended September 30,</w:t>
            </w:r>
          </w:p>
        </w:tc>
        <w:tc>
          <w:tcPr>
            <w:tcW w:w="119" w:type="dxa"/>
            <w:tcBorders/>
            <w:shd w:fill="auto" w:val="clear"/>
            <w:vAlign w:val="bottom"/>
          </w:tcPr>
          <w:p>
            <w:pPr>
              <w:pStyle w:val="TableContents"/>
              <w:spacing w:before="0" w:after="283"/>
              <w:rPr/>
            </w:pPr>
            <w:r>
              <w:rPr/>
              <w:t> </w:t>
            </w:r>
          </w:p>
        </w:tc>
      </w:tr>
      <w:tr>
        <w:trPr/>
        <w:tc>
          <w:tcPr>
            <w:tcW w:w="638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3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3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119" w:type="dxa"/>
            <w:tcBorders/>
            <w:shd w:fill="auto" w:val="clear"/>
            <w:vAlign w:val="bottom"/>
          </w:tcPr>
          <w:p>
            <w:pPr>
              <w:pStyle w:val="TableContents"/>
              <w:spacing w:before="0" w:after="283"/>
              <w:rPr/>
            </w:pPr>
            <w:r>
              <w:rPr/>
              <w:t> </w:t>
            </w:r>
          </w:p>
        </w:tc>
      </w:tr>
      <w:tr>
        <w:trPr/>
        <w:tc>
          <w:tcPr>
            <w:tcW w:w="6388" w:type="dxa"/>
            <w:tcBorders/>
            <w:shd w:fill="CCEEFF" w:val="clear"/>
            <w:vAlign w:val="bottom"/>
          </w:tcPr>
          <w:p>
            <w:pPr>
              <w:pStyle w:val="TableContents"/>
              <w:spacing w:before="0" w:after="0"/>
              <w:ind w:left="225" w:right="0" w:hanging="225"/>
              <w:rPr/>
            </w:pPr>
            <w:r>
              <w:rPr/>
              <w:t>Audit fees:</w:t>
            </w:r>
          </w:p>
        </w:tc>
        <w:tc>
          <w:tcPr>
            <w:tcW w:w="401"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6388" w:type="dxa"/>
            <w:tcBorders/>
            <w:shd w:fill="auto" w:val="clear"/>
            <w:vAlign w:val="bottom"/>
          </w:tcPr>
          <w:p>
            <w:pPr>
              <w:pStyle w:val="TableContents"/>
              <w:spacing w:before="0" w:after="0"/>
              <w:ind w:left="450" w:right="0" w:hanging="225"/>
              <w:rPr/>
            </w:pPr>
            <w:r>
              <w:rPr/>
              <w:t>Audit of financial statements and audit pursuant to section 404 of the Sarbanes-Oxley Act</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492,417</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3" w:type="dxa"/>
            <w:tcBorders/>
            <w:shd w:fill="auto" w:val="clear"/>
            <w:vAlign w:val="bottom"/>
          </w:tcPr>
          <w:p>
            <w:pPr>
              <w:pStyle w:val="TableContents"/>
              <w:spacing w:before="0" w:after="283"/>
              <w:jc w:val="right"/>
              <w:rPr/>
            </w:pPr>
            <w:r>
              <w:rPr/>
              <w:t>493,524</w:t>
            </w:r>
          </w:p>
        </w:tc>
        <w:tc>
          <w:tcPr>
            <w:tcW w:w="119" w:type="dxa"/>
            <w:tcBorders/>
            <w:shd w:fill="auto" w:val="clear"/>
            <w:vAlign w:val="bottom"/>
          </w:tcPr>
          <w:p>
            <w:pPr>
              <w:pStyle w:val="TableContents"/>
              <w:spacing w:before="0" w:after="283"/>
              <w:rPr/>
            </w:pPr>
            <w:r>
              <w:rPr/>
              <w:t> </w:t>
            </w:r>
          </w:p>
        </w:tc>
      </w:tr>
      <w:tr>
        <w:trPr/>
        <w:tc>
          <w:tcPr>
            <w:tcW w:w="6388" w:type="dxa"/>
            <w:tcBorders/>
            <w:shd w:fill="CCEEFF" w:val="clear"/>
            <w:vAlign w:val="bottom"/>
          </w:tcPr>
          <w:p>
            <w:pPr>
              <w:pStyle w:val="TableContents"/>
              <w:spacing w:before="0" w:after="0"/>
              <w:ind w:left="450" w:right="0" w:hanging="225"/>
              <w:rPr/>
            </w:pPr>
            <w:r>
              <w:rPr/>
              <w:t>Quarterly reviews and other audit fees</w:t>
            </w:r>
          </w:p>
        </w:tc>
        <w:tc>
          <w:tcPr>
            <w:tcW w:w="401"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68,309</w:t>
            </w:r>
          </w:p>
        </w:tc>
        <w:tc>
          <w:tcPr>
            <w:tcW w:w="131"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198,040</w:t>
            </w:r>
          </w:p>
        </w:tc>
        <w:tc>
          <w:tcPr>
            <w:tcW w:w="119" w:type="dxa"/>
            <w:tcBorders/>
            <w:shd w:fill="CCEEFF" w:val="clear"/>
            <w:vAlign w:val="bottom"/>
          </w:tcPr>
          <w:p>
            <w:pPr>
              <w:pStyle w:val="TableContents"/>
              <w:spacing w:before="0" w:after="283"/>
              <w:rPr/>
            </w:pPr>
            <w:r>
              <w:rPr/>
              <w:t> </w:t>
            </w:r>
          </w:p>
        </w:tc>
      </w:tr>
      <w:tr>
        <w:trPr/>
        <w:tc>
          <w:tcPr>
            <w:tcW w:w="6388"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6388" w:type="dxa"/>
            <w:tcBorders/>
            <w:shd w:fill="auto" w:val="clear"/>
            <w:vAlign w:val="bottom"/>
          </w:tcPr>
          <w:p>
            <w:pPr>
              <w:pStyle w:val="TableContents"/>
              <w:spacing w:before="0" w:after="0"/>
              <w:ind w:left="225" w:right="0" w:hanging="225"/>
              <w:rPr/>
            </w:pPr>
            <w:r>
              <w:rPr/>
              <w:t>Total audit fees</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560,726</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691,564</w:t>
            </w:r>
          </w:p>
        </w:tc>
        <w:tc>
          <w:tcPr>
            <w:tcW w:w="119" w:type="dxa"/>
            <w:tcBorders/>
            <w:shd w:fill="auto" w:val="clear"/>
            <w:vAlign w:val="bottom"/>
          </w:tcPr>
          <w:p>
            <w:pPr>
              <w:pStyle w:val="TableContents"/>
              <w:spacing w:before="0" w:after="283"/>
              <w:rPr/>
            </w:pPr>
            <w:r>
              <w:rPr/>
              <w:t> </w:t>
            </w:r>
          </w:p>
        </w:tc>
      </w:tr>
      <w:tr>
        <w:trPr/>
        <w:tc>
          <w:tcPr>
            <w:tcW w:w="6388" w:type="dxa"/>
            <w:tcBorders/>
            <w:shd w:fill="auto" w:val="clear"/>
            <w:vAlign w:val="bottom"/>
          </w:tcPr>
          <w:p>
            <w:pPr>
              <w:pStyle w:val="TableContents"/>
              <w:spacing w:before="0" w:after="0"/>
              <w:ind w:left="225" w:right="0" w:hanging="225"/>
              <w:rPr/>
            </w:pPr>
            <w:r>
              <w:rPr/>
              <w:t> </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6388" w:type="dxa"/>
            <w:tcBorders/>
            <w:shd w:fill="CCEEFF" w:val="clear"/>
            <w:vAlign w:val="bottom"/>
          </w:tcPr>
          <w:p>
            <w:pPr>
              <w:pStyle w:val="TableContents"/>
              <w:spacing w:before="0" w:after="0"/>
              <w:ind w:left="225" w:right="0" w:hanging="225"/>
              <w:rPr/>
            </w:pPr>
            <w:r>
              <w:rPr/>
              <w:t>Audit related fees (a)</w:t>
            </w:r>
          </w:p>
        </w:tc>
        <w:tc>
          <w:tcPr>
            <w:tcW w:w="401"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21,862</w:t>
            </w:r>
          </w:p>
        </w:tc>
        <w:tc>
          <w:tcPr>
            <w:tcW w:w="131"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21,803</w:t>
            </w:r>
          </w:p>
        </w:tc>
        <w:tc>
          <w:tcPr>
            <w:tcW w:w="119" w:type="dxa"/>
            <w:tcBorders/>
            <w:shd w:fill="CCEEFF" w:val="clear"/>
            <w:vAlign w:val="bottom"/>
          </w:tcPr>
          <w:p>
            <w:pPr>
              <w:pStyle w:val="TableContents"/>
              <w:spacing w:before="0" w:after="283"/>
              <w:rPr/>
            </w:pPr>
            <w:r>
              <w:rPr/>
              <w:t> </w:t>
            </w:r>
          </w:p>
        </w:tc>
      </w:tr>
      <w:tr>
        <w:trPr/>
        <w:tc>
          <w:tcPr>
            <w:tcW w:w="6388"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6388" w:type="dxa"/>
            <w:tcBorders/>
            <w:shd w:fill="auto" w:val="clear"/>
            <w:vAlign w:val="bottom"/>
          </w:tcPr>
          <w:p>
            <w:pPr>
              <w:pStyle w:val="TableContents"/>
              <w:spacing w:before="0" w:after="0"/>
              <w:ind w:left="450" w:right="0" w:hanging="225"/>
              <w:rPr/>
            </w:pPr>
            <w:r>
              <w:rPr/>
              <w:t>Total fees for services</w:t>
            </w:r>
          </w:p>
        </w:tc>
        <w:tc>
          <w:tcPr>
            <w:tcW w:w="40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582,588</w:t>
            </w:r>
          </w:p>
        </w:tc>
        <w:tc>
          <w:tcPr>
            <w:tcW w:w="13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3" w:type="dxa"/>
            <w:tcBorders/>
            <w:shd w:fill="auto" w:val="clear"/>
            <w:vAlign w:val="bottom"/>
          </w:tcPr>
          <w:p>
            <w:pPr>
              <w:pStyle w:val="TableContents"/>
              <w:spacing w:before="0" w:after="283"/>
              <w:jc w:val="right"/>
              <w:rPr/>
            </w:pPr>
            <w:r>
              <w:rPr/>
              <w:t>713,367</w:t>
            </w:r>
          </w:p>
        </w:tc>
        <w:tc>
          <w:tcPr>
            <w:tcW w:w="119" w:type="dxa"/>
            <w:tcBorders/>
            <w:shd w:fill="auto" w:val="clear"/>
            <w:vAlign w:val="bottom"/>
          </w:tcPr>
          <w:p>
            <w:pPr>
              <w:pStyle w:val="TableContents"/>
              <w:spacing w:before="0" w:after="283"/>
              <w:rPr/>
            </w:pPr>
            <w:r>
              <w:rPr/>
              <w:t> </w:t>
            </w:r>
          </w:p>
        </w:tc>
      </w:tr>
      <w:tr>
        <w:trPr/>
        <w:tc>
          <w:tcPr>
            <w:tcW w:w="6388" w:type="dxa"/>
            <w:tcBorders/>
            <w:shd w:fill="auto" w:val="clear"/>
            <w:vAlign w:val="center"/>
          </w:tcPr>
          <w:p>
            <w:pPr>
              <w:pStyle w:val="TableContents"/>
              <w:spacing w:before="0" w:after="0"/>
              <w:ind w:left="225" w:right="0" w:hanging="225"/>
              <w:rPr/>
            </w:pPr>
            <w:r>
              <w:rPr/>
              <w:t> </w:t>
            </w:r>
          </w:p>
        </w:tc>
        <w:tc>
          <w:tcPr>
            <w:tcW w:w="401" w:type="dxa"/>
            <w:tcBorders/>
            <w:shd w:fill="auto" w:val="clear"/>
            <w:vAlign w:val="center"/>
          </w:tcPr>
          <w:p>
            <w:pPr>
              <w:pStyle w:val="TableContents"/>
              <w:spacing w:before="0" w:after="283"/>
              <w:rPr/>
            </w:pPr>
            <w:r>
              <w:rPr/>
              <w:t> </w:t>
            </w:r>
          </w:p>
        </w:tc>
        <w:tc>
          <w:tcPr>
            <w:tcW w:w="13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Audit related fees consist of fees for registration statements and the audit of our 401(k) retirement savings plan.</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amounts shown for fiscal 2010 include our estimated costs for the fiscal 2010 integrated audit, for which we have not yet received final billings. Included in the amounts for fiscal 2010 above is a $2,583 reduction of fees related to the fiscal 2009 integrated audit, as our previously estimated costs exceeded total billings.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Audit Committee of our Board of Directors has adopted a policy requiring its pre-approval of all fees to be paid to our independent audit firm, regardless of the type of service. All non-audit services were reviewed with the Audit Committee, which concluded that the provision of such services by BDO USA, LLP was compatible with the maintenance of that firms independence in the conduct of its auditing functions. </w:t>
      </w:r>
    </w:p>
    <w:p>
      <w:pPr>
        <w:pStyle w:val="TextBody"/>
        <w:jc w:val="center"/>
        <w:rPr>
          <w:rFonts w:ascii="Times New Roman;Times;serif" w:hAnsi="Times New Roman;Times;serif"/>
          <w:sz w:val="17"/>
        </w:rPr>
      </w:pPr>
      <w:r>
        <w:rPr>
          <w:rFonts w:ascii="Times New Roman;Times;serif" w:hAnsi="Times New Roman;Times;serif"/>
          <w:sz w:val="17"/>
        </w:rPr>
        <w:t xml:space="preserve">113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1" w:name="123"/>
      <w:bookmarkEnd w:id="31"/>
      <w:r>
        <w:rPr>
          <w:rFonts w:ascii="Times New Roman;Times;serif" w:hAnsi="Times New Roman;Times;serif"/>
          <w:b/>
          <w:sz w:val="17"/>
        </w:rPr>
        <w:t>PART IV</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32" w:name="124"/>
      <w:bookmarkEnd w:id="32"/>
      <w:r>
        <w:rPr>
          <w:rFonts w:ascii="Times New Roman;Times;serif" w:hAnsi="Times New Roman;Times;serif"/>
          <w:b/>
          <w:smallCaps/>
          <w:sz w:val="17"/>
        </w:rPr>
        <w:t>Item 15. Exhibits and Financial Statement Schedules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(a)(1) Financial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consolidated financial statements of EZCORP, Inc. are included in Part II, Item 8  Financial Statements and Supplementary Data: </w:t>
      </w:r>
    </w:p>
    <w:tbl>
      <w:tblPr>
        <w:tblW w:w="5000" w:type="pct"/>
        <w:jc w:val="left"/>
        <w:tblInd w:w="0" w:type="dxa"/>
        <w:tblCellMar>
          <w:top w:w="0" w:type="dxa"/>
          <w:left w:w="0" w:type="dxa"/>
          <w:bottom w:w="0" w:type="dxa"/>
          <w:right w:w="0" w:type="dxa"/>
        </w:tblCellMar>
      </w:tblPr>
      <w:tblGrid>
        <w:gridCol w:w="209"/>
        <w:gridCol w:w="103"/>
        <w:gridCol w:w="9893"/>
      </w:tblGrid>
      <w:tr>
        <w:trPr/>
        <w:tc>
          <w:tcPr>
            <w:tcW w:w="209"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t>Report of Independent Registered Public Accounting Firm</w:t>
            </w:r>
          </w:p>
        </w:tc>
      </w:tr>
      <w:tr>
        <w:trPr/>
        <w:tc>
          <w:tcPr>
            <w:tcW w:w="209" w:type="dxa"/>
            <w:tcBorders/>
            <w:shd w:fill="auto" w:val="clear"/>
            <w:vAlign w:val="center"/>
          </w:tcPr>
          <w:p>
            <w:pPr>
              <w:pStyle w:val="TableContents"/>
              <w:spacing w:before="0" w:after="283"/>
              <w:rPr/>
            </w:pPr>
            <w:r>
              <w:rPr/>
              <w:t> </w:t>
            </w:r>
          </w:p>
        </w:tc>
        <w:tc>
          <w:tcPr>
            <w:tcW w:w="9996" w:type="dxa"/>
            <w:gridSpan w:val="2"/>
            <w:tcBorders/>
            <w:shd w:fill="auto" w:val="clea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t>Consolidated Balance Sheets as of September 30, 2010 and 2009</w:t>
            </w:r>
          </w:p>
        </w:tc>
      </w:tr>
      <w:tr>
        <w:trPr/>
        <w:tc>
          <w:tcPr>
            <w:tcW w:w="209" w:type="dxa"/>
            <w:tcBorders/>
            <w:shd w:fill="auto" w:val="clear"/>
            <w:vAlign w:val="center"/>
          </w:tcPr>
          <w:p>
            <w:pPr>
              <w:pStyle w:val="TableContents"/>
              <w:spacing w:before="0" w:after="283"/>
              <w:rPr/>
            </w:pPr>
            <w:r>
              <w:rPr/>
              <w:t> </w:t>
            </w:r>
          </w:p>
        </w:tc>
        <w:tc>
          <w:tcPr>
            <w:tcW w:w="9996" w:type="dxa"/>
            <w:gridSpan w:val="2"/>
            <w:tcBorders/>
            <w:shd w:fill="auto" w:val="clea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t>Consolidated Statements of Operations for each of the three years in the period ended September 30, 2010</w:t>
            </w:r>
          </w:p>
        </w:tc>
      </w:tr>
      <w:tr>
        <w:trPr/>
        <w:tc>
          <w:tcPr>
            <w:tcW w:w="209" w:type="dxa"/>
            <w:tcBorders/>
            <w:shd w:fill="auto" w:val="clear"/>
            <w:vAlign w:val="center"/>
          </w:tcPr>
          <w:p>
            <w:pPr>
              <w:pStyle w:val="TableContents"/>
              <w:spacing w:before="0" w:after="283"/>
              <w:rPr/>
            </w:pPr>
            <w:r>
              <w:rPr/>
              <w:t> </w:t>
            </w:r>
          </w:p>
        </w:tc>
        <w:tc>
          <w:tcPr>
            <w:tcW w:w="9996" w:type="dxa"/>
            <w:gridSpan w:val="2"/>
            <w:tcBorders/>
            <w:shd w:fill="auto" w:val="clea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t>Consolidated Statements of Cash Flows for each of the three years in the period ended September 30, 2010</w:t>
            </w:r>
          </w:p>
        </w:tc>
      </w:tr>
      <w:tr>
        <w:trPr/>
        <w:tc>
          <w:tcPr>
            <w:tcW w:w="209" w:type="dxa"/>
            <w:tcBorders/>
            <w:shd w:fill="auto" w:val="clear"/>
            <w:vAlign w:val="center"/>
          </w:tcPr>
          <w:p>
            <w:pPr>
              <w:pStyle w:val="TableContents"/>
              <w:spacing w:before="0" w:after="283"/>
              <w:rPr/>
            </w:pPr>
            <w:r>
              <w:rPr/>
              <w:t> </w:t>
            </w:r>
          </w:p>
        </w:tc>
        <w:tc>
          <w:tcPr>
            <w:tcW w:w="9996" w:type="dxa"/>
            <w:gridSpan w:val="2"/>
            <w:tcBorders/>
            <w:shd w:fill="auto" w:val="clea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t>Consolidated Statements of Stockholders Equity for each of the three years in the period ended September 30, 2010</w:t>
            </w:r>
          </w:p>
        </w:tc>
      </w:tr>
      <w:tr>
        <w:trPr/>
        <w:tc>
          <w:tcPr>
            <w:tcW w:w="209" w:type="dxa"/>
            <w:tcBorders/>
            <w:shd w:fill="auto" w:val="clear"/>
            <w:vAlign w:val="center"/>
          </w:tcPr>
          <w:p>
            <w:pPr>
              <w:pStyle w:val="TableContents"/>
              <w:spacing w:before="0" w:after="283"/>
              <w:rPr/>
            </w:pPr>
            <w:r>
              <w:rPr/>
              <w:t> </w:t>
            </w:r>
          </w:p>
        </w:tc>
        <w:tc>
          <w:tcPr>
            <w:tcW w:w="9996" w:type="dxa"/>
            <w:gridSpan w:val="2"/>
            <w:tcBorders/>
            <w:shd w:fill="auto" w:val="clea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t>Notes to Consolidated Financial Statements.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(a)(2) Financial Statement Schedule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Schedule II  Valuation Accounts is included below. All other schedules for which provision is made in the applicable accounting regulation of the Securities and Exchange Commission are not required under the related instructions or are inapplicable, and therefore, have been omitted. </w:t>
      </w:r>
    </w:p>
    <w:p>
      <w:pPr>
        <w:pStyle w:val="TextBody"/>
        <w:jc w:val="center"/>
        <w:rPr>
          <w:rFonts w:ascii="Times New Roman;Times;serif" w:hAnsi="Times New Roman;Times;serif"/>
          <w:sz w:val="17"/>
        </w:rPr>
      </w:pPr>
      <w:r>
        <w:rPr>
          <w:rFonts w:ascii="Times New Roman;Times;serif" w:hAnsi="Times New Roman;Times;serif"/>
          <w:sz w:val="17"/>
        </w:rPr>
        <w:t xml:space="preserve">114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Schedule II  Valuation Accounts</w:t>
      </w:r>
      <w:r>
        <w:rPr>
          <w:rFonts w:ascii="Times New Roman;Times;serif" w:hAnsi="Times New Roman;Times;serif"/>
          <w:sz w:val="17"/>
        </w:rPr>
        <w:br/>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32"/>
        <w:gridCol w:w="211"/>
        <w:gridCol w:w="220"/>
        <w:gridCol w:w="913"/>
        <w:gridCol w:w="87"/>
        <w:gridCol w:w="211"/>
        <w:gridCol w:w="231"/>
        <w:gridCol w:w="958"/>
        <w:gridCol w:w="87"/>
        <w:gridCol w:w="211"/>
        <w:gridCol w:w="478"/>
        <w:gridCol w:w="796"/>
        <w:gridCol w:w="87"/>
        <w:gridCol w:w="211"/>
        <w:gridCol w:w="237"/>
        <w:gridCol w:w="980"/>
        <w:gridCol w:w="87"/>
        <w:gridCol w:w="211"/>
        <w:gridCol w:w="305"/>
        <w:gridCol w:w="1251"/>
        <w:gridCol w:w="101"/>
      </w:tblGrid>
      <w:tr>
        <w:trPr/>
        <w:tc>
          <w:tcPr>
            <w:tcW w:w="233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761" w:type="dxa"/>
            <w:gridSpan w:val="6"/>
            <w:tcBorders>
              <w:bottom w:val="single" w:sz="2" w:space="0" w:color="000000"/>
            </w:tcBorders>
            <w:shd w:fill="auto" w:val="clear"/>
            <w:tcMar>
              <w:bottom w:w="28" w:type="dxa"/>
            </w:tcMar>
            <w:vAlign w:val="bottom"/>
          </w:tcPr>
          <w:p>
            <w:pPr>
              <w:pStyle w:val="TableContents"/>
              <w:spacing w:before="0" w:after="283"/>
              <w:jc w:val="center"/>
              <w:rPr>
                <w:smallCaps/>
              </w:rPr>
            </w:pPr>
            <w:r>
              <w:rPr>
                <w:smallCaps/>
              </w:rPr>
              <w:t>Additions</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6"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pPr>
            <w:r>
              <w:rPr/>
              <w:t>Balance at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6"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pPr>
            <w:r>
              <w:rPr/>
              <w:t>Beginning</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89" w:type="dxa"/>
            <w:gridSpan w:val="2"/>
            <w:tcBorders/>
            <w:shd w:fill="auto" w:val="clear"/>
            <w:vAlign w:val="bottom"/>
          </w:tcPr>
          <w:p>
            <w:pPr>
              <w:pStyle w:val="TableContents"/>
              <w:spacing w:before="0" w:after="283"/>
              <w:jc w:val="center"/>
              <w:rPr/>
            </w:pPr>
            <w:r>
              <w:rPr/>
              <w:t>Charged to</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74" w:type="dxa"/>
            <w:gridSpan w:val="2"/>
            <w:tcBorders/>
            <w:shd w:fill="auto" w:val="clear"/>
            <w:vAlign w:val="bottom"/>
          </w:tcPr>
          <w:p>
            <w:pPr>
              <w:pStyle w:val="TableContents"/>
              <w:spacing w:before="0" w:after="283"/>
              <w:jc w:val="center"/>
              <w:rPr/>
            </w:pPr>
            <w:r>
              <w:rPr/>
              <w:t>Charged to</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6" w:type="dxa"/>
            <w:gridSpan w:val="2"/>
            <w:tcBorders/>
            <w:shd w:fill="auto" w:val="clear"/>
            <w:vAlign w:val="bottom"/>
          </w:tcPr>
          <w:p>
            <w:pPr>
              <w:pStyle w:val="TableContents"/>
              <w:spacing w:before="0" w:after="283"/>
              <w:jc w:val="center"/>
              <w:rPr/>
            </w:pPr>
            <w:r>
              <w:rPr/>
              <w:t>Balance at End</w:t>
            </w:r>
          </w:p>
        </w:tc>
        <w:tc>
          <w:tcPr>
            <w:tcW w:w="101" w:type="dxa"/>
            <w:tcBorders/>
            <w:shd w:fill="auto" w:val="clear"/>
            <w:vAlign w:val="bottom"/>
          </w:tcPr>
          <w:p>
            <w:pPr>
              <w:pStyle w:val="TableContents"/>
              <w:spacing w:before="0" w:after="283"/>
              <w:rPr/>
            </w:pPr>
            <w:r>
              <w:rPr/>
              <w:t> </w:t>
            </w:r>
          </w:p>
        </w:tc>
      </w:tr>
      <w:tr>
        <w:trPr/>
        <w:tc>
          <w:tcPr>
            <w:tcW w:w="2332"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c>
          <w:tcPr>
            <w:tcW w:w="211" w:type="dxa"/>
            <w:tcBorders/>
            <w:shd w:fill="auto" w:val="clear"/>
            <w:vAlign w:val="bottom"/>
          </w:tcPr>
          <w:p>
            <w:pPr>
              <w:pStyle w:val="TableContents"/>
              <w:spacing w:before="0" w:after="283"/>
              <w:rPr/>
            </w:pPr>
            <w:r>
              <w:rPr/>
              <w:t> </w:t>
            </w:r>
          </w:p>
        </w:tc>
        <w:tc>
          <w:tcPr>
            <w:tcW w:w="1133"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89" w:type="dxa"/>
            <w:gridSpan w:val="2"/>
            <w:tcBorders>
              <w:bottom w:val="single" w:sz="2" w:space="0" w:color="000000"/>
            </w:tcBorders>
            <w:shd w:fill="auto" w:val="clear"/>
            <w:tcMar>
              <w:bottom w:w="28" w:type="dxa"/>
            </w:tcMar>
            <w:vAlign w:val="bottom"/>
          </w:tcPr>
          <w:p>
            <w:pPr>
              <w:pStyle w:val="TableContents"/>
              <w:spacing w:before="0" w:after="283"/>
              <w:jc w:val="center"/>
              <w:rPr/>
            </w:pPr>
            <w:r>
              <w:rPr/>
              <w:t>Expense</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74"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 Accts</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17" w:type="dxa"/>
            <w:gridSpan w:val="2"/>
            <w:tcBorders>
              <w:bottom w:val="single" w:sz="2" w:space="0" w:color="000000"/>
            </w:tcBorders>
            <w:shd w:fill="auto" w:val="clear"/>
            <w:tcMar>
              <w:bottom w:w="28" w:type="dxa"/>
            </w:tcMar>
            <w:vAlign w:val="bottom"/>
          </w:tcPr>
          <w:p>
            <w:pPr>
              <w:pStyle w:val="TableContents"/>
              <w:spacing w:before="0" w:after="283"/>
              <w:jc w:val="center"/>
              <w:rPr/>
            </w:pPr>
            <w:r>
              <w:rPr/>
              <w:t>Deductions</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6"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101" w:type="dxa"/>
            <w:tcBorders/>
            <w:shd w:fill="auto" w:val="clear"/>
            <w:vAlign w:val="bottom"/>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225" w:right="0" w:hanging="225"/>
              <w:rPr/>
            </w:pPr>
            <w:r>
              <w:rPr/>
              <w:t>Allowance for valuation of inventory:</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rPr/>
            </w:pPr>
            <w:r>
              <w:rPr/>
              <w:t> </w:t>
            </w:r>
          </w:p>
        </w:tc>
        <w:tc>
          <w:tcPr>
            <w:tcW w:w="79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bottom"/>
          </w:tcPr>
          <w:p>
            <w:pPr>
              <w:pStyle w:val="TableContents"/>
              <w:spacing w:before="0" w:after="0"/>
              <w:ind w:left="450" w:right="0" w:hanging="225"/>
              <w:rPr/>
            </w:pPr>
            <w:r>
              <w:rPr/>
              <w:t>Year ended September 30, 2010</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5,719</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left"/>
              <w:rPr/>
            </w:pPr>
            <w:r>
              <w:rPr/>
              <w:t>$</w:t>
            </w:r>
          </w:p>
        </w:tc>
        <w:tc>
          <w:tcPr>
            <w:tcW w:w="79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10</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w:t>
            </w:r>
          </w:p>
        </w:tc>
        <w:tc>
          <w:tcPr>
            <w:tcW w:w="1251" w:type="dxa"/>
            <w:tcBorders/>
            <w:shd w:fill="auto" w:val="clear"/>
            <w:vAlign w:val="bottom"/>
          </w:tcPr>
          <w:p>
            <w:pPr>
              <w:pStyle w:val="TableContents"/>
              <w:spacing w:before="0" w:after="283"/>
              <w:jc w:val="right"/>
              <w:rPr/>
            </w:pPr>
            <w:r>
              <w:rPr/>
              <w:t>5,709</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450" w:right="0" w:hanging="225"/>
              <w:rPr/>
            </w:pPr>
            <w:r>
              <w:rPr/>
              <w:t>Year ended September 30, 2009</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913" w:type="dxa"/>
            <w:tcBorders/>
            <w:shd w:fill="CCEEFF" w:val="clear"/>
            <w:vAlign w:val="bottom"/>
          </w:tcPr>
          <w:p>
            <w:pPr>
              <w:pStyle w:val="TableContents"/>
              <w:spacing w:before="0" w:after="283"/>
              <w:jc w:val="right"/>
              <w:rPr/>
            </w:pPr>
            <w:r>
              <w:rPr/>
              <w:t>4,028</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958" w:type="dxa"/>
            <w:tcBorders/>
            <w:shd w:fill="CCEEFF" w:val="clear"/>
            <w:vAlign w:val="bottom"/>
          </w:tcPr>
          <w:p>
            <w:pPr>
              <w:pStyle w:val="TableContents"/>
              <w:spacing w:before="0" w:after="283"/>
              <w:jc w:val="right"/>
              <w:rPr/>
            </w:pPr>
            <w:r>
              <w:rPr/>
              <w:t>1,691</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jc w:val="left"/>
              <w:rPr/>
            </w:pPr>
            <w:r>
              <w:rPr/>
              <w:t>$</w:t>
            </w:r>
          </w:p>
        </w:tc>
        <w:tc>
          <w:tcPr>
            <w:tcW w:w="79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left"/>
              <w:rPr/>
            </w:pPr>
            <w:r>
              <w:rPr/>
              <w:t>$</w:t>
            </w:r>
          </w:p>
        </w:tc>
        <w:tc>
          <w:tcPr>
            <w:tcW w:w="1251" w:type="dxa"/>
            <w:tcBorders/>
            <w:shd w:fill="CCEEFF" w:val="clear"/>
            <w:vAlign w:val="bottom"/>
          </w:tcPr>
          <w:p>
            <w:pPr>
              <w:pStyle w:val="TableContents"/>
              <w:spacing w:before="0" w:after="283"/>
              <w:jc w:val="right"/>
              <w:rPr/>
            </w:pPr>
            <w:r>
              <w:rPr/>
              <w:t>5,719</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auto" w:val="clear"/>
            <w:vAlign w:val="bottom"/>
          </w:tcPr>
          <w:p>
            <w:pPr>
              <w:pStyle w:val="TableContents"/>
              <w:spacing w:before="0" w:after="0"/>
              <w:ind w:left="450" w:right="0" w:hanging="225"/>
              <w:rPr/>
            </w:pPr>
            <w:r>
              <w:rPr/>
              <w:t>Year ended September 30, 2008</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3,755</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273</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left"/>
              <w:rPr/>
            </w:pPr>
            <w:r>
              <w:rPr/>
              <w:t>$</w:t>
            </w:r>
          </w:p>
        </w:tc>
        <w:tc>
          <w:tcPr>
            <w:tcW w:w="79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w:t>
            </w:r>
          </w:p>
        </w:tc>
        <w:tc>
          <w:tcPr>
            <w:tcW w:w="1251" w:type="dxa"/>
            <w:tcBorders/>
            <w:shd w:fill="auto" w:val="clear"/>
            <w:vAlign w:val="bottom"/>
          </w:tcPr>
          <w:p>
            <w:pPr>
              <w:pStyle w:val="TableContents"/>
              <w:spacing w:before="0" w:after="283"/>
              <w:jc w:val="right"/>
              <w:rPr/>
            </w:pPr>
            <w:r>
              <w:rPr/>
              <w:t>4,028</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auto" w:val="clear"/>
            <w:vAlign w:val="bottom"/>
          </w:tcPr>
          <w:p>
            <w:pPr>
              <w:pStyle w:val="TableContents"/>
              <w:spacing w:before="0" w:after="0"/>
              <w:ind w:left="225" w:right="0" w:hanging="225"/>
              <w:rPr/>
            </w:pPr>
            <w:r>
              <w:rPr/>
              <w:t> </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225" w:right="0" w:hanging="225"/>
              <w:rPr/>
            </w:pPr>
            <w:r>
              <w:rPr/>
              <w:t>Allowance for uncollectible pawn service charges receivable:</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rPr/>
            </w:pPr>
            <w:r>
              <w:rPr/>
              <w:t> </w:t>
            </w:r>
          </w:p>
        </w:tc>
        <w:tc>
          <w:tcPr>
            <w:tcW w:w="79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bottom"/>
          </w:tcPr>
          <w:p>
            <w:pPr>
              <w:pStyle w:val="TableContents"/>
              <w:spacing w:before="0" w:after="0"/>
              <w:ind w:left="450" w:right="0" w:hanging="225"/>
              <w:rPr/>
            </w:pPr>
            <w:r>
              <w:rPr/>
              <w:t>Year ended September 30, 2010</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8,521</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1,421</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left"/>
              <w:rPr/>
            </w:pPr>
            <w:r>
              <w:rPr/>
              <w:t>$</w:t>
            </w:r>
          </w:p>
        </w:tc>
        <w:tc>
          <w:tcPr>
            <w:tcW w:w="79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w:t>
            </w:r>
          </w:p>
        </w:tc>
        <w:tc>
          <w:tcPr>
            <w:tcW w:w="1251" w:type="dxa"/>
            <w:tcBorders/>
            <w:shd w:fill="auto" w:val="clear"/>
            <w:vAlign w:val="bottom"/>
          </w:tcPr>
          <w:p>
            <w:pPr>
              <w:pStyle w:val="TableContents"/>
              <w:spacing w:before="0" w:after="283"/>
              <w:jc w:val="right"/>
              <w:rPr/>
            </w:pPr>
            <w:r>
              <w:rPr/>
              <w:t>9,942</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450" w:right="0" w:hanging="225"/>
              <w:rPr/>
            </w:pPr>
            <w:r>
              <w:rPr/>
              <w:t>Year ended September 30, 2009</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913" w:type="dxa"/>
            <w:tcBorders/>
            <w:shd w:fill="CCEEFF" w:val="clear"/>
            <w:vAlign w:val="bottom"/>
          </w:tcPr>
          <w:p>
            <w:pPr>
              <w:pStyle w:val="TableContents"/>
              <w:spacing w:before="0" w:after="283"/>
              <w:jc w:val="right"/>
              <w:rPr/>
            </w:pPr>
            <w:r>
              <w:rPr/>
              <w:t>5,315</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958" w:type="dxa"/>
            <w:tcBorders/>
            <w:shd w:fill="CCEEFF" w:val="clear"/>
            <w:vAlign w:val="bottom"/>
          </w:tcPr>
          <w:p>
            <w:pPr>
              <w:pStyle w:val="TableContents"/>
              <w:spacing w:before="0" w:after="283"/>
              <w:jc w:val="right"/>
              <w:rPr/>
            </w:pPr>
            <w:r>
              <w:rPr/>
              <w:t>3,206</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jc w:val="left"/>
              <w:rPr/>
            </w:pPr>
            <w:r>
              <w:rPr/>
              <w:t>$</w:t>
            </w:r>
          </w:p>
        </w:tc>
        <w:tc>
          <w:tcPr>
            <w:tcW w:w="79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left"/>
              <w:rPr/>
            </w:pPr>
            <w:r>
              <w:rPr/>
              <w:t>$</w:t>
            </w:r>
          </w:p>
        </w:tc>
        <w:tc>
          <w:tcPr>
            <w:tcW w:w="1251" w:type="dxa"/>
            <w:tcBorders/>
            <w:shd w:fill="CCEEFF" w:val="clear"/>
            <w:vAlign w:val="bottom"/>
          </w:tcPr>
          <w:p>
            <w:pPr>
              <w:pStyle w:val="TableContents"/>
              <w:spacing w:before="0" w:after="283"/>
              <w:jc w:val="right"/>
              <w:rPr/>
            </w:pPr>
            <w:r>
              <w:rPr/>
              <w:t>8,521</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auto" w:val="clear"/>
            <w:vAlign w:val="bottom"/>
          </w:tcPr>
          <w:p>
            <w:pPr>
              <w:pStyle w:val="TableContents"/>
              <w:spacing w:before="0" w:after="0"/>
              <w:ind w:left="450" w:right="0" w:hanging="225"/>
              <w:rPr/>
            </w:pPr>
            <w:r>
              <w:rPr/>
              <w:t>Year ended September 30, 2008</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4,847</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468</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left"/>
              <w:rPr/>
            </w:pPr>
            <w:r>
              <w:rPr/>
              <w:t>$</w:t>
            </w:r>
          </w:p>
        </w:tc>
        <w:tc>
          <w:tcPr>
            <w:tcW w:w="79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w:t>
            </w:r>
          </w:p>
        </w:tc>
        <w:tc>
          <w:tcPr>
            <w:tcW w:w="1251" w:type="dxa"/>
            <w:tcBorders/>
            <w:shd w:fill="auto" w:val="clear"/>
            <w:vAlign w:val="bottom"/>
          </w:tcPr>
          <w:p>
            <w:pPr>
              <w:pStyle w:val="TableContents"/>
              <w:spacing w:before="0" w:after="283"/>
              <w:jc w:val="right"/>
              <w:rPr/>
            </w:pPr>
            <w:r>
              <w:rPr/>
              <w:t>5,315</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auto" w:val="clear"/>
            <w:vAlign w:val="bottom"/>
          </w:tcPr>
          <w:p>
            <w:pPr>
              <w:pStyle w:val="TableContents"/>
              <w:spacing w:before="0" w:after="0"/>
              <w:ind w:left="225" w:right="0" w:hanging="225"/>
              <w:rPr/>
            </w:pPr>
            <w:r>
              <w:rPr/>
              <w:t> </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225" w:right="0" w:hanging="225"/>
              <w:rPr/>
            </w:pPr>
            <w:r>
              <w:rPr/>
              <w:t>Allowance for losses on signature loans:</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rPr/>
            </w:pPr>
            <w:r>
              <w:rPr/>
              <w:t> </w:t>
            </w:r>
          </w:p>
        </w:tc>
        <w:tc>
          <w:tcPr>
            <w:tcW w:w="79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bottom"/>
          </w:tcPr>
          <w:p>
            <w:pPr>
              <w:pStyle w:val="TableContents"/>
              <w:spacing w:before="0" w:after="0"/>
              <w:ind w:left="450" w:right="0" w:hanging="225"/>
              <w:rPr/>
            </w:pPr>
            <w:r>
              <w:rPr/>
              <w:t>Year ended September 30, 2010</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612</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9,143</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left"/>
              <w:rPr/>
            </w:pPr>
            <w:r>
              <w:rPr/>
              <w:t>$</w:t>
            </w:r>
          </w:p>
        </w:tc>
        <w:tc>
          <w:tcPr>
            <w:tcW w:w="79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8,929</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w:t>
            </w:r>
          </w:p>
        </w:tc>
        <w:tc>
          <w:tcPr>
            <w:tcW w:w="1251" w:type="dxa"/>
            <w:tcBorders/>
            <w:shd w:fill="auto" w:val="clear"/>
            <w:vAlign w:val="bottom"/>
          </w:tcPr>
          <w:p>
            <w:pPr>
              <w:pStyle w:val="TableContents"/>
              <w:spacing w:before="0" w:after="283"/>
              <w:jc w:val="right"/>
              <w:rPr/>
            </w:pPr>
            <w:r>
              <w:rPr/>
              <w:t>826</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450" w:right="0" w:hanging="225"/>
              <w:rPr/>
            </w:pPr>
            <w:r>
              <w:rPr/>
              <w:t>Year ended September 30, 2009</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913" w:type="dxa"/>
            <w:tcBorders/>
            <w:shd w:fill="CCEEFF" w:val="clear"/>
            <w:vAlign w:val="bottom"/>
          </w:tcPr>
          <w:p>
            <w:pPr>
              <w:pStyle w:val="TableContents"/>
              <w:spacing w:before="0" w:after="283"/>
              <w:jc w:val="right"/>
              <w:rPr/>
            </w:pPr>
            <w:r>
              <w:rPr/>
              <w:t>674</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958" w:type="dxa"/>
            <w:tcBorders/>
            <w:shd w:fill="CCEEFF" w:val="clear"/>
            <w:vAlign w:val="bottom"/>
          </w:tcPr>
          <w:p>
            <w:pPr>
              <w:pStyle w:val="TableContents"/>
              <w:spacing w:before="0" w:after="283"/>
              <w:jc w:val="right"/>
              <w:rPr/>
            </w:pPr>
            <w:r>
              <w:rPr/>
              <w:t>8,716</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jc w:val="left"/>
              <w:rPr/>
            </w:pPr>
            <w:r>
              <w:rPr/>
              <w:t>$</w:t>
            </w:r>
          </w:p>
        </w:tc>
        <w:tc>
          <w:tcPr>
            <w:tcW w:w="79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8,778</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left"/>
              <w:rPr/>
            </w:pPr>
            <w:r>
              <w:rPr/>
              <w:t>$</w:t>
            </w:r>
          </w:p>
        </w:tc>
        <w:tc>
          <w:tcPr>
            <w:tcW w:w="1251" w:type="dxa"/>
            <w:tcBorders/>
            <w:shd w:fill="CCEEFF" w:val="clear"/>
            <w:vAlign w:val="bottom"/>
          </w:tcPr>
          <w:p>
            <w:pPr>
              <w:pStyle w:val="TableContents"/>
              <w:spacing w:before="0" w:after="283"/>
              <w:jc w:val="right"/>
              <w:rPr/>
            </w:pPr>
            <w:r>
              <w:rPr/>
              <w:t>612</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auto" w:val="clear"/>
            <w:vAlign w:val="bottom"/>
          </w:tcPr>
          <w:p>
            <w:pPr>
              <w:pStyle w:val="TableContents"/>
              <w:spacing w:before="0" w:after="0"/>
              <w:ind w:left="450" w:right="0" w:hanging="225"/>
              <w:rPr/>
            </w:pPr>
            <w:r>
              <w:rPr/>
              <w:t>Year ended September 30, 2008</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343</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8,691</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left"/>
              <w:rPr/>
            </w:pPr>
            <w:r>
              <w:rPr/>
              <w:t>$</w:t>
            </w:r>
          </w:p>
        </w:tc>
        <w:tc>
          <w:tcPr>
            <w:tcW w:w="79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8,360</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w:t>
            </w:r>
          </w:p>
        </w:tc>
        <w:tc>
          <w:tcPr>
            <w:tcW w:w="1251" w:type="dxa"/>
            <w:tcBorders/>
            <w:shd w:fill="auto" w:val="clear"/>
            <w:vAlign w:val="bottom"/>
          </w:tcPr>
          <w:p>
            <w:pPr>
              <w:pStyle w:val="TableContents"/>
              <w:spacing w:before="0" w:after="283"/>
              <w:jc w:val="right"/>
              <w:rPr/>
            </w:pPr>
            <w:r>
              <w:rPr/>
              <w:t>674</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auto" w:val="clear"/>
            <w:vAlign w:val="bottom"/>
          </w:tcPr>
          <w:p>
            <w:pPr>
              <w:pStyle w:val="TableContents"/>
              <w:spacing w:before="0" w:after="0"/>
              <w:ind w:left="225" w:right="0" w:hanging="225"/>
              <w:rPr/>
            </w:pPr>
            <w:r>
              <w:rPr/>
              <w:t> </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225" w:right="0" w:hanging="225"/>
              <w:rPr/>
            </w:pPr>
            <w:r>
              <w:rPr/>
              <w:t>Allowance for valuation of deferred tax assets:</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rPr/>
            </w:pPr>
            <w:r>
              <w:rPr/>
              <w:t> </w:t>
            </w:r>
          </w:p>
        </w:tc>
        <w:tc>
          <w:tcPr>
            <w:tcW w:w="79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bottom"/>
          </w:tcPr>
          <w:p>
            <w:pPr>
              <w:pStyle w:val="TableContents"/>
              <w:spacing w:before="0" w:after="0"/>
              <w:ind w:left="450" w:right="0" w:hanging="225"/>
              <w:rPr/>
            </w:pPr>
            <w:r>
              <w:rPr/>
              <w:t>Year ended September 30, 2010</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1,273</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left"/>
              <w:rPr/>
            </w:pPr>
            <w:r>
              <w:rPr/>
              <w:t>$</w:t>
            </w:r>
          </w:p>
        </w:tc>
        <w:tc>
          <w:tcPr>
            <w:tcW w:w="79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w:t>
            </w:r>
          </w:p>
        </w:tc>
        <w:tc>
          <w:tcPr>
            <w:tcW w:w="1251" w:type="dxa"/>
            <w:tcBorders/>
            <w:shd w:fill="auto" w:val="clear"/>
            <w:vAlign w:val="bottom"/>
          </w:tcPr>
          <w:p>
            <w:pPr>
              <w:pStyle w:val="TableContents"/>
              <w:spacing w:before="0" w:after="283"/>
              <w:jc w:val="right"/>
              <w:rPr/>
            </w:pPr>
            <w:r>
              <w:rPr/>
              <w:t>1,273</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450" w:right="0" w:hanging="225"/>
              <w:rPr/>
            </w:pPr>
            <w:r>
              <w:rPr/>
              <w:t>Year ended September 30, 2009</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913" w:type="dxa"/>
            <w:tcBorders/>
            <w:shd w:fill="CCEEFF" w:val="clear"/>
            <w:vAlign w:val="bottom"/>
          </w:tcPr>
          <w:p>
            <w:pPr>
              <w:pStyle w:val="TableContents"/>
              <w:spacing w:before="0" w:after="283"/>
              <w:jc w:val="right"/>
              <w:rPr/>
            </w:pPr>
            <w:r>
              <w:rPr/>
              <w:t>233</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958"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jc w:val="left"/>
              <w:rPr/>
            </w:pPr>
            <w:r>
              <w:rPr/>
              <w:t>$</w:t>
            </w:r>
          </w:p>
        </w:tc>
        <w:tc>
          <w:tcPr>
            <w:tcW w:w="79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233</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left"/>
              <w:rPr/>
            </w:pPr>
            <w:r>
              <w:rPr/>
              <w:t>$</w:t>
            </w:r>
          </w:p>
        </w:tc>
        <w:tc>
          <w:tcPr>
            <w:tcW w:w="125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auto" w:val="clear"/>
            <w:vAlign w:val="bottom"/>
          </w:tcPr>
          <w:p>
            <w:pPr>
              <w:pStyle w:val="TableContents"/>
              <w:spacing w:before="0" w:after="0"/>
              <w:ind w:left="450" w:right="0" w:hanging="225"/>
              <w:rPr/>
            </w:pPr>
            <w:r>
              <w:rPr/>
              <w:t>Year ended September 30, 2008</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392</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left"/>
              <w:rPr/>
            </w:pPr>
            <w:r>
              <w:rPr/>
              <w:t>$</w:t>
            </w:r>
          </w:p>
        </w:tc>
        <w:tc>
          <w:tcPr>
            <w:tcW w:w="79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159</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w:t>
            </w:r>
          </w:p>
        </w:tc>
        <w:tc>
          <w:tcPr>
            <w:tcW w:w="1251" w:type="dxa"/>
            <w:tcBorders/>
            <w:shd w:fill="auto" w:val="clear"/>
            <w:vAlign w:val="bottom"/>
          </w:tcPr>
          <w:p>
            <w:pPr>
              <w:pStyle w:val="TableContents"/>
              <w:spacing w:before="0" w:after="283"/>
              <w:jc w:val="right"/>
              <w:rPr/>
            </w:pPr>
            <w:r>
              <w:rPr/>
              <w:t>233</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auto" w:val="clear"/>
            <w:vAlign w:val="bottom"/>
          </w:tcPr>
          <w:p>
            <w:pPr>
              <w:pStyle w:val="TableContents"/>
              <w:spacing w:before="0" w:after="0"/>
              <w:ind w:left="225" w:right="0" w:hanging="225"/>
              <w:rPr/>
            </w:pPr>
            <w:r>
              <w:rPr/>
              <w:t> </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225" w:right="0" w:hanging="225"/>
              <w:rPr/>
            </w:pPr>
            <w:r>
              <w:rPr/>
              <w:t>Allowance for losses on auto title loans:</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rPr/>
            </w:pPr>
            <w:r>
              <w:rPr/>
              <w:t> </w:t>
            </w:r>
          </w:p>
        </w:tc>
        <w:tc>
          <w:tcPr>
            <w:tcW w:w="79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bottom"/>
          </w:tcPr>
          <w:p>
            <w:pPr>
              <w:pStyle w:val="TableContents"/>
              <w:spacing w:before="0" w:after="0"/>
              <w:ind w:left="450" w:right="0" w:hanging="225"/>
              <w:rPr/>
            </w:pPr>
            <w:r>
              <w:rPr/>
              <w:t>Year ended September 30, 2010</w:t>
            </w:r>
          </w:p>
        </w:tc>
        <w:tc>
          <w:tcPr>
            <w:tcW w:w="2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913" w:type="dxa"/>
            <w:tcBorders/>
            <w:shd w:fill="auto" w:val="clear"/>
            <w:vAlign w:val="bottom"/>
          </w:tcPr>
          <w:p>
            <w:pPr>
              <w:pStyle w:val="TableContents"/>
              <w:spacing w:before="0" w:after="283"/>
              <w:jc w:val="right"/>
              <w:rPr/>
            </w:pPr>
            <w:r>
              <w:rPr/>
              <w:t>305</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958" w:type="dxa"/>
            <w:tcBorders/>
            <w:shd w:fill="auto" w:val="clear"/>
            <w:vAlign w:val="bottom"/>
          </w:tcPr>
          <w:p>
            <w:pPr>
              <w:pStyle w:val="TableContents"/>
              <w:spacing w:before="0" w:after="283"/>
              <w:jc w:val="right"/>
              <w:rPr/>
            </w:pPr>
            <w:r>
              <w:rPr/>
              <w:t>2,445</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left"/>
              <w:rPr/>
            </w:pPr>
            <w:r>
              <w:rPr/>
              <w:t>$</w:t>
            </w:r>
          </w:p>
        </w:tc>
        <w:tc>
          <w:tcPr>
            <w:tcW w:w="796"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980" w:type="dxa"/>
            <w:tcBorders/>
            <w:shd w:fill="auto" w:val="clear"/>
            <w:vAlign w:val="bottom"/>
          </w:tcPr>
          <w:p>
            <w:pPr>
              <w:pStyle w:val="TableContents"/>
              <w:spacing w:before="0" w:after="283"/>
              <w:jc w:val="right"/>
              <w:rPr/>
            </w:pPr>
            <w:r>
              <w:rPr/>
              <w:t>1,548</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w:t>
            </w:r>
          </w:p>
        </w:tc>
        <w:tc>
          <w:tcPr>
            <w:tcW w:w="1251" w:type="dxa"/>
            <w:tcBorders/>
            <w:shd w:fill="auto" w:val="clear"/>
            <w:vAlign w:val="bottom"/>
          </w:tcPr>
          <w:p>
            <w:pPr>
              <w:pStyle w:val="TableContents"/>
              <w:spacing w:before="0" w:after="283"/>
              <w:jc w:val="right"/>
              <w:rPr/>
            </w:pPr>
            <w:r>
              <w:rPr/>
              <w:t>1,202</w:t>
            </w:r>
          </w:p>
        </w:tc>
        <w:tc>
          <w:tcPr>
            <w:tcW w:w="101" w:type="dxa"/>
            <w:tcBorders/>
            <w:shd w:fill="auto"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32" w:type="dxa"/>
            <w:tcBorders/>
            <w:shd w:fill="CCEEFF" w:val="clear"/>
            <w:vAlign w:val="bottom"/>
          </w:tcPr>
          <w:p>
            <w:pPr>
              <w:pStyle w:val="TableContents"/>
              <w:spacing w:before="0" w:after="0"/>
              <w:ind w:left="450" w:right="0" w:hanging="225"/>
              <w:rPr/>
            </w:pPr>
            <w:r>
              <w:rPr/>
              <w:t>Year ended September 30, 2009</w:t>
            </w:r>
          </w:p>
        </w:tc>
        <w:tc>
          <w:tcPr>
            <w:tcW w:w="21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913"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958" w:type="dxa"/>
            <w:tcBorders/>
            <w:shd w:fill="CCEEFF" w:val="clear"/>
            <w:vAlign w:val="bottom"/>
          </w:tcPr>
          <w:p>
            <w:pPr>
              <w:pStyle w:val="TableContents"/>
              <w:spacing w:before="0" w:after="283"/>
              <w:jc w:val="right"/>
              <w:rPr/>
            </w:pPr>
            <w:r>
              <w:rPr/>
              <w:t>307</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jc w:val="left"/>
              <w:rPr/>
            </w:pPr>
            <w:r>
              <w:rPr/>
              <w:t>$</w:t>
            </w:r>
          </w:p>
        </w:tc>
        <w:tc>
          <w:tcPr>
            <w:tcW w:w="796"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w:t>
            </w:r>
          </w:p>
        </w:tc>
        <w:tc>
          <w:tcPr>
            <w:tcW w:w="980" w:type="dxa"/>
            <w:tcBorders/>
            <w:shd w:fill="CCEEFF" w:val="clear"/>
            <w:vAlign w:val="bottom"/>
          </w:tcPr>
          <w:p>
            <w:pPr>
              <w:pStyle w:val="TableContents"/>
              <w:spacing w:before="0" w:after="283"/>
              <w:jc w:val="right"/>
              <w:rPr/>
            </w:pPr>
            <w:r>
              <w:rPr/>
              <w:t>2</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jc w:val="left"/>
              <w:rPr/>
            </w:pPr>
            <w:r>
              <w:rPr/>
              <w:t>$</w:t>
            </w:r>
          </w:p>
        </w:tc>
        <w:tc>
          <w:tcPr>
            <w:tcW w:w="1251" w:type="dxa"/>
            <w:tcBorders/>
            <w:shd w:fill="CCEEFF" w:val="clear"/>
            <w:vAlign w:val="bottom"/>
          </w:tcPr>
          <w:p>
            <w:pPr>
              <w:pStyle w:val="TableContents"/>
              <w:spacing w:before="0" w:after="283"/>
              <w:jc w:val="right"/>
              <w:rPr/>
            </w:pPr>
            <w:r>
              <w:rPr/>
              <w:t>305</w:t>
            </w:r>
          </w:p>
        </w:tc>
        <w:tc>
          <w:tcPr>
            <w:tcW w:w="101" w:type="dxa"/>
            <w:tcBorders/>
            <w:shd w:fill="CCEEFF" w:val="clear"/>
            <w:vAlign w:val="bottom"/>
          </w:tcPr>
          <w:p>
            <w:pPr>
              <w:pStyle w:val="TableContents"/>
              <w:spacing w:before="0" w:after="283"/>
              <w:rPr/>
            </w:pPr>
            <w:r>
              <w:rPr/>
              <w:t> </w:t>
            </w:r>
          </w:p>
        </w:tc>
      </w:tr>
      <w:tr>
        <w:trPr/>
        <w:tc>
          <w:tcPr>
            <w:tcW w:w="2332"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11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5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exhibits are filed with, or incorporated by reference into, this report. </w:t>
      </w:r>
    </w:p>
    <w:tbl>
      <w:tblPr>
        <w:tblW w:w="5000" w:type="pct"/>
        <w:jc w:val="center"/>
        <w:tblInd w:w="0" w:type="dxa"/>
        <w:tblCellMar>
          <w:top w:w="0" w:type="dxa"/>
          <w:left w:w="0" w:type="dxa"/>
          <w:bottom w:w="0" w:type="dxa"/>
          <w:right w:w="0" w:type="dxa"/>
        </w:tblCellMar>
      </w:tblPr>
      <w:tblGrid>
        <w:gridCol w:w="310"/>
        <w:gridCol w:w="822"/>
        <w:gridCol w:w="449"/>
        <w:gridCol w:w="404"/>
        <w:gridCol w:w="8220"/>
      </w:tblGrid>
      <w:tr>
        <w:trPr/>
        <w:tc>
          <w:tcPr>
            <w:tcW w:w="31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vAlign w:val="bottom"/>
          </w:tcPr>
          <w:p>
            <w:pPr>
              <w:pStyle w:val="TableContents"/>
              <w:spacing w:before="0" w:after="283"/>
              <w:rPr/>
            </w:pPr>
            <w:r>
              <w:rPr/>
              <w:t> </w:t>
            </w:r>
          </w:p>
        </w:tc>
      </w:tr>
      <w:tr>
        <w:trPr/>
        <w:tc>
          <w:tcPr>
            <w:tcW w:w="1581" w:type="dxa"/>
            <w:gridSpan w:val="3"/>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404" w:type="dxa"/>
            <w:tcBorders/>
            <w:shd w:fill="auto" w:val="clear"/>
            <w:vAlign w:val="bottom"/>
          </w:tcPr>
          <w:p>
            <w:pPr>
              <w:pStyle w:val="TableContents"/>
              <w:spacing w:before="0" w:after="283"/>
              <w:rPr/>
            </w:pPr>
            <w:r>
              <w:rPr/>
              <w:t> </w:t>
            </w:r>
          </w:p>
        </w:tc>
        <w:tc>
          <w:tcPr>
            <w:tcW w:w="8220"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3.1</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Amended Certificate of Incorporation (incorporated by reference to Exhibit 3.1 to the Companys Registration Statement on Form S-4 filed on September 26, 2008, Commission File No. 33-153703)</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3.2</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Amended Bylaws (incorporated by reference to Exhibit 3.2 to the Companys Annual Report on Form 10-K for the year ended September 30, 2008,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4.1</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Specimen of Class A Non-voting Common Stock certificate (incorporated by reference to Exhibit 4.1 to the Companys Registration Statement on Form S-1 effective August 23, 1991, Commission File No. 33-41317)</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10.1</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Credit Services and Loan Administration Agreement, dated April 11, 2006, between Texas EZPAWN, L.P. and NCP Finance Limited Partnership (incorporated by reference to Exhibit 10.97 to the Companys Quarterly Report on Form 10-Q for the quarter ended March 31, 2006,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10.2</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Guaranty, dated April 11, 2006, from EZCORP, Inc. to NCP Finance Limited Partnership (incorporated by reference to Exhibit 10.98 to the Companys Quarterly Report on Form 10-Q for the quarter ended March 31, 2006,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10.3</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Credit Services Organization and Lender Agreement, dated April 12, 2006, between Texas EZMONEY, L.P. and Integrity Texas Funding, L.P. (incorporated by reference to Exhibit 10.99 to the Companys Quarterly Report on Form 10-Q for the quarter ended March 31, 2006,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10.4</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Credit Services Organization and Lender Agreement, dated November 9, 2005, between Texas EZPAWN, L.P. and Integrity Texas Funding, L.P. (incorporated by reference to Exhibit 10.100 to the Companys Quarterly Report on Form 10-Q for the quarter ended March 31, 2006,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10.5</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Fifth Amended and Restated Credit Agreement, dated as of December 31, 2008, among the Company, Wells Fargo Bank National Association, as Administrative Agent and Issuing Bank, and Union Bank of California, N.A., as Syndication Agent (incorporated by reference to Exhibit 10.1 to the Companys Current Report on Form 8-K dated December 31, 2008 and filed January 2, 2009,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10.6</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Subscription Agreement, dated as of August 17, 2009, between the Company and Cash Converters International Limited (incorporated by reference to Exhibit 10.1 to the Companys Current Report on Form 8-K dated August 17, 2009 and filed August 18, 2009,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10.7</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Advisory Services Agreement, effective October 1, 2009, between the Company and Madison Park, LLC (incorporated by reference to Exhibit 10.1 to the Companys Current Report on Form 8-K dated September 29, 2009,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10.8</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Advisory Services Agreement, effective October 1, 2010, between the Company and Madison Park, LLC (incorporated by reference to Exhibit 10.1 to the Companys Current Report on Form 8-K dated September 30, 2010 and filed October 4, 2010,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10.9</w:t>
            </w:r>
          </w:p>
        </w:tc>
        <w:tc>
          <w:tcPr>
            <w:tcW w:w="449"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401(k) Plan and Trust, effective October 27, 2009 (incorporated by reference to Exhibit 10.1 to the Companys Annual Report on Form 10-K for the year ended September 30, 2009, Commission File No. 0-19424)</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277"/>
        <w:gridCol w:w="721"/>
        <w:gridCol w:w="583"/>
        <w:gridCol w:w="404"/>
        <w:gridCol w:w="8220"/>
      </w:tblGrid>
      <w:tr>
        <w:trPr/>
        <w:tc>
          <w:tcPr>
            <w:tcW w:w="277"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vAlign w:val="bottom"/>
          </w:tcPr>
          <w:p>
            <w:pPr>
              <w:pStyle w:val="TableContents"/>
              <w:spacing w:before="0" w:after="283"/>
              <w:rPr/>
            </w:pPr>
            <w:r>
              <w:rPr/>
              <w:t> </w:t>
            </w:r>
          </w:p>
        </w:tc>
      </w:tr>
      <w:tr>
        <w:trPr/>
        <w:tc>
          <w:tcPr>
            <w:tcW w:w="1581" w:type="dxa"/>
            <w:gridSpan w:val="3"/>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404" w:type="dxa"/>
            <w:tcBorders/>
            <w:shd w:fill="auto" w:val="clear"/>
            <w:vAlign w:val="bottom"/>
          </w:tcPr>
          <w:p>
            <w:pPr>
              <w:pStyle w:val="TableContents"/>
              <w:spacing w:before="0" w:after="283"/>
              <w:rPr/>
            </w:pPr>
            <w:r>
              <w:rPr/>
              <w:t> </w:t>
            </w:r>
          </w:p>
        </w:tc>
        <w:tc>
          <w:tcPr>
            <w:tcW w:w="8220"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10.10</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Supplemental Executive Retirement Plan effective December 1, 2005 (incorporated by reference to Exhibit 10.94 to the Companys Current Report on Form 8-K dated November 28, 2005 and filed December 1, 2005,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2006 Incentive Plan (incorporated by reference to Exhibit 10.104 to the Companys Annual Report on Form 10-K for the year ended September 30, 2006,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10.12</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Amended and Restated EZCORP, Inc. 2010 Long-Term Incentive Plan (incorporated by reference to Exhibit 99.1 to the Companys Registration Statement on Form S-8 effective May 19, 2010, Commission File No. 333-166950)</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10.13</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Fiscal Year 2010 Incentive Compensation Program (incorporated by reference to Exhibit 10.10 to the Companys Annual Report on Form 10-K for the year ended September 30, 2009,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10.14</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Incentive Compensation Plan</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10.15</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Form of Protection of Sensitive Information, Noncompetition and Nonsolicitation Agreement between the Company and certain employees, including the executive officers</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10.16</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Form of Restricted Stock Award for executive officers</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10.17</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Form of Restricted Stock Award for non-employee directors</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10.18</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Employment and Compensation Agreement, effective January 1, 2009, between the Company and Joseph L. Rotunda (incorporated by reference to Exhibit 10.1 to the Companys Current Report on Form 8-K dated January 22, 2009 and filed January 27, 2009,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10.19</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Employment and Compensation Agreement, effective September 14, 2009, between the Company and Paul E. Rothamel (incorporated by reference to Exhibit 10.1 to the Companys Annual Report on Form 10-K for the year ended September 30, 2009,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10.20</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Employment and Post-Employment Agreement, dated February 11, 2010, between the Company and Robert A. Kasenter (incorporated by reference to Exhibit 10.1 of the Companys Current Report on Form 8-K dated February 11, 2010 and filed February 16, 2010,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10.21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Separation Agreement and Release, dated May 17, 2010, between the Company and Charles Bradford Wolfe (incorporated by reference to Exhibit 99.1 to the Companys Current Report on Form 8-K dated May 21, 2010 and filed May 26, 2010,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10.22</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Consulting Agreement, effective November 1, 2010, between the Company and Joseph L. Rotunda (incorporated by reference to Exhibit 99.1 to the Companys Current Report on Form 8-K dated October 8, 2010 and filed October 12, 2010,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10.23</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Consulting Agreement, effective October 5, 2010, between the Company and Robert A. Kasenter</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21.1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Subsidiaries of EZCORP, Inc.</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23.1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Consent of BDO USA, LLP</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31.1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Certification of Paul E. Rothamel, Chief Executive Officer, pursuant to Rule 13a-14(a) under the Securities Exchange Act of 1934, as adopted pursuant to Section 302 of the Sarbanes-Oxley Act of 2002</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31.2</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Certification of Stephen A. Stamp, Chief Financial Officer, pursuant to Rule 13a-14(a) under the Securities Exchange Act of 1934, as adopted pursuant to Section 302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25"/>
        <w:gridCol w:w="948"/>
        <w:gridCol w:w="327"/>
        <w:gridCol w:w="401"/>
        <w:gridCol w:w="8204"/>
      </w:tblGrid>
      <w:tr>
        <w:trPr/>
        <w:tc>
          <w:tcPr>
            <w:tcW w:w="325"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pPr>
            <w:r>
              <w:rPr/>
              <w:t> </w:t>
            </w:r>
          </w:p>
        </w:tc>
      </w:tr>
      <w:tr>
        <w:trPr/>
        <w:tc>
          <w:tcPr>
            <w:tcW w:w="1600" w:type="dxa"/>
            <w:gridSpan w:val="3"/>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401" w:type="dxa"/>
            <w:tcBorders/>
            <w:shd w:fill="auto" w:val="clear"/>
            <w:vAlign w:val="bottom"/>
          </w:tcPr>
          <w:p>
            <w:pPr>
              <w:pStyle w:val="TableContents"/>
              <w:spacing w:before="0" w:after="283"/>
              <w:rPr/>
            </w:pPr>
            <w:r>
              <w:rPr/>
              <w:t> </w:t>
            </w:r>
          </w:p>
        </w:tc>
        <w:tc>
          <w:tcPr>
            <w:tcW w:w="8204"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325" w:type="dxa"/>
            <w:tcBorders/>
            <w:shd w:fill="auto" w:val="clear"/>
          </w:tcPr>
          <w:p>
            <w:pPr>
              <w:pStyle w:val="TableContents"/>
              <w:spacing w:before="0" w:after="283"/>
              <w:jc w:val="right"/>
              <w:rPr/>
            </w:pPr>
            <w:r>
              <w:rPr/>
              <w:t> </w:t>
            </w:r>
          </w:p>
        </w:tc>
        <w:tc>
          <w:tcPr>
            <w:tcW w:w="948" w:type="dxa"/>
            <w:tcBorders/>
            <w:shd w:fill="auto" w:val="clear"/>
          </w:tcPr>
          <w:p>
            <w:pPr>
              <w:pStyle w:val="TableContents"/>
              <w:spacing w:before="0" w:after="283"/>
              <w:jc w:val="right"/>
              <w:rPr/>
            </w:pPr>
            <w:r>
              <w:rPr/>
              <w:t>32.1</w:t>
            </w:r>
          </w:p>
        </w:tc>
        <w:tc>
          <w:tcPr>
            <w:tcW w:w="327" w:type="dxa"/>
            <w:tcBorders/>
            <w:shd w:fill="auto" w:val="clear"/>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8204" w:type="dxa"/>
            <w:tcBorders/>
            <w:shd w:fill="auto" w:val="clear"/>
          </w:tcPr>
          <w:p>
            <w:pPr>
              <w:pStyle w:val="TableContents"/>
              <w:spacing w:before="0" w:after="0"/>
              <w:ind w:left="0" w:right="0" w:hanging="0"/>
              <w:rPr/>
            </w:pPr>
            <w:r>
              <w:rPr/>
              <w:t>Certifications of Paul E. Rothamel, Chief Executive Officer, and Stephen A. Stamp, Chief Financial Officer, pursuant to 18 U.S.C. Section 1350, as adopted pursuant to Section 906 of the Sarbanes-Oxley Act of 2002</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79"/>
        <w:gridCol w:w="111"/>
        <w:gridCol w:w="9715"/>
      </w:tblGrid>
      <w:tr>
        <w:trPr/>
        <w:tc>
          <w:tcPr>
            <w:tcW w:w="37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9715" w:type="dxa"/>
            <w:tcBorders/>
            <w:shd w:fill="auto" w:val="clear"/>
            <w:vAlign w:val="cente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715" w:type="dxa"/>
            <w:tcBorders/>
            <w:shd w:fill="auto" w:val="clear"/>
          </w:tcPr>
          <w:p>
            <w:pPr>
              <w:pStyle w:val="TableContents"/>
              <w:spacing w:before="0" w:after="283"/>
              <w:rPr/>
            </w:pPr>
            <w:r>
              <w:rPr/>
              <w:t>Identifies Exhibit that consists of or includes a management contract or compensatory plan or arrangement.</w:t>
            </w:r>
          </w:p>
        </w:tc>
      </w:tr>
      <w:tr>
        <w:trPr/>
        <w:tc>
          <w:tcPr>
            <w:tcW w:w="379" w:type="dxa"/>
            <w:tcBorders/>
            <w:shd w:fill="auto" w:val="clear"/>
            <w:vAlign w:val="center"/>
          </w:tcPr>
          <w:p>
            <w:pPr>
              <w:pStyle w:val="TableContents"/>
              <w:spacing w:before="0" w:after="283"/>
              <w:rPr/>
            </w:pPr>
            <w:r>
              <w:rPr/>
              <w:t> </w:t>
            </w:r>
          </w:p>
        </w:tc>
        <w:tc>
          <w:tcPr>
            <w:tcW w:w="9826" w:type="dxa"/>
            <w:gridSpan w:val="2"/>
            <w:tcBorders/>
            <w:shd w:fill="auto" w:val="clea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715" w:type="dxa"/>
            <w:tcBorders/>
            <w:shd w:fill="auto" w:val="clear"/>
          </w:tcPr>
          <w:p>
            <w:pPr>
              <w:pStyle w:val="TableContents"/>
              <w:spacing w:before="0" w:after="283"/>
              <w:rPr/>
            </w:pPr>
            <w:r>
              <w:rPr/>
              <w:t>Filed herewith.</w:t>
            </w:r>
          </w:p>
        </w:tc>
      </w:tr>
      <w:tr>
        <w:trPr/>
        <w:tc>
          <w:tcPr>
            <w:tcW w:w="379" w:type="dxa"/>
            <w:tcBorders/>
            <w:shd w:fill="auto" w:val="clear"/>
            <w:vAlign w:val="center"/>
          </w:tcPr>
          <w:p>
            <w:pPr>
              <w:pStyle w:val="TableContents"/>
              <w:spacing w:before="0" w:after="283"/>
              <w:rPr/>
            </w:pPr>
            <w:r>
              <w:rPr/>
              <w:t> </w:t>
            </w:r>
          </w:p>
        </w:tc>
        <w:tc>
          <w:tcPr>
            <w:tcW w:w="9826" w:type="dxa"/>
            <w:gridSpan w:val="2"/>
            <w:tcBorders/>
            <w:shd w:fill="auto" w:val="clea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715" w:type="dxa"/>
            <w:tcBorders/>
            <w:shd w:fill="auto" w:val="clear"/>
          </w:tcPr>
          <w:p>
            <w:pPr>
              <w:pStyle w:val="TableContents"/>
              <w:spacing w:before="0" w:after="283"/>
              <w:rPr/>
            </w:pPr>
            <w:r>
              <w:rPr/>
              <w:t>Furnished herewith.</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3" w:name="125"/>
      <w:bookmarkEnd w:id="33"/>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Section 13 or 15(d)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160"/>
        <w:gridCol w:w="751"/>
        <w:gridCol w:w="533"/>
        <w:gridCol w:w="3421"/>
        <w:gridCol w:w="1340"/>
      </w:tblGrid>
      <w:tr>
        <w:trPr/>
        <w:tc>
          <w:tcPr>
            <w:tcW w:w="4160" w:type="dxa"/>
            <w:tcBorders/>
            <w:shd w:fill="auto" w:val="clear"/>
            <w:vAlign w:val="center"/>
          </w:tcPr>
          <w:p>
            <w:pPr>
              <w:pStyle w:val="TableContents"/>
              <w:spacing w:before="0" w:after="283"/>
              <w:rPr/>
            </w:pPr>
            <w:r>
              <w:rPr/>
              <w:t> </w:t>
            </w:r>
          </w:p>
        </w:tc>
        <w:tc>
          <w:tcPr>
            <w:tcW w:w="751" w:type="dxa"/>
            <w:tcBorders/>
            <w:shd w:fill="auto" w:val="clear"/>
            <w:vAlign w:val="center"/>
          </w:tcPr>
          <w:p>
            <w:pPr>
              <w:pStyle w:val="TableContents"/>
              <w:spacing w:before="0" w:after="283"/>
              <w:rPr/>
            </w:pPr>
            <w:r>
              <w:rPr/>
              <w:t> </w:t>
            </w:r>
          </w:p>
        </w:tc>
        <w:tc>
          <w:tcPr>
            <w:tcW w:w="533" w:type="dxa"/>
            <w:tcBorders/>
            <w:shd w:fill="auto" w:val="clear"/>
            <w:vAlign w:val="center"/>
          </w:tcPr>
          <w:p>
            <w:pPr>
              <w:pStyle w:val="TableContents"/>
              <w:spacing w:before="0" w:after="283"/>
              <w:rPr/>
            </w:pPr>
            <w:r>
              <w:rPr/>
              <w:t> </w:t>
            </w:r>
          </w:p>
        </w:tc>
        <w:tc>
          <w:tcPr>
            <w:tcW w:w="3421"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283"/>
              <w:rPr/>
            </w:pPr>
            <w:r>
              <w:rPr/>
              <w:t> </w:t>
            </w:r>
          </w:p>
        </w:tc>
      </w:tr>
      <w:tr>
        <w:trPr/>
        <w:tc>
          <w:tcPr>
            <w:tcW w:w="4160" w:type="dxa"/>
            <w:tcBorders/>
            <w:shd w:fill="auto" w:val="clear"/>
          </w:tcPr>
          <w:p>
            <w:pPr>
              <w:pStyle w:val="TableContents"/>
              <w:spacing w:before="0" w:after="283"/>
              <w:jc w:val="left"/>
              <w:rPr/>
            </w:pPr>
            <w:r>
              <w:rPr/>
              <w:t> </w:t>
            </w:r>
          </w:p>
        </w:tc>
        <w:tc>
          <w:tcPr>
            <w:tcW w:w="4705" w:type="dxa"/>
            <w:gridSpan w:val="3"/>
            <w:tcBorders/>
            <w:shd w:fill="auto" w:val="clear"/>
            <w:vAlign w:val="center"/>
          </w:tcPr>
          <w:p>
            <w:pPr>
              <w:pStyle w:val="TableContents"/>
              <w:spacing w:before="0" w:after="283"/>
              <w:jc w:val="left"/>
              <w:rPr/>
            </w:pPr>
            <w:r>
              <w:rPr/>
              <w:t>EZCORP, Inc.</w:t>
              <w:br/>
              <w:t> </w:t>
            </w:r>
          </w:p>
        </w:tc>
        <w:tc>
          <w:tcPr>
            <w:tcW w:w="1340" w:type="dxa"/>
            <w:tcBorders/>
            <w:shd w:fill="auto" w:val="clear"/>
            <w:vAlign w:val="center"/>
          </w:tcPr>
          <w:p>
            <w:pPr>
              <w:pStyle w:val="TableContents"/>
              <w:spacing w:before="0" w:after="283"/>
              <w:rPr/>
            </w:pPr>
            <w:r>
              <w:rPr/>
              <w:t> </w:t>
            </w:r>
          </w:p>
        </w:tc>
      </w:tr>
      <w:tr>
        <w:trPr/>
        <w:tc>
          <w:tcPr>
            <w:tcW w:w="4160" w:type="dxa"/>
            <w:tcBorders/>
            <w:shd w:fill="auto" w:val="clear"/>
            <w:vAlign w:val="center"/>
          </w:tcPr>
          <w:p>
            <w:pPr>
              <w:pStyle w:val="TableContents"/>
              <w:spacing w:before="0" w:after="283"/>
              <w:jc w:val="left"/>
              <w:rPr/>
            </w:pPr>
            <w:r>
              <w:rPr/>
              <w:t> </w:t>
            </w:r>
          </w:p>
        </w:tc>
        <w:tc>
          <w:tcPr>
            <w:tcW w:w="751" w:type="dxa"/>
            <w:tcBorders/>
            <w:shd w:fill="auto" w:val="clear"/>
          </w:tcPr>
          <w:p>
            <w:pPr>
              <w:pStyle w:val="TableContents"/>
              <w:spacing w:before="0" w:after="283"/>
              <w:rPr/>
            </w:pPr>
            <w:r>
              <w:rPr/>
              <w:t>By:  </w:t>
            </w:r>
          </w:p>
        </w:tc>
        <w:tc>
          <w:tcPr>
            <w:tcW w:w="3954" w:type="dxa"/>
            <w:gridSpan w:val="2"/>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340" w:type="dxa"/>
            <w:tcBorders/>
            <w:shd w:fill="auto" w:val="clear"/>
            <w:vAlign w:val="center"/>
          </w:tcPr>
          <w:p>
            <w:pPr>
              <w:pStyle w:val="TableContents"/>
              <w:spacing w:before="0" w:after="283"/>
              <w:rPr/>
            </w:pPr>
            <w:r>
              <w:rPr/>
              <w:t> </w:t>
            </w:r>
          </w:p>
        </w:tc>
      </w:tr>
      <w:tr>
        <w:trPr/>
        <w:tc>
          <w:tcPr>
            <w:tcW w:w="4160"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3954" w:type="dxa"/>
            <w:gridSpan w:val="2"/>
            <w:tcBorders/>
            <w:shd w:fill="auto" w:val="clear"/>
            <w:vAlign w:val="center"/>
          </w:tcPr>
          <w:p>
            <w:pPr>
              <w:pStyle w:val="TableContents"/>
              <w:spacing w:before="0" w:after="283"/>
              <w:jc w:val="left"/>
              <w:rPr/>
            </w:pPr>
            <w:r>
              <w:rPr/>
              <w:t>Paul E. Rothamel, </w:t>
            </w:r>
          </w:p>
        </w:tc>
        <w:tc>
          <w:tcPr>
            <w:tcW w:w="1340" w:type="dxa"/>
            <w:tcBorders/>
            <w:shd w:fill="auto" w:val="clear"/>
            <w:vAlign w:val="center"/>
          </w:tcPr>
          <w:p>
            <w:pPr>
              <w:pStyle w:val="TableContents"/>
              <w:spacing w:before="0" w:after="283"/>
              <w:rPr/>
            </w:pPr>
            <w:r>
              <w:rPr/>
              <w:t> </w:t>
            </w:r>
          </w:p>
        </w:tc>
      </w:tr>
      <w:tr>
        <w:trPr/>
        <w:tc>
          <w:tcPr>
            <w:tcW w:w="4160"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3954" w:type="dxa"/>
            <w:gridSpan w:val="2"/>
            <w:tcBorders/>
            <w:shd w:fill="auto" w:val="clear"/>
            <w:vAlign w:val="center"/>
          </w:tcPr>
          <w:p>
            <w:pPr>
              <w:pStyle w:val="TableContents"/>
              <w:spacing w:before="0" w:after="283"/>
              <w:jc w:val="left"/>
              <w:rPr/>
            </w:pPr>
            <w:r>
              <w:rPr/>
              <w:t>President and Chief Executive Officer </w:t>
            </w:r>
          </w:p>
        </w:tc>
        <w:tc>
          <w:tcPr>
            <w:tcW w:w="134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this report has been signed below by the following persons on behalf of the registrant and in the capacities and on the dates indicated. </w:t>
      </w:r>
    </w:p>
    <w:tbl>
      <w:tblPr>
        <w:tblW w:w="5000" w:type="pct"/>
        <w:jc w:val="center"/>
        <w:tblInd w:w="0" w:type="dxa"/>
        <w:tblCellMar>
          <w:top w:w="0" w:type="dxa"/>
          <w:left w:w="0" w:type="dxa"/>
          <w:bottom w:w="0" w:type="dxa"/>
          <w:right w:w="0" w:type="dxa"/>
        </w:tblCellMar>
      </w:tblPr>
      <w:tblGrid>
        <w:gridCol w:w="3572"/>
        <w:gridCol w:w="510"/>
        <w:gridCol w:w="3572"/>
        <w:gridCol w:w="510"/>
        <w:gridCol w:w="2041"/>
      </w:tblGrid>
      <w:tr>
        <w:trPr/>
        <w:tc>
          <w:tcPr>
            <w:tcW w:w="357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rPr/>
            </w:pPr>
            <w:r>
              <w:rPr/>
              <w:t> </w:t>
            </w:r>
          </w:p>
        </w:tc>
      </w:tr>
      <w:tr>
        <w:trPr/>
        <w:tc>
          <w:tcPr>
            <w:tcW w:w="3572" w:type="dxa"/>
            <w:tcBorders>
              <w:bottom w:val="single" w:sz="2" w:space="0" w:color="000000"/>
            </w:tcBorders>
            <w:shd w:fill="auto" w:val="clear"/>
            <w:tcMar>
              <w:bottom w:w="28" w:type="dxa"/>
            </w:tcMar>
            <w:vAlign w:val="bottom"/>
          </w:tcPr>
          <w:p>
            <w:pPr>
              <w:pStyle w:val="TableContents"/>
              <w:spacing w:before="0" w:after="283"/>
              <w:jc w:val="left"/>
              <w:rPr>
                <w:b/>
              </w:rPr>
            </w:pPr>
            <w:r>
              <w:rPr>
                <w:b/>
              </w:rPr>
              <w:t>Signature</w:t>
            </w:r>
          </w:p>
        </w:tc>
        <w:tc>
          <w:tcPr>
            <w:tcW w:w="510" w:type="dxa"/>
            <w:tcBorders/>
            <w:shd w:fill="auto" w:val="clear"/>
            <w:vAlign w:val="bottom"/>
          </w:tcPr>
          <w:p>
            <w:pPr>
              <w:pStyle w:val="TableContents"/>
              <w:spacing w:before="0" w:after="283"/>
              <w:rPr/>
            </w:pPr>
            <w:r>
              <w:rPr/>
              <w:t> </w:t>
            </w:r>
          </w:p>
        </w:tc>
        <w:tc>
          <w:tcPr>
            <w:tcW w:w="3572" w:type="dxa"/>
            <w:tcBorders>
              <w:bottom w:val="single" w:sz="2" w:space="0" w:color="000000"/>
            </w:tcBorders>
            <w:shd w:fill="auto" w:val="clear"/>
            <w:tcMar>
              <w:bottom w:w="28" w:type="dxa"/>
            </w:tcMar>
            <w:vAlign w:val="bottom"/>
          </w:tcPr>
          <w:p>
            <w:pPr>
              <w:pStyle w:val="TableContents"/>
              <w:spacing w:before="0" w:after="283"/>
              <w:jc w:val="left"/>
              <w:rPr>
                <w:b/>
              </w:rPr>
            </w:pPr>
            <w:r>
              <w:rPr>
                <w:b/>
              </w:rPr>
              <w:t>Title</w:t>
            </w:r>
          </w:p>
        </w:tc>
        <w:tc>
          <w:tcPr>
            <w:tcW w:w="510" w:type="dxa"/>
            <w:tcBorders/>
            <w:shd w:fill="auto" w:val="clear"/>
            <w:vAlign w:val="bottom"/>
          </w:tcPr>
          <w:p>
            <w:pPr>
              <w:pStyle w:val="TableContents"/>
              <w:spacing w:before="0" w:after="283"/>
              <w:rPr/>
            </w:pPr>
            <w:r>
              <w:rPr/>
              <w:t> </w:t>
            </w:r>
          </w:p>
        </w:tc>
        <w:tc>
          <w:tcPr>
            <w:tcW w:w="2041" w:type="dxa"/>
            <w:tcBorders>
              <w:bottom w:val="single" w:sz="2" w:space="0" w:color="000000"/>
            </w:tcBorders>
            <w:shd w:fill="auto" w:val="clear"/>
            <w:tcMar>
              <w:bottom w:w="28" w:type="dxa"/>
            </w:tcMar>
            <w:vAlign w:val="bottom"/>
          </w:tcPr>
          <w:p>
            <w:pPr>
              <w:pStyle w:val="TableContents"/>
              <w:spacing w:before="0" w:after="283"/>
              <w:jc w:val="left"/>
              <w:rPr>
                <w:b/>
              </w:rPr>
            </w:pPr>
            <w:r>
              <w:rPr>
                <w:b/>
              </w:rPr>
              <w:t>Date</w:t>
            </w:r>
          </w:p>
        </w:tc>
      </w:tr>
      <w:tr>
        <w:trPr/>
        <w:tc>
          <w:tcPr>
            <w:tcW w:w="3572"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/s/ Sterling B. Brinkley </w:t>
            </w:r>
          </w:p>
          <w:p>
            <w:pPr>
              <w:pStyle w:val="TableContents"/>
              <w:spacing w:before="0" w:after="0"/>
              <w:rPr>
                <w:bdr w:val="single" w:sz="2" w:space="1" w:color="000000"/>
              </w:rPr>
            </w:pPr>
            <w:r>
              <w:rPr>
                <w:bdr w:val="single" w:sz="2" w:space="1" w:color="000000"/>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xml:space="preserve">Chairman of the Board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November 24, 2010</w:t>
            </w:r>
          </w:p>
        </w:tc>
      </w:tr>
      <w:tr>
        <w:trPr/>
        <w:tc>
          <w:tcPr>
            <w:tcW w:w="3572" w:type="dxa"/>
            <w:tcBorders/>
            <w:shd w:fill="auto" w:val="clear"/>
          </w:tcPr>
          <w:p>
            <w:pPr>
              <w:pStyle w:val="TableContents"/>
              <w:spacing w:before="0" w:after="0"/>
              <w:ind w:left="0" w:right="0" w:hanging="0"/>
              <w:rPr/>
            </w:pPr>
            <w:r>
              <w:rPr/>
              <w:t>Sterling B. Brinkley</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/s/ Paul E. Rothamel </w:t>
            </w:r>
          </w:p>
          <w:p>
            <w:pPr>
              <w:pStyle w:val="TableContents"/>
              <w:spacing w:before="0" w:after="0"/>
              <w:rPr>
                <w:bdr w:val="single" w:sz="2" w:space="1" w:color="000000"/>
              </w:rPr>
            </w:pPr>
            <w:r>
              <w:rPr>
                <w:bdr w:val="single" w:sz="2" w:space="1" w:color="000000"/>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xml:space="preserve">President, Chief Executive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November 24, 2010</w:t>
            </w:r>
          </w:p>
        </w:tc>
      </w:tr>
      <w:tr>
        <w:trPr/>
        <w:tc>
          <w:tcPr>
            <w:tcW w:w="3572" w:type="dxa"/>
            <w:tcBorders/>
            <w:shd w:fill="auto" w:val="clear"/>
          </w:tcPr>
          <w:p>
            <w:pPr>
              <w:pStyle w:val="TableContents"/>
              <w:spacing w:before="0" w:after="0"/>
              <w:ind w:left="0" w:right="0" w:hanging="0"/>
              <w:rPr/>
            </w:pPr>
            <w:r>
              <w:rPr/>
              <w:t xml:space="preserve">Paul E. Rothamel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Officer and Director</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(principal executive officer)</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/s/ Stephen A. Stamp </w:t>
            </w:r>
          </w:p>
          <w:p>
            <w:pPr>
              <w:pStyle w:val="TableContents"/>
              <w:spacing w:before="0" w:after="0"/>
              <w:rPr>
                <w:bdr w:val="single" w:sz="2" w:space="1" w:color="000000"/>
              </w:rPr>
            </w:pPr>
            <w:r>
              <w:rPr>
                <w:bdr w:val="single" w:sz="2" w:space="1" w:color="000000"/>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xml:space="preserve">Senior Vice President and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November 24, 2010</w:t>
            </w:r>
          </w:p>
        </w:tc>
      </w:tr>
      <w:tr>
        <w:trPr/>
        <w:tc>
          <w:tcPr>
            <w:tcW w:w="3572" w:type="dxa"/>
            <w:tcBorders/>
            <w:shd w:fill="auto" w:val="clear"/>
          </w:tcPr>
          <w:p>
            <w:pPr>
              <w:pStyle w:val="TableContents"/>
              <w:spacing w:before="0" w:after="0"/>
              <w:ind w:left="0" w:right="0" w:hanging="0"/>
              <w:rPr/>
            </w:pPr>
            <w:r>
              <w:rPr/>
              <w:t xml:space="preserve">Stephen A. Stamp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Chief Financial Officer</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(principal financial officer)</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/s/ Daniel M. Chism </w:t>
            </w:r>
          </w:p>
          <w:p>
            <w:pPr>
              <w:pStyle w:val="TableContents"/>
              <w:spacing w:before="0" w:after="0"/>
              <w:rPr>
                <w:bdr w:val="single" w:sz="2" w:space="1" w:color="000000"/>
              </w:rPr>
            </w:pPr>
            <w:r>
              <w:rPr>
                <w:bdr w:val="single" w:sz="2" w:space="1" w:color="000000"/>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xml:space="preserve">Vice President and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November 24, 2010</w:t>
            </w:r>
          </w:p>
        </w:tc>
      </w:tr>
      <w:tr>
        <w:trPr/>
        <w:tc>
          <w:tcPr>
            <w:tcW w:w="3572" w:type="dxa"/>
            <w:tcBorders/>
            <w:shd w:fill="auto" w:val="clear"/>
          </w:tcPr>
          <w:p>
            <w:pPr>
              <w:pStyle w:val="TableContents"/>
              <w:spacing w:before="0" w:after="0"/>
              <w:ind w:left="0" w:right="0" w:hanging="0"/>
              <w:rPr/>
            </w:pPr>
            <w:r>
              <w:rPr/>
              <w:t xml:space="preserve">Daniel M. Chism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Chief Accounting Officer</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(principal accounting officer)</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/s/ Joseph J. Beal </w:t>
            </w:r>
          </w:p>
          <w:p>
            <w:pPr>
              <w:pStyle w:val="TableContents"/>
              <w:spacing w:before="0" w:after="0"/>
              <w:rPr>
                <w:bdr w:val="single" w:sz="2" w:space="1" w:color="000000"/>
              </w:rPr>
            </w:pPr>
            <w:r>
              <w:rPr>
                <w:bdr w:val="single" w:sz="2" w:space="1" w:color="000000"/>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xml:space="preserve">Director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November 24, 2010</w:t>
            </w:r>
          </w:p>
        </w:tc>
      </w:tr>
      <w:tr>
        <w:trPr/>
        <w:tc>
          <w:tcPr>
            <w:tcW w:w="3572" w:type="dxa"/>
            <w:tcBorders/>
            <w:shd w:fill="auto" w:val="clear"/>
          </w:tcPr>
          <w:p>
            <w:pPr>
              <w:pStyle w:val="TableContents"/>
              <w:spacing w:before="0" w:after="0"/>
              <w:ind w:left="0" w:right="0" w:hanging="0"/>
              <w:rPr/>
            </w:pPr>
            <w:r>
              <w:rPr/>
              <w:t>Joseph J. Beal</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/s/ William C. Love </w:t>
            </w:r>
          </w:p>
          <w:p>
            <w:pPr>
              <w:pStyle w:val="TableContents"/>
              <w:spacing w:before="0" w:after="0"/>
              <w:rPr>
                <w:bdr w:val="single" w:sz="2" w:space="1" w:color="000000"/>
              </w:rPr>
            </w:pPr>
            <w:r>
              <w:rPr>
                <w:bdr w:val="single" w:sz="2" w:space="1" w:color="000000"/>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xml:space="preserve">Director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November 24, 2010</w:t>
            </w:r>
          </w:p>
        </w:tc>
      </w:tr>
      <w:tr>
        <w:trPr/>
        <w:tc>
          <w:tcPr>
            <w:tcW w:w="3572" w:type="dxa"/>
            <w:tcBorders/>
            <w:shd w:fill="auto" w:val="clear"/>
          </w:tcPr>
          <w:p>
            <w:pPr>
              <w:pStyle w:val="TableContents"/>
              <w:spacing w:before="0" w:after="0"/>
              <w:ind w:left="0" w:right="0" w:hanging="0"/>
              <w:rPr/>
            </w:pPr>
            <w:r>
              <w:rPr/>
              <w:t>William C. Love</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/s/ Pablo Lagos Espinosa </w:t>
            </w:r>
          </w:p>
          <w:p>
            <w:pPr>
              <w:pStyle w:val="TableContents"/>
              <w:spacing w:before="0" w:after="0"/>
              <w:rPr>
                <w:bdr w:val="single" w:sz="2" w:space="1" w:color="000000"/>
              </w:rPr>
            </w:pPr>
            <w:r>
              <w:rPr>
                <w:bdr w:val="single" w:sz="2" w:space="1" w:color="000000"/>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xml:space="preserve">Director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November 24, 2010</w:t>
            </w:r>
          </w:p>
        </w:tc>
      </w:tr>
      <w:tr>
        <w:trPr/>
        <w:tc>
          <w:tcPr>
            <w:tcW w:w="3572" w:type="dxa"/>
            <w:tcBorders/>
            <w:shd w:fill="auto" w:val="clear"/>
          </w:tcPr>
          <w:p>
            <w:pPr>
              <w:pStyle w:val="TableContents"/>
              <w:spacing w:before="0" w:after="0"/>
              <w:ind w:left="0" w:right="0" w:hanging="0"/>
              <w:rPr/>
            </w:pPr>
            <w:r>
              <w:rPr/>
              <w:t>Pablo Lagos Espinosa</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/s/ Thomas C. Roberts </w:t>
            </w:r>
          </w:p>
          <w:p>
            <w:pPr>
              <w:pStyle w:val="TableContents"/>
              <w:spacing w:before="0" w:after="0"/>
              <w:rPr>
                <w:bdr w:val="single" w:sz="2" w:space="1" w:color="000000"/>
              </w:rPr>
            </w:pPr>
            <w:r>
              <w:rPr>
                <w:bdr w:val="single" w:sz="2" w:space="1" w:color="000000"/>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xml:space="preserve">Director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November 24, 2010</w:t>
            </w:r>
          </w:p>
        </w:tc>
      </w:tr>
      <w:tr>
        <w:trPr/>
        <w:tc>
          <w:tcPr>
            <w:tcW w:w="3572" w:type="dxa"/>
            <w:tcBorders/>
            <w:shd w:fill="auto" w:val="clear"/>
          </w:tcPr>
          <w:p>
            <w:pPr>
              <w:pStyle w:val="TableContents"/>
              <w:spacing w:before="0" w:after="0"/>
              <w:ind w:left="0" w:right="0" w:hanging="0"/>
              <w:rPr/>
            </w:pPr>
            <w:r>
              <w:rPr/>
              <w:t>Thomas C. Roberts</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 xml:space="preserve">/s/ Richard D. Sage </w:t>
            </w:r>
          </w:p>
          <w:p>
            <w:pPr>
              <w:pStyle w:val="TableContents"/>
              <w:spacing w:before="0" w:after="0"/>
              <w:rPr>
                <w:bdr w:val="single" w:sz="2" w:space="1" w:color="000000"/>
              </w:rPr>
            </w:pPr>
            <w:r>
              <w:rPr>
                <w:bdr w:val="single" w:sz="2" w:space="1" w:color="000000"/>
              </w:rPr>
              <w:t> </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xml:space="preserve">Director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November 24, 2010</w:t>
            </w:r>
          </w:p>
        </w:tc>
      </w:tr>
      <w:tr>
        <w:trPr/>
        <w:tc>
          <w:tcPr>
            <w:tcW w:w="3572" w:type="dxa"/>
            <w:tcBorders/>
            <w:shd w:fill="auto" w:val="clear"/>
          </w:tcPr>
          <w:p>
            <w:pPr>
              <w:pStyle w:val="TableContents"/>
              <w:spacing w:before="0" w:after="0"/>
              <w:ind w:left="0" w:right="0" w:hanging="0"/>
              <w:rPr/>
            </w:pPr>
            <w:r>
              <w:rPr/>
              <w:t>Richard D. Sage</w:t>
            </w:r>
          </w:p>
        </w:tc>
        <w:tc>
          <w:tcPr>
            <w:tcW w:w="510"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4" w:name="126"/>
      <w:bookmarkEnd w:id="34"/>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10"/>
        <w:gridCol w:w="822"/>
        <w:gridCol w:w="449"/>
        <w:gridCol w:w="404"/>
        <w:gridCol w:w="8220"/>
      </w:tblGrid>
      <w:tr>
        <w:trPr/>
        <w:tc>
          <w:tcPr>
            <w:tcW w:w="31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vAlign w:val="bottom"/>
          </w:tcPr>
          <w:p>
            <w:pPr>
              <w:pStyle w:val="TableContents"/>
              <w:spacing w:before="0" w:after="283"/>
              <w:rPr/>
            </w:pPr>
            <w:r>
              <w:rPr/>
              <w:t> </w:t>
            </w:r>
          </w:p>
        </w:tc>
      </w:tr>
      <w:tr>
        <w:trPr/>
        <w:tc>
          <w:tcPr>
            <w:tcW w:w="1581" w:type="dxa"/>
            <w:gridSpan w:val="3"/>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404" w:type="dxa"/>
            <w:tcBorders/>
            <w:shd w:fill="auto" w:val="clear"/>
            <w:vAlign w:val="bottom"/>
          </w:tcPr>
          <w:p>
            <w:pPr>
              <w:pStyle w:val="TableContents"/>
              <w:spacing w:before="0" w:after="283"/>
              <w:rPr/>
            </w:pPr>
            <w:r>
              <w:rPr/>
              <w:t> </w:t>
            </w:r>
          </w:p>
        </w:tc>
        <w:tc>
          <w:tcPr>
            <w:tcW w:w="8220"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3.1</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Amended Certificate of Incorporation (incorporated by reference to Exhibit 3.1 to the Companys Registration Statement on Form S-4 filed on September 26, 2008, Commission File No. 33-153703)</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3.2</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Amended Bylaws (incorporated by reference to Exhibit 3.2 to the Companys Annual Report on Form 10-K for the year ended September 30, 2008,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4.1</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Specimen of Class A Non-voting Common Stock certificate (incorporated by reference to Exhibit 4.1 to the Companys Registration Statement on Form S-1 effective August 23, 1991, Commission File No. 33-41317)</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10.1</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Credit Services and Loan Administration Agreement, dated April 11, 2006, between Texas EZPAWN, L.P. and NCP Finance Limited Partnership (incorporated by reference to Exhibit 10.97 to the Companys Quarterly Report on Form 10-Q for the quarter ended March 31, 2006,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10.2</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Guaranty, dated April 11, 2006, from EZCORP, Inc. to NCP Finance Limited Partnership (incorporated by reference to Exhibit 10.98 to the Companys Quarterly Report on Form 10-Q for the quarter ended March 31, 2006,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10.3</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Credit Services Organization and Lender Agreement, dated April 12, 2006, between Texas EZMONEY, L.P. and Integrity Texas Funding, L.P. (incorporated by reference to Exhibit 10.99 to the Companys Quarterly Report on Form 10-Q for the quarter ended March 31, 2006,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10.4</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Credit Services Organization and Lender Agreement, dated November 9, 2005, between Texas EZPAWN, L.P. and Integrity Texas Funding, L.P. (incorporated by reference to Exhibit 10.100 to the Companys Quarterly Report on Form 10-Q for the quarter ended March 31, 2006,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10.5</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Fifth Amended and Restated Credit Agreement, dated as of December 31, 2008, among the Company, Wells Fargo Bank National Association, as Administrative Agent and Issuing Bank, and Union Bank of California, N.A., as Syndication Agent (incorporated by reference to Exhibit 10.1 to the Companys Current Report on Form 8-K dated December 31, 2008 and filed January 2, 2009,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10.6</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Subscription Agreement, dated as of August 17, 2009, between the Company and Cash Converters International Limited (incorporated by reference to Exhibit 10.1 to the Companys Current Report on Form 8-K dated August 17, 2009 and filed August 18, 2009,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10.7</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Advisory Services Agreement, effective October 1, 2009, between the Company and Madison Park, LLC (incorporated by reference to Exhibit 10.1 to the Companys Current Report on Form 8-K dated September 29, 2009,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10.8</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Advisory Services Agreement, effective October 1, 2010, between the Company and Madison Park, LLC (incorporated by reference to Exhibit 10.1 to the Companys Current Report on Form 8-K dated September 30, 2010 and filed October 4, 2010, Commission File No. 0-19424)</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 </w:t>
            </w:r>
          </w:p>
        </w:tc>
        <w:tc>
          <w:tcPr>
            <w:tcW w:w="449"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310" w:type="dxa"/>
            <w:tcBorders/>
            <w:shd w:fill="auto" w:val="clear"/>
          </w:tcPr>
          <w:p>
            <w:pPr>
              <w:pStyle w:val="TableContents"/>
              <w:spacing w:before="0" w:after="283"/>
              <w:jc w:val="right"/>
              <w:rPr/>
            </w:pPr>
            <w:r>
              <w:rPr/>
              <w:t> </w:t>
            </w:r>
          </w:p>
        </w:tc>
        <w:tc>
          <w:tcPr>
            <w:tcW w:w="822" w:type="dxa"/>
            <w:tcBorders/>
            <w:shd w:fill="auto" w:val="clear"/>
          </w:tcPr>
          <w:p>
            <w:pPr>
              <w:pStyle w:val="TableContents"/>
              <w:spacing w:before="0" w:after="283"/>
              <w:jc w:val="right"/>
              <w:rPr/>
            </w:pPr>
            <w:r>
              <w:rPr/>
              <w:t>10.9</w:t>
            </w:r>
          </w:p>
        </w:tc>
        <w:tc>
          <w:tcPr>
            <w:tcW w:w="449"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401(k) Plan and Trust, effective October 27, 2009 (incorporated by reference to Exhibit 10.1 to the Companys Annual Report on Form 10-K for the year ended September 30, 2009, Commission File No. 0-19424)</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277"/>
        <w:gridCol w:w="721"/>
        <w:gridCol w:w="583"/>
        <w:gridCol w:w="404"/>
        <w:gridCol w:w="8220"/>
      </w:tblGrid>
      <w:tr>
        <w:trPr/>
        <w:tc>
          <w:tcPr>
            <w:tcW w:w="277"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vAlign w:val="bottom"/>
          </w:tcPr>
          <w:p>
            <w:pPr>
              <w:pStyle w:val="TableContents"/>
              <w:spacing w:before="0" w:after="283"/>
              <w:rPr/>
            </w:pPr>
            <w:r>
              <w:rPr/>
              <w:t> </w:t>
            </w:r>
          </w:p>
        </w:tc>
      </w:tr>
      <w:tr>
        <w:trPr/>
        <w:tc>
          <w:tcPr>
            <w:tcW w:w="1581" w:type="dxa"/>
            <w:gridSpan w:val="3"/>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404" w:type="dxa"/>
            <w:tcBorders/>
            <w:shd w:fill="auto" w:val="clear"/>
            <w:vAlign w:val="bottom"/>
          </w:tcPr>
          <w:p>
            <w:pPr>
              <w:pStyle w:val="TableContents"/>
              <w:spacing w:before="0" w:after="283"/>
              <w:rPr/>
            </w:pPr>
            <w:r>
              <w:rPr/>
              <w:t> </w:t>
            </w:r>
          </w:p>
        </w:tc>
        <w:tc>
          <w:tcPr>
            <w:tcW w:w="8220"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10.10</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Supplemental Executive Retirement Plan effective December 1, 2005 (incorporated by reference to Exhibit 10.94 to the Companys Current Report on Form 8-K dated November 28, 2005 and filed December 1, 2005,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2006 Incentive Plan (incorporated by reference to Exhibit 10.104 to the Companys Annual Report on Form 10-K for the year ended September 30, 2006,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10.12</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Amended and Restated EZCORP, Inc. 2010 Long-Term Incentive Plan (incorporated by reference to Exhibit 99.1 to the Companys Registration Statement on Form S-8 effective May 19, 2010, Commission File No. 333-166950)</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10.13</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Fiscal Year 2010 Incentive Compensation Program (incorporated by reference to Exhibit 10.10 to the Companys Annual Report on Form 10-K for the year ended September 30, 2009,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10.14</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EZCORP, Inc. Incentive Compensation Plan</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10.15</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Form of Protection of Sensitive Information, Noncompetition and Nonsolicitation Agreement between the Company and certain employees, including the executive officers</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10.16</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Form of Restricted Stock Award for executive officers</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10.17</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Form of Restricted Stock Award for non-employee directors</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10.18</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Employment and Compensation Agreement, effective January 1, 2009, between the Company and Joseph L. Rotunda (incorporated by reference to Exhibit 10.1 to the Companys Current Report on Form 8-K dated January 22, 2009 and filed January 27, 2009,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10.19</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Employment and Compensation Agreement, effective September 14, 2009, between the Company and Paul E. Rothamel (incorporated by reference to Exhibit 10.1 to the Companys Annual Report on Form 10-K for the year ended September 30, 2009,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10.20</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Employment and Post-Employment Agreement, dated February 11, 2010, between the Company and Robert A. Kasenter (incorporated by reference to Exhibit 10.1 of the Companys Current Report on Form 8-K dated February 11, 2010 and filed February 16, 2010,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10.21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Separation Agreement and Release, dated May 17, 2010, between the Company and Charles Bradford Wolfe (incorporated by reference to Exhibit 99.1 to the Companys Current Report on Form 8-K dated May 21, 2010 and filed May 26, 2010,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10.22</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Consulting Agreement, effective November 1, 2010, between the Company and Joseph L. Rotunda (incorporated by reference to Exhibit 99.1 to the Companys Current Report on Form 8-K dated October 8, 2010 and filed October 12, 2010, Commission File No. 0-19424)</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10.23</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Consulting Agreement, effective October 5, 2010, between the Company and Robert A. Kasenter</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21.1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Subsidiaries of EZCORP, Inc.</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23.1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Consent of BDO USA, LLP</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31.1</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Certification of Paul E. Rothamel, Chief Executive Officer, pursuant to Rule 13a-14(a) under the Securities Exchange Act of 1934, as adopted pursuant to Section 302 of the Sarbanes-Oxley Act of 2002</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 </w:t>
            </w:r>
          </w:p>
        </w:tc>
        <w:tc>
          <w:tcPr>
            <w:tcW w:w="583" w:type="dxa"/>
            <w:tcBorders/>
            <w:shd w:fill="auto" w:val="clea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 </w:t>
            </w:r>
          </w:p>
        </w:tc>
      </w:tr>
      <w:tr>
        <w:trPr/>
        <w:tc>
          <w:tcPr>
            <w:tcW w:w="277" w:type="dxa"/>
            <w:tcBorders/>
            <w:shd w:fill="auto" w:val="clear"/>
          </w:tcPr>
          <w:p>
            <w:pPr>
              <w:pStyle w:val="TableContents"/>
              <w:spacing w:before="0" w:after="283"/>
              <w:jc w:val="right"/>
              <w:rPr/>
            </w:pPr>
            <w:r>
              <w:rPr/>
              <w:t> </w:t>
            </w:r>
          </w:p>
        </w:tc>
        <w:tc>
          <w:tcPr>
            <w:tcW w:w="721" w:type="dxa"/>
            <w:tcBorders/>
            <w:shd w:fill="auto" w:val="clear"/>
          </w:tcPr>
          <w:p>
            <w:pPr>
              <w:pStyle w:val="TableContents"/>
              <w:spacing w:before="0" w:after="283"/>
              <w:jc w:val="right"/>
              <w:rPr/>
            </w:pPr>
            <w:r>
              <w:rPr/>
              <w:t>31.2</w:t>
            </w:r>
          </w:p>
        </w:tc>
        <w:tc>
          <w:tcPr>
            <w:tcW w:w="583" w:type="dxa"/>
            <w:tcBorders/>
            <w:shd w:fill="auto" w:val="clear"/>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8220" w:type="dxa"/>
            <w:tcBorders/>
            <w:shd w:fill="auto" w:val="clear"/>
          </w:tcPr>
          <w:p>
            <w:pPr>
              <w:pStyle w:val="TableContents"/>
              <w:spacing w:before="0" w:after="0"/>
              <w:ind w:left="0" w:right="0" w:hanging="0"/>
              <w:rPr/>
            </w:pPr>
            <w:r>
              <w:rPr/>
              <w:t>Certification of Stephen A. Stamp, Chief Financial Officer, pursuant to Rule 13a-14(a) under the Securities Exchange Act of 1934, as adopted pursuant to Section 302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25"/>
        <w:gridCol w:w="948"/>
        <w:gridCol w:w="327"/>
        <w:gridCol w:w="401"/>
        <w:gridCol w:w="8204"/>
      </w:tblGrid>
      <w:tr>
        <w:trPr/>
        <w:tc>
          <w:tcPr>
            <w:tcW w:w="325"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8204" w:type="dxa"/>
            <w:tcBorders/>
            <w:shd w:fill="auto" w:val="clear"/>
            <w:vAlign w:val="bottom"/>
          </w:tcPr>
          <w:p>
            <w:pPr>
              <w:pStyle w:val="TableContents"/>
              <w:spacing w:before="0" w:after="283"/>
              <w:rPr/>
            </w:pPr>
            <w:r>
              <w:rPr/>
              <w:t> </w:t>
            </w:r>
          </w:p>
        </w:tc>
      </w:tr>
      <w:tr>
        <w:trPr/>
        <w:tc>
          <w:tcPr>
            <w:tcW w:w="1600" w:type="dxa"/>
            <w:gridSpan w:val="3"/>
            <w:tcBorders>
              <w:bottom w:val="single" w:sz="2" w:space="0" w:color="000000"/>
            </w:tcBorders>
            <w:shd w:fill="auto" w:val="clear"/>
            <w:tcMar>
              <w:bottom w:w="28" w:type="dxa"/>
            </w:tcMar>
            <w:vAlign w:val="bottom"/>
          </w:tcPr>
          <w:p>
            <w:pPr>
              <w:pStyle w:val="TableContents"/>
              <w:spacing w:before="0" w:after="283"/>
              <w:jc w:val="left"/>
              <w:rPr>
                <w:b/>
              </w:rPr>
            </w:pPr>
            <w:r>
              <w:rPr>
                <w:b/>
              </w:rPr>
              <w:t>Exhibit No.</w:t>
            </w:r>
          </w:p>
        </w:tc>
        <w:tc>
          <w:tcPr>
            <w:tcW w:w="401" w:type="dxa"/>
            <w:tcBorders/>
            <w:shd w:fill="auto" w:val="clear"/>
            <w:vAlign w:val="bottom"/>
          </w:tcPr>
          <w:p>
            <w:pPr>
              <w:pStyle w:val="TableContents"/>
              <w:spacing w:before="0" w:after="283"/>
              <w:rPr/>
            </w:pPr>
            <w:r>
              <w:rPr/>
              <w:t> </w:t>
            </w:r>
          </w:p>
        </w:tc>
        <w:tc>
          <w:tcPr>
            <w:tcW w:w="8204"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325" w:type="dxa"/>
            <w:tcBorders/>
            <w:shd w:fill="auto" w:val="clear"/>
          </w:tcPr>
          <w:p>
            <w:pPr>
              <w:pStyle w:val="TableContents"/>
              <w:spacing w:before="0" w:after="283"/>
              <w:jc w:val="right"/>
              <w:rPr/>
            </w:pPr>
            <w:r>
              <w:rPr/>
              <w:t> </w:t>
            </w:r>
          </w:p>
        </w:tc>
        <w:tc>
          <w:tcPr>
            <w:tcW w:w="948" w:type="dxa"/>
            <w:tcBorders/>
            <w:shd w:fill="auto" w:val="clear"/>
          </w:tcPr>
          <w:p>
            <w:pPr>
              <w:pStyle w:val="TableContents"/>
              <w:spacing w:before="0" w:after="283"/>
              <w:jc w:val="right"/>
              <w:rPr/>
            </w:pPr>
            <w:r>
              <w:rPr/>
              <w:t>32.1</w:t>
            </w:r>
          </w:p>
        </w:tc>
        <w:tc>
          <w:tcPr>
            <w:tcW w:w="327" w:type="dxa"/>
            <w:tcBorders/>
            <w:shd w:fill="auto" w:val="clear"/>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8204" w:type="dxa"/>
            <w:tcBorders/>
            <w:shd w:fill="auto" w:val="clear"/>
          </w:tcPr>
          <w:p>
            <w:pPr>
              <w:pStyle w:val="TableContents"/>
              <w:spacing w:before="0" w:after="0"/>
              <w:ind w:left="0" w:right="0" w:hanging="0"/>
              <w:rPr/>
            </w:pPr>
            <w:r>
              <w:rPr/>
              <w:t>Certifications of Paul E. Rothamel, Chief Executive Officer, and Stephen A. Stamp, Chief Financial Officer, pursuant to 18 U.S.C. Section 1350, as adopted pursuant to Section 906 of the Sarbanes-Oxley Act of 2002</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79"/>
        <w:gridCol w:w="111"/>
        <w:gridCol w:w="9715"/>
      </w:tblGrid>
      <w:tr>
        <w:trPr/>
        <w:tc>
          <w:tcPr>
            <w:tcW w:w="37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9715" w:type="dxa"/>
            <w:tcBorders/>
            <w:shd w:fill="auto" w:val="clear"/>
            <w:vAlign w:val="cente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715" w:type="dxa"/>
            <w:tcBorders/>
            <w:shd w:fill="auto" w:val="clear"/>
          </w:tcPr>
          <w:p>
            <w:pPr>
              <w:pStyle w:val="TableContents"/>
              <w:spacing w:before="0" w:after="283"/>
              <w:rPr/>
            </w:pPr>
            <w:r>
              <w:rPr/>
              <w:t>Identifies Exhibit that consists of or includes a management contract or compensatory plan or arrangement.</w:t>
            </w:r>
          </w:p>
        </w:tc>
      </w:tr>
      <w:tr>
        <w:trPr/>
        <w:tc>
          <w:tcPr>
            <w:tcW w:w="379" w:type="dxa"/>
            <w:tcBorders/>
            <w:shd w:fill="auto" w:val="clear"/>
            <w:vAlign w:val="center"/>
          </w:tcPr>
          <w:p>
            <w:pPr>
              <w:pStyle w:val="TableContents"/>
              <w:spacing w:before="0" w:after="283"/>
              <w:rPr/>
            </w:pPr>
            <w:r>
              <w:rPr/>
              <w:t> </w:t>
            </w:r>
          </w:p>
        </w:tc>
        <w:tc>
          <w:tcPr>
            <w:tcW w:w="9826" w:type="dxa"/>
            <w:gridSpan w:val="2"/>
            <w:tcBorders/>
            <w:shd w:fill="auto" w:val="clea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715" w:type="dxa"/>
            <w:tcBorders/>
            <w:shd w:fill="auto" w:val="clear"/>
          </w:tcPr>
          <w:p>
            <w:pPr>
              <w:pStyle w:val="TableContents"/>
              <w:spacing w:before="0" w:after="283"/>
              <w:rPr/>
            </w:pPr>
            <w:r>
              <w:rPr/>
              <w:t>Filed herewith.</w:t>
            </w:r>
          </w:p>
        </w:tc>
      </w:tr>
      <w:tr>
        <w:trPr/>
        <w:tc>
          <w:tcPr>
            <w:tcW w:w="379" w:type="dxa"/>
            <w:tcBorders/>
            <w:shd w:fill="auto" w:val="clear"/>
            <w:vAlign w:val="center"/>
          </w:tcPr>
          <w:p>
            <w:pPr>
              <w:pStyle w:val="TableContents"/>
              <w:spacing w:before="0" w:after="283"/>
              <w:rPr/>
            </w:pPr>
            <w:r>
              <w:rPr/>
              <w:t> </w:t>
            </w:r>
          </w:p>
        </w:tc>
        <w:tc>
          <w:tcPr>
            <w:tcW w:w="9826" w:type="dxa"/>
            <w:gridSpan w:val="2"/>
            <w:tcBorders/>
            <w:shd w:fill="auto" w:val="clea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715" w:type="dxa"/>
            <w:tcBorders/>
            <w:shd w:fill="auto" w:val="clear"/>
          </w:tcPr>
          <w:p>
            <w:pPr>
              <w:pStyle w:val="TableContents"/>
              <w:spacing w:before="0" w:after="283"/>
              <w:rPr/>
            </w:pPr>
            <w:r>
              <w:rPr/>
              <w:t>Furnished herewith.</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122 </w:t>
      </w:r>
      <w:r>
        <w:br w:type="page"/>
      </w:r>
    </w:p>
    <w:p>
      <w:pPr>
        <w:pStyle w:val="TextBody"/>
        <w:spacing w:before="240" w:after="283"/>
        <w:jc w:val="right"/>
        <w:rPr>
          <w:rFonts w:ascii="Times New Roman;Times;serif" w:hAnsi="Times New Roman;Times;serif"/>
          <w:sz w:val="17"/>
        </w:rPr>
      </w:pPr>
      <w:bookmarkStart w:id="35" w:name="d77971exv10w14.htm"/>
      <w:bookmarkStart w:id="36" w:name="ksd77971exv10w14"/>
      <w:bookmarkEnd w:id="35"/>
      <w:bookmarkEnd w:id="36"/>
      <w:r>
        <w:rPr>
          <w:rFonts w:ascii="Times New Roman;Times;serif" w:hAnsi="Times New Roman;Times;serif"/>
          <w:b/>
          <w:sz w:val="17"/>
        </w:rPr>
        <w:t>Exhibit 10.14</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INCENTIVE COMPENSATION PLAN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Inc., a Delaware corporation (the </w:t>
      </w:r>
      <w:r>
        <w:rPr>
          <w:rFonts w:ascii="Times New Roman;Times;serif" w:hAnsi="Times New Roman;Times;serif"/>
          <w:b/>
          <w:i/>
          <w:sz w:val="17"/>
        </w:rPr>
        <w:t>Company</w:t>
      </w:r>
      <w:r>
        <w:rPr>
          <w:rFonts w:ascii="Times New Roman;Times;serif" w:hAnsi="Times New Roman;Times;serif"/>
          <w:sz w:val="17"/>
        </w:rPr>
        <w:t>), adopts this Incentive Compensation Plan (the </w:t>
      </w:r>
      <w:r>
        <w:rPr>
          <w:rFonts w:ascii="Times New Roman;Times;serif" w:hAnsi="Times New Roman;Times;serif"/>
          <w:b/>
          <w:i/>
          <w:sz w:val="17"/>
        </w:rPr>
        <w:t>Plan</w:t>
      </w:r>
      <w:r>
        <w:rPr>
          <w:rFonts w:ascii="Times New Roman;Times;serif" w:hAnsi="Times New Roman;Times;serif"/>
          <w:sz w:val="17"/>
        </w:rPr>
        <w:t>) to provide additional financial incentives for executives and selected key employees to promote the success of the Company and to enhance the Companys ability to attract and retain highly qualified executives and other key employees. Under the Plan, each Plan Participant (as defined below) shall have the opportunity to earn an annual bonus (an </w:t>
      </w:r>
      <w:r>
        <w:rPr>
          <w:rFonts w:ascii="Times New Roman;Times;serif" w:hAnsi="Times New Roman;Times;serif"/>
          <w:b/>
          <w:i/>
          <w:sz w:val="17"/>
        </w:rPr>
        <w:t>Incentive Bonus</w:t>
      </w:r>
      <w:r>
        <w:rPr>
          <w:rFonts w:ascii="Times New Roman;Times;serif" w:hAnsi="Times New Roman;Times;serif"/>
          <w:sz w:val="17"/>
        </w:rPr>
        <w:t xml:space="preserve">) based on Company, business unit or individual performance or a combination thereof.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Compensation payable under the Plan to Executive Officers is intended to constitute qualified performance-based compensation for purposes of Section 162(m) of the Internal Revenue Code of 1986, as amended, and Section 1.162-27 of the Treasury Regulations promulgated thereunder, and the Plan shall be construed consistently with such intention.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Administration of the Plan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The Plan shall be administered by the Compensation Committee of the Companys Board of Directors (the </w:t>
      </w:r>
      <w:r>
        <w:rPr>
          <w:rFonts w:ascii="Times New Roman;Times;serif" w:hAnsi="Times New Roman;Times;serif"/>
          <w:b/>
          <w:i/>
          <w:sz w:val="17"/>
        </w:rPr>
        <w:t>Committee</w:t>
      </w:r>
      <w:r>
        <w:rPr>
          <w:rFonts w:ascii="Times New Roman;Times;serif" w:hAnsi="Times New Roman;Times;serif"/>
          <w:sz w:val="17"/>
        </w:rPr>
        <w:t xml:space="preserve">), which shall have full power and authority to construe, interpret and administer the Plan and shall have the exclusive right to establish, adjust, pay or decline to pay the Incentive Bonus for each Plan participant (subject to the limitations and restrictions stated in the Plan). Such power and authority shall include the right to exercise discretion to increase or reduce by any amount the Incentive Bonus otherwise payable to any Plan Participant; provided, however, that (a) the Committee shall not have any discretion to increase the Incentive Bonus otherwise payable to an Executive Officer, and (b) the exercise of discretion with respect to any Plan Participant shall not have the effect of increasing the Incentive Bonus that is otherwise payable to any Executive Officer. All Committee actions under the Plan shall be taken in accordance with the applicable provisions of the Companys By-laws and the Committees Charter.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Committee may delegate any or all of its authority and responsibilities with respect to the Plan and Incentive Bonuses, on such terms and conditions as it considers appropriate, to the Chief Executive Officer of the Company; provided, however, that all determinations and decisions regarding Incentive Bonuses to the Executive Officers may not be delegated and shall be made by the Committee. All references to Committee herein shall include those persons to whom the Committee has properly delegated authority and responsibility.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Participants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The following persons shall be participants in the Plan (</w:t>
      </w:r>
      <w:r>
        <w:rPr>
          <w:rFonts w:ascii="Times New Roman;Times;serif" w:hAnsi="Times New Roman;Times;serif"/>
          <w:b/>
          <w:i/>
          <w:sz w:val="17"/>
        </w:rPr>
        <w:t>Plan Participants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persons who, from time to time, are designated by the Board of Directors as Executive Officers.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Those other employees of the Company or any of its subsidiaries who are designated for participation in the Plan with respect to any fiscal year, taking into consideration (a) whether incentive-based compensation components are typically available for comparable positions at competitor companies and (b) each employees potential to make meaningful and substantial contributions to the achievement of the Companys strategic, financial and other performance goals.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persons selection as a Plan Participant for any fiscal year will be evidenced by a personalized Award Statement delivered to them. After a person has been designated as a Plan Participant, he or she may be removed from the Plan at any time and for any reason.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Awards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 later than the 90th day of each fiscal year, the Committee, in its sole and absolute discretion, shall designate the Plan Participants for such fiscal year and shall specify the terms and conditions for the determination and payment of an Incentive Bonus to each Plan Participant for such fiscal year. After the end of such 90-day period, the Committee may designate additional Plan Participants so long as, within 30 days following each such additional designation, the Committee specifies the terms and conditions for the determination and payment of an Incentive Bonus to such additional Plan Participant.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Committee may condition the payment of an Incentive Bonus upon the satisfaction of such objective or subjective standards as the Committee shall determine to be appropriate, in its sole and absolute discretion, and shall retain the discretion to increase or reduce the amount of any Incentive Bonus that would otherwise be payable to a Plan Participant; provided, however, that the Committee shall have no discretion to increase the amount of any Incentive Bonus that would otherwise be payable to an Executive Officer.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Each Incentive Bonus awarded to an Executive Officer shall be conditioned on the achievement of one or more of the following </w:t>
      </w:r>
      <w:r>
        <w:rPr>
          <w:rFonts w:ascii="Times New Roman;Times;serif" w:hAnsi="Times New Roman;Times;serif"/>
          <w:b/>
          <w:i/>
          <w:sz w:val="17"/>
        </w:rPr>
        <w:t>Performance Measures</w:t>
      </w:r>
      <w:r>
        <w:rPr>
          <w:rFonts w:ascii="Times New Roman;Times;serif" w:hAnsi="Times New Roman;Times;serif"/>
          <w:sz w:val="17"/>
        </w:rPr>
        <w:t xml:space="preserve">, calculated on a consolidated basis or a business unit basis, as specified by the Committee: </w:t>
      </w:r>
    </w:p>
    <w:tbl>
      <w:tblPr>
        <w:tblW w:w="5000" w:type="pct"/>
        <w:jc w:val="left"/>
        <w:tblInd w:w="0" w:type="dxa"/>
        <w:tblCellMar>
          <w:top w:w="0" w:type="dxa"/>
          <w:left w:w="0" w:type="dxa"/>
          <w:bottom w:w="0" w:type="dxa"/>
          <w:right w:w="0" w:type="dxa"/>
        </w:tblCellMar>
      </w:tblPr>
      <w:tblGrid>
        <w:gridCol w:w="306"/>
        <w:gridCol w:w="203"/>
        <w:gridCol w:w="101"/>
        <w:gridCol w:w="9595"/>
      </w:tblGrid>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Total stockholder return (stock price appreciation plus dividends);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Net income;</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Earnings per share;</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Return on sales;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Return on equity;</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Return on assets;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Return on invested capital;</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Increase in the market price of stock or other securities;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Revenues;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Net revenues;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Operating income;</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Cash flow;</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EBITDA (earnings before interest, taxes, depreciation, amortization, and gain/loss on sale/disposal of assets);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performance of the Company in any of the above items in comparison to the average performance of the companies used in a self-constructed peer group established before the beginning of the period for measuring performance; or</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Any other performance objective approved by the stockholders of the Company in accordance with Section 162(m) of the Internal Revenue Code.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soon as reasonably practicable after the end of each fiscal year, the Committee shall determine whether the stated performance goal for each Incentive Bonus has been achieved and the amount of the Incentive Bonus to be paid to each Plan Participant for such fiscal year; provided, however, that the Incentive Bonus awarded to any Executive Officer may not exceed 300% of that Executive Officers base salary during the fiscal year for which the Incentive Bonus is awarded.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Subject to any available election duly and validly made by a Plan Participant with respect to the deferral of all or a portion of his or her Incentive Bonus, Incentive Bonuses shall be paid in cash at such times (after the determinations described above) and on such terms as are determined by the Committee in its sole and absolute discretion.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shall have the right to withhold, or require a Plan Participant to remit to the Company, an amount sufficient to satisfy any applicable federal, state, local or foreign withholding tax requirements imposed with respect to the payment of any Incentive Bonus.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Adoption, Amendment, Suspension and Termination of the Plan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Subject to the approval of the Plan by the holder of the Companys Class B Voting Common Stock, the Plan shall be effective for the fiscal year of the Company commencing October 1, 2010 and shall continue in effect until September 30, 2015, unless earlier terminated as provided below. Notwithstanding the termination of the Plan on September 30, 2015, the Plan shall continue in effect solely for the purpose of determining and paying out Incentive Bonuses for the fiscal year ended September 30, 2015.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Board of Directors may at any time suspend or terminate the Plan and may amend it from time to time in such respects as the Board may deem advisable; provided, however, that the Board shall not amend the Plan in any of the following respects without the approval of the holder of the Companys Class B Voting Common Stock: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To increase the maximum amount of Incentive Bonus that may be paid to an Executive Officer under the Plan;</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To materially modify the requirements as to eligibility for participation in the Plan; or</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To materially modify the definition of Performance Measures.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 Incentive Bonus may be awarded during any suspension or after termination of the Plan, and no amendment, suspension or termination of the Plan shall, without the consent of the person affected thereby, alter or impair any rights or obligations under any Incentive Bonus previously awarded under the Plan.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Miscellaneous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No Right to Bonus or Continued Employment  </w:t>
      </w:r>
      <w:r>
        <w:rPr>
          <w:rFonts w:ascii="Times New Roman;Times;serif" w:hAnsi="Times New Roman;Times;serif"/>
          <w:sz w:val="17"/>
        </w:rPr>
        <w:t xml:space="preserve">Neither the establishment of the Plan, the provision for or payment of any amounts under the Plan nor any action of the Company, the Board of Directors or the Committee with respect to the Plan shall be held or construed to confer upon any person (a) any legal right to receive, or any interest in, an Incentive Bonus or any other benefit under the Plan or (b) any legal right to continue to serve as an officer or employee of the Company or any subsidiary of the Company. The Company expressly reserves any and all rights to discharge any Plan Participant without incurring liability to any person under the Plan or otherwise. Notwithstanding any other provision of the Plan and notwithstanding the fact that any stated performance goal has been achieved or the individual Incentive Bonus amounts have been determined, the Company shall have no obligation to pay any Incentive Bonus under the Plan unless the Committee otherwise expressly provides by written contract or other written commitment.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Nontransferability  </w:t>
      </w:r>
      <w:r>
        <w:rPr>
          <w:rFonts w:ascii="Times New Roman;Times;serif" w:hAnsi="Times New Roman;Times;serif"/>
          <w:sz w:val="17"/>
        </w:rPr>
        <w:t xml:space="preserve">Except as expressly provided by the Committee, the rights and benefits under the Plan are personal to a Plan Participant and shall not be subject to any voluntary or involuntary alienation, assignment, pledge, transfer or other disposition.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Unfunded Plan  </w:t>
      </w:r>
      <w:r>
        <w:rPr>
          <w:rFonts w:ascii="Times New Roman;Times;serif" w:hAnsi="Times New Roman;Times;serif"/>
          <w:sz w:val="17"/>
        </w:rPr>
        <w:t xml:space="preserve">The Company shall have no obligation to reserve or otherwise fund in advance any amounts that are or may in the future become payable under the Plan. Any funds that the Company, acting in its sole and absolute discretion, determines to reserve for future payments under the Plan may be commingled with other funds of the Company and need not in any way be segregated from other assets or funds held by the Company. A Plan Participants rights to payment under the Plan shall be limited to those of a general creditor of the Company.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Governing Law  </w:t>
      </w:r>
      <w:r>
        <w:rPr>
          <w:rFonts w:ascii="Times New Roman;Times;serif" w:hAnsi="Times New Roman;Times;serif"/>
          <w:sz w:val="17"/>
        </w:rPr>
        <w:t xml:space="preserve">The validity, interpretation and effect of the Plan, and the rights of all persons hereunder, shall be governed by and determined in accordance with the laws of the State of Delaware, other than the choice of law rules thereof. </w:t>
      </w:r>
    </w:p>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37" w:name="d77971exv10w15.htm"/>
      <w:bookmarkStart w:id="38" w:name="ksd77971exv10w15"/>
      <w:bookmarkEnd w:id="37"/>
      <w:bookmarkEnd w:id="38"/>
      <w:r>
        <w:rPr>
          <w:rFonts w:ascii="Times New Roman;Times;serif" w:hAnsi="Times New Roman;Times;serif"/>
          <w:b/>
          <w:sz w:val="17"/>
        </w:rPr>
        <w:t>Exhibit 10.15</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PROTECTION OF SENSITIVE INFORMATION,</w:t>
        <w:br/>
        <w:t>NONCOMPETITION AND NONSOLICITATION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Employee identified on the signature page of this Agreement (Employee) is employed by EZCORP, Inc., a Delaware corporation, or one of its subsidiaries (collectively, the Company), in a position of trust and confidence. The Company expects Employee to continue to play a critical role in the Companys future business operations and desires to provide Employee with the strategic information and tools necessary to enable Employee to help the Company achieve its long-term goals. In the performance of Employees duties for the Company, the Company has provided, and expects to continue to provide, Employee with Sensitive Information (as defined below). The Company seeks to protect its confidential and proprietary information (including Sensitive Information), trade secrets and goodwill. Therefore, Employee and the Company hereby agree as follows: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For purposes of this Agreement, Sensitive Information means that subset of non-public Company information that is not generally disclosed to non-management employees of the Company, including the following:</w:t>
            </w:r>
          </w:p>
        </w:tc>
      </w:tr>
    </w:tbl>
    <w:tbl>
      <w:tblPr>
        <w:tblW w:w="5000" w:type="pct"/>
        <w:jc w:val="left"/>
        <w:tblInd w:w="0" w:type="dxa"/>
        <w:tblCellMar>
          <w:top w:w="0" w:type="dxa"/>
          <w:left w:w="0" w:type="dxa"/>
          <w:bottom w:w="0" w:type="dxa"/>
          <w:right w:w="0" w:type="dxa"/>
        </w:tblCellMar>
      </w:tblPr>
      <w:tblGrid>
        <w:gridCol w:w="306"/>
        <w:gridCol w:w="296"/>
        <w:gridCol w:w="116"/>
        <w:gridCol w:w="9487"/>
      </w:tblGrid>
      <w:tr>
        <w:trPr/>
        <w:tc>
          <w:tcPr>
            <w:tcW w:w="306"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(a)</w:t>
            </w:r>
          </w:p>
        </w:tc>
        <w:tc>
          <w:tcPr>
            <w:tcW w:w="116"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rPr/>
            </w:pPr>
            <w:r>
              <w:rPr/>
              <w:t>Technical information of the Company or third parties that is in use, planned or under development, such as processes or strategies, system design or capabilities, and any other databases, methods, know-how, formulae, compositions, technological data, technological prototypes, processes, discoveries, machines, inventions and similar items;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(b)</w:t>
            </w:r>
          </w:p>
        </w:tc>
        <w:tc>
          <w:tcPr>
            <w:tcW w:w="116"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rPr/>
            </w:pPr>
            <w:r>
              <w:rPr/>
              <w:t>Business information of the Company or third parties, such as actual and anticipated relationships between the Company and other companies; financial information (including sales levels, pricing, profit levels and other unpublished financial data); information relating to customer or vendor relationships (including performance requirements, development and delivery schedules, customer lists, customer preferences, financial information and credit information); and similar items;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(c)</w:t>
            </w:r>
          </w:p>
        </w:tc>
        <w:tc>
          <w:tcPr>
            <w:tcW w:w="116"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rPr/>
            </w:pPr>
            <w:r>
              <w:rPr/>
              <w:t>Personnel information of the Company and its affiliates, such as information relating to employees of the Company (including information related to staffing, performance, skills, qualifications, abilities and compensation), key talent information, organizational human resource planning information and similar items;</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(d)</w:t>
            </w:r>
          </w:p>
        </w:tc>
        <w:tc>
          <w:tcPr>
            <w:tcW w:w="116"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rPr/>
            </w:pPr>
            <w:r>
              <w:rPr/>
              <w:t>Information relating to future plans of the Company, such as marketing strategies, new product research, pending projects and proposals and similar items; and</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(e)</w:t>
            </w:r>
          </w:p>
        </w:tc>
        <w:tc>
          <w:tcPr>
            <w:tcW w:w="116"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rPr/>
            </w:pPr>
            <w:r>
              <w:rPr/>
              <w:t>Any other information that the Company is required to keep confidential by law or agreement with any party.</w:t>
            </w:r>
          </w:p>
        </w:tc>
      </w:tr>
    </w:tbl>
    <w:tbl>
      <w:tblPr>
        <w:tblW w:w="5000" w:type="pct"/>
        <w:jc w:val="left"/>
        <w:tblInd w:w="0" w:type="dxa"/>
        <w:tblCellMar>
          <w:top w:w="0" w:type="dxa"/>
          <w:left w:w="0" w:type="dxa"/>
          <w:bottom w:w="0" w:type="dxa"/>
          <w:right w:w="0" w:type="dxa"/>
        </w:tblCellMar>
      </w:tblPr>
      <w:tblGrid>
        <w:gridCol w:w="207"/>
        <w:gridCol w:w="102"/>
        <w:gridCol w:w="9896"/>
      </w:tblGrid>
      <w:tr>
        <w:trPr/>
        <w:tc>
          <w:tcPr>
            <w:tcW w:w="207"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283"/>
              <w:rPr/>
            </w:pPr>
            <w:r>
              <w:rPr/>
              <w:t>Employee agrees not to use, publish, misappropriate or disclose any Sensitive Information, except as may be required in the performance of Employees duties for the Company or expressly authorized in writing by the Company, and agrees not to misappropriate or misuse the Companys goodwill.</w:t>
            </w:r>
          </w:p>
        </w:tc>
      </w:tr>
      <w:tr>
        <w:trPr/>
        <w:tc>
          <w:tcPr>
            <w:tcW w:w="207" w:type="dxa"/>
            <w:tcBorders/>
            <w:shd w:fill="auto" w:val="clear"/>
            <w:vAlign w:val="center"/>
          </w:tcPr>
          <w:p>
            <w:pPr>
              <w:pStyle w:val="TableContents"/>
              <w:spacing w:before="0" w:after="283"/>
              <w:rPr/>
            </w:pPr>
            <w:r>
              <w:rPr/>
              <w:t> </w:t>
            </w:r>
          </w:p>
        </w:tc>
        <w:tc>
          <w:tcPr>
            <w:tcW w:w="9998" w:type="dxa"/>
            <w:gridSpan w:val="2"/>
            <w:tcBorders/>
            <w:shd w:fill="auto" w:val="clear"/>
          </w:tcPr>
          <w:p>
            <w:pPr>
              <w:pStyle w:val="TableContents"/>
              <w:spacing w:before="0" w:after="283"/>
              <w:rPr>
                <w:sz w:val="4"/>
                <w:szCs w:val="4"/>
              </w:rPr>
            </w:pPr>
            <w:r>
              <w:rPr>
                <w:sz w:val="4"/>
                <w:szCs w:val="4"/>
              </w:rPr>
            </w:r>
          </w:p>
        </w:tc>
      </w:tr>
      <w:tr>
        <w:trPr/>
        <w:tc>
          <w:tcPr>
            <w:tcW w:w="207"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283"/>
              <w:rPr/>
            </w:pPr>
            <w:r>
              <w:rPr/>
              <w:t>To protect the Companys Sensitive Information and goodwill, and so as to enforce Employees obligations herein, Employee agrees that, while Employee is employed by the Company and for a period of one year following the end of Employees employment with the Company, Employee will not compete with the Company, solicit a Company employee or solicit a Company supplier (in each case, as described below).</w:t>
            </w:r>
          </w:p>
        </w:tc>
      </w:tr>
    </w:tbl>
    <w:tbl>
      <w:tblPr>
        <w:tblW w:w="5000" w:type="pct"/>
        <w:jc w:val="left"/>
        <w:tblInd w:w="0" w:type="dxa"/>
        <w:tblCellMar>
          <w:top w:w="0" w:type="dxa"/>
          <w:left w:w="0" w:type="dxa"/>
          <w:bottom w:w="0" w:type="dxa"/>
          <w:right w:w="0" w:type="dxa"/>
        </w:tblCellMar>
      </w:tblPr>
      <w:tblGrid>
        <w:gridCol w:w="308"/>
        <w:gridCol w:w="276"/>
        <w:gridCol w:w="114"/>
        <w:gridCol w:w="9507"/>
      </w:tblGrid>
      <w:tr>
        <w:trPr/>
        <w:tc>
          <w:tcPr>
            <w:tcW w:w="308"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jc w:val="left"/>
              <w:rPr/>
            </w:pPr>
            <w:r>
              <w:rPr/>
              <w:t>(a)</w:t>
            </w:r>
          </w:p>
        </w:tc>
        <w:tc>
          <w:tcPr>
            <w:tcW w:w="114" w:type="dxa"/>
            <w:tcBorders/>
            <w:shd w:fill="auto" w:val="clear"/>
          </w:tcPr>
          <w:p>
            <w:pPr>
              <w:pStyle w:val="TableContents"/>
              <w:spacing w:before="0" w:after="283"/>
              <w:rPr/>
            </w:pPr>
            <w:r>
              <w:rPr/>
              <w:t> </w:t>
            </w:r>
          </w:p>
        </w:tc>
        <w:tc>
          <w:tcPr>
            <w:tcW w:w="9507" w:type="dxa"/>
            <w:tcBorders/>
            <w:shd w:fill="auto" w:val="clear"/>
          </w:tcPr>
          <w:p>
            <w:pPr>
              <w:pStyle w:val="TableContents"/>
              <w:spacing w:before="0" w:after="283"/>
              <w:rPr/>
            </w:pPr>
            <w:r>
              <w:rPr/>
              <w:t>Employee shall be deemed to compete with the Company if he or she, directly or indirectly:</w:t>
            </w:r>
          </w:p>
        </w:tc>
      </w:tr>
    </w:tbl>
    <w:tbl>
      <w:tblPr>
        <w:tblW w:w="5000" w:type="pct"/>
        <w:jc w:val="left"/>
        <w:tblInd w:w="0" w:type="dxa"/>
        <w:tblCellMar>
          <w:top w:w="0" w:type="dxa"/>
          <w:left w:w="0" w:type="dxa"/>
          <w:bottom w:w="0" w:type="dxa"/>
          <w:right w:w="0" w:type="dxa"/>
        </w:tblCellMar>
      </w:tblPr>
      <w:tblGrid>
        <w:gridCol w:w="605"/>
        <w:gridCol w:w="241"/>
        <w:gridCol w:w="110"/>
        <w:gridCol w:w="9249"/>
      </w:tblGrid>
      <w:tr>
        <w:trPr/>
        <w:tc>
          <w:tcPr>
            <w:tcW w:w="605" w:type="dxa"/>
            <w:tcBorders/>
            <w:shd w:fill="auto" w:val="clear"/>
          </w:tcPr>
          <w:p>
            <w:pPr>
              <w:pStyle w:val="TableContents"/>
              <w:spacing w:before="0" w:after="283"/>
              <w:rPr/>
            </w:pPr>
            <w:r>
              <w:rPr/>
              <w:t> </w:t>
            </w:r>
          </w:p>
        </w:tc>
        <w:tc>
          <w:tcPr>
            <w:tcW w:w="241" w:type="dxa"/>
            <w:tcBorders/>
            <w:shd w:fill="auto" w:val="clear"/>
          </w:tcPr>
          <w:p>
            <w:pPr>
              <w:pStyle w:val="TableContents"/>
              <w:spacing w:before="0" w:after="283"/>
              <w:jc w:val="left"/>
              <w:rPr/>
            </w:pPr>
            <w:r>
              <w:rPr/>
              <w:t>(i)</w:t>
            </w:r>
          </w:p>
        </w:tc>
        <w:tc>
          <w:tcPr>
            <w:tcW w:w="110" w:type="dxa"/>
            <w:tcBorders/>
            <w:shd w:fill="auto" w:val="clear"/>
          </w:tcPr>
          <w:p>
            <w:pPr>
              <w:pStyle w:val="TableContents"/>
              <w:spacing w:before="0" w:after="283"/>
              <w:rPr/>
            </w:pPr>
            <w:r>
              <w:rPr/>
              <w:t> </w:t>
            </w:r>
          </w:p>
        </w:tc>
        <w:tc>
          <w:tcPr>
            <w:tcW w:w="9249" w:type="dxa"/>
            <w:tcBorders/>
            <w:shd w:fill="auto" w:val="clear"/>
          </w:tcPr>
          <w:p>
            <w:pPr>
              <w:pStyle w:val="TableContents"/>
              <w:spacing w:before="0" w:after="283"/>
              <w:rPr/>
            </w:pPr>
            <w:r>
              <w:rPr/>
              <w:t>Is a principal, owner, officer, director, shareholder or other equity owner (other than a holder of less than 5% of the outstanding shares or other equity interests of a publicly traded company) of a Direct Competitor (as defined below);</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591"/>
        <w:gridCol w:w="359"/>
        <w:gridCol w:w="123"/>
        <w:gridCol w:w="9132"/>
      </w:tblGrid>
      <w:tr>
        <w:trPr/>
        <w:tc>
          <w:tcPr>
            <w:tcW w:w="591" w:type="dxa"/>
            <w:tcBorders/>
            <w:shd w:fill="auto" w:val="clear"/>
          </w:tcPr>
          <w:p>
            <w:pPr>
              <w:pStyle w:val="TableContents"/>
              <w:spacing w:before="0" w:after="283"/>
              <w:rPr/>
            </w:pPr>
            <w:r>
              <w:rPr/>
              <w:t> </w:t>
            </w:r>
          </w:p>
        </w:tc>
        <w:tc>
          <w:tcPr>
            <w:tcW w:w="359" w:type="dxa"/>
            <w:tcBorders/>
            <w:shd w:fill="auto" w:val="clear"/>
          </w:tcPr>
          <w:p>
            <w:pPr>
              <w:pStyle w:val="TableContents"/>
              <w:spacing w:before="0" w:after="283"/>
              <w:jc w:val="left"/>
              <w:rPr/>
            </w:pPr>
            <w:r>
              <w:rPr/>
              <w:t>(ii)</w:t>
            </w:r>
          </w:p>
        </w:tc>
        <w:tc>
          <w:tcPr>
            <w:tcW w:w="123" w:type="dxa"/>
            <w:tcBorders/>
            <w:shd w:fill="auto" w:val="clear"/>
          </w:tcPr>
          <w:p>
            <w:pPr>
              <w:pStyle w:val="TableContents"/>
              <w:spacing w:before="0" w:after="283"/>
              <w:rPr/>
            </w:pPr>
            <w:r>
              <w:rPr/>
              <w:t> </w:t>
            </w:r>
          </w:p>
        </w:tc>
        <w:tc>
          <w:tcPr>
            <w:tcW w:w="9132" w:type="dxa"/>
            <w:tcBorders/>
            <w:shd w:fill="auto" w:val="clear"/>
          </w:tcPr>
          <w:p>
            <w:pPr>
              <w:pStyle w:val="TableContents"/>
              <w:spacing w:before="0" w:after="283"/>
              <w:rPr/>
            </w:pPr>
            <w:r>
              <w:rPr/>
              <w:t>Is a partner or joint venturor in any business or other enterprise or undertaking with a Direct Competitor; or</w:t>
            </w:r>
          </w:p>
        </w:tc>
      </w:tr>
      <w:tr>
        <w:trPr/>
        <w:tc>
          <w:tcPr>
            <w:tcW w:w="591" w:type="dxa"/>
            <w:tcBorders/>
            <w:shd w:fill="auto" w:val="clear"/>
            <w:vAlign w:val="center"/>
          </w:tcPr>
          <w:p>
            <w:pPr>
              <w:pStyle w:val="TableContents"/>
              <w:spacing w:before="0" w:after="283"/>
              <w:rPr/>
            </w:pPr>
            <w:r>
              <w:rPr/>
              <w:t> </w:t>
            </w:r>
          </w:p>
        </w:tc>
        <w:tc>
          <w:tcPr>
            <w:tcW w:w="9614" w:type="dxa"/>
            <w:gridSpan w:val="3"/>
            <w:tcBorders/>
            <w:shd w:fill="auto" w:val="clear"/>
          </w:tcPr>
          <w:p>
            <w:pPr>
              <w:pStyle w:val="TableContents"/>
              <w:spacing w:before="0" w:after="283"/>
              <w:rPr>
                <w:sz w:val="4"/>
                <w:szCs w:val="4"/>
              </w:rPr>
            </w:pPr>
            <w:r>
              <w:rPr>
                <w:sz w:val="4"/>
                <w:szCs w:val="4"/>
              </w:rPr>
            </w:r>
          </w:p>
        </w:tc>
      </w:tr>
      <w:tr>
        <w:trPr/>
        <w:tc>
          <w:tcPr>
            <w:tcW w:w="591" w:type="dxa"/>
            <w:tcBorders/>
            <w:shd w:fill="auto" w:val="clear"/>
          </w:tcPr>
          <w:p>
            <w:pPr>
              <w:pStyle w:val="TableContents"/>
              <w:spacing w:before="0" w:after="283"/>
              <w:rPr/>
            </w:pPr>
            <w:r>
              <w:rPr/>
              <w:t> </w:t>
            </w:r>
          </w:p>
        </w:tc>
        <w:tc>
          <w:tcPr>
            <w:tcW w:w="359" w:type="dxa"/>
            <w:tcBorders/>
            <w:shd w:fill="auto" w:val="clear"/>
          </w:tcPr>
          <w:p>
            <w:pPr>
              <w:pStyle w:val="TableContents"/>
              <w:spacing w:before="0" w:after="283"/>
              <w:jc w:val="left"/>
              <w:rPr/>
            </w:pPr>
            <w:r>
              <w:rPr/>
              <w:t>(iii)</w:t>
            </w:r>
          </w:p>
        </w:tc>
        <w:tc>
          <w:tcPr>
            <w:tcW w:w="123" w:type="dxa"/>
            <w:tcBorders/>
            <w:shd w:fill="auto" w:val="clear"/>
          </w:tcPr>
          <w:p>
            <w:pPr>
              <w:pStyle w:val="TableContents"/>
              <w:spacing w:before="0" w:after="283"/>
              <w:rPr/>
            </w:pPr>
            <w:r>
              <w:rPr/>
              <w:t> </w:t>
            </w:r>
          </w:p>
        </w:tc>
        <w:tc>
          <w:tcPr>
            <w:tcW w:w="9132" w:type="dxa"/>
            <w:tcBorders/>
            <w:shd w:fill="auto" w:val="clear"/>
          </w:tcPr>
          <w:p>
            <w:pPr>
              <w:pStyle w:val="TableContents"/>
              <w:spacing w:before="0" w:after="283"/>
              <w:rPr/>
            </w:pPr>
            <w:r>
              <w:rPr/>
              <w:t>Serves or performs work (whether as an employee, contractor, consultant, advisor, representative or agent) for a Direct Competitor that is similar in a material way to the work Employee performed for the Company during his or her employment with the Company.</w:t>
            </w:r>
          </w:p>
        </w:tc>
      </w:tr>
    </w:tbl>
    <w:tbl>
      <w:tblPr>
        <w:tblW w:w="5000" w:type="pct"/>
        <w:jc w:val="left"/>
        <w:tblInd w:w="0" w:type="dxa"/>
        <w:tblCellMar>
          <w:top w:w="0" w:type="dxa"/>
          <w:left w:w="0" w:type="dxa"/>
          <w:bottom w:w="0" w:type="dxa"/>
          <w:right w:w="0" w:type="dxa"/>
        </w:tblCellMar>
      </w:tblPr>
      <w:tblGrid>
        <w:gridCol w:w="305"/>
        <w:gridCol w:w="295"/>
        <w:gridCol w:w="116"/>
        <w:gridCol w:w="9489"/>
      </w:tblGrid>
      <w:tr>
        <w:trPr/>
        <w:tc>
          <w:tcPr>
            <w:tcW w:w="305"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 </w:t>
            </w:r>
          </w:p>
        </w:tc>
        <w:tc>
          <w:tcPr>
            <w:tcW w:w="116" w:type="dxa"/>
            <w:tcBorders/>
            <w:shd w:fill="auto" w:val="clear"/>
          </w:tcPr>
          <w:p>
            <w:pPr>
              <w:pStyle w:val="TableContents"/>
              <w:spacing w:before="0" w:after="283"/>
              <w:rPr/>
            </w:pPr>
            <w:r>
              <w:rPr/>
              <w:t> </w:t>
            </w:r>
          </w:p>
        </w:tc>
        <w:tc>
          <w:tcPr>
            <w:tcW w:w="9489" w:type="dxa"/>
            <w:tcBorders/>
            <w:shd w:fill="auto" w:val="clear"/>
          </w:tcPr>
          <w:p>
            <w:pPr>
              <w:pStyle w:val="TableContents"/>
              <w:spacing w:before="0" w:after="283"/>
              <w:rPr/>
            </w:pPr>
            <w:r>
              <w:rPr/>
              <w:t>The term Direct Competitor means any entity, sole proprietorship or other business concern that, within the Restricted Area (as defined below), offers or plans to offer products or services that are materially competitive with any of the products or services being offered or marketed, or are being actively developed, by the Company as of the date Employees employment ends. The term Restricted Area means the area within a 25-mile radius of any of the locations at which the Company offers products or services as of the date Employees employment ends.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6" w:type="dxa"/>
            <w:tcBorders/>
            <w:shd w:fill="auto" w:val="clear"/>
          </w:tcPr>
          <w:p>
            <w:pPr>
              <w:pStyle w:val="TableContents"/>
              <w:spacing w:before="0" w:after="283"/>
              <w:rPr/>
            </w:pPr>
            <w:r>
              <w:rPr/>
              <w:t> </w:t>
            </w:r>
          </w:p>
        </w:tc>
        <w:tc>
          <w:tcPr>
            <w:tcW w:w="9489" w:type="dxa"/>
            <w:tcBorders/>
            <w:shd w:fill="auto" w:val="clear"/>
          </w:tcPr>
          <w:p>
            <w:pPr>
              <w:pStyle w:val="TableContents"/>
              <w:spacing w:before="0" w:after="283"/>
              <w:rPr/>
            </w:pPr>
            <w:r>
              <w:rPr/>
              <w:t>Employee shall be deemed to solicit a Company employee if he or she, directly or indirectly by assisting or advising another person, (i) recruits, solicits, advises, assist, attempts to influence or otherwise induces or persuades any person employed by the Company to end his or her employment relationship with the Company or to accept employment with any other person or entity, or (ii) facilitates, or plays any role in (including through any form of communication, whether initiated by Employee or others), the decision, consideration or action of any such employee of the Company to end his or her employment relationship with the Company or to accept employment with any other person or entity.</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6" w:type="dxa"/>
            <w:tcBorders/>
            <w:shd w:fill="auto" w:val="clear"/>
          </w:tcPr>
          <w:p>
            <w:pPr>
              <w:pStyle w:val="TableContents"/>
              <w:spacing w:before="0" w:after="283"/>
              <w:rPr/>
            </w:pPr>
            <w:r>
              <w:rPr/>
              <w:t> </w:t>
            </w:r>
          </w:p>
        </w:tc>
        <w:tc>
          <w:tcPr>
            <w:tcW w:w="9489" w:type="dxa"/>
            <w:tcBorders/>
            <w:shd w:fill="auto" w:val="clear"/>
          </w:tcPr>
          <w:p>
            <w:pPr>
              <w:pStyle w:val="TableContents"/>
              <w:spacing w:before="0" w:after="283"/>
              <w:rPr/>
            </w:pPr>
            <w:r>
              <w:rPr/>
              <w:t>Employee shall be deemed to solicit a Company supplier if he or she, directly or indirectly by assisting or advising another person, encourages any supplier, business partner or vendor of the Company with whom Employee had any contact on behalf of the Company during his or her employment or about whom Employee has any Sensitive Information to terminate or diminish its relationship with the Company.</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Employee represents and agrees that, following the end of his or her employment with the Company, he or she will be willing and able to engage in employment not prohibited by this Agreement. If Employee subsequently desires to pursue an opportunity prohibited by the terms of this Agreement, Employee agrees to make written request to the General Counsel of the Company for a modification of the restrictions contained in this Agreement prior to pursuing the opportunity, such request to include the name and address of the entity or business concern involved (if any) and the title, nature and duties of the activity Employee wishes to pursue.</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Employee and the Company agree and believe that the terms of this Agreement are reasonable and do not impose a greater restraint than necessary to protect the Companys Sensitive Information, goodwill and other legitimate business interests. If a court of competent jurisdiction holds this not be the case, Employee and the Company agree that the terms of this Agreement are hereby automatically reformed and rewritten to the extent necessary to make the Agreement valid and enforceable. Employee and the Company also agree to request that the court not invalidate or ignore the terms of this Agreement but instead to honor this provision by reforming or modifying any overbroad or otherwise invalid terms to the extent needed to render the terms valid and enforceable and then enforcing the Agreement as reformed or modified. It is the express intent of Employee and the Company that the terms of this Agreement be enforced to the full extent permitted by law.</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6.</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Employee acknowledges and agrees that a violation of this Agreement would cause irreparable harm to the Company, and Employee agrees that the Company will be entitled to an injunction restraining any violation or further violation of such provisions. In this connection, Employee covenants that he or she will not assert in any proceeding that any given violation or further violation of the covenants contained in this Agreement (a) will not result in irreparable harm to the Company or (b) could be remedied adequately at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30"/>
        <w:gridCol w:w="119"/>
        <w:gridCol w:w="9756"/>
      </w:tblGrid>
      <w:tr>
        <w:trPr/>
        <w:tc>
          <w:tcPr>
            <w:tcW w:w="330" w:type="dxa"/>
            <w:tcBorders/>
            <w:shd w:fill="auto" w:val="clear"/>
          </w:tcPr>
          <w:p>
            <w:pPr>
              <w:pStyle w:val="TableContents"/>
              <w:spacing w:before="0" w:after="283"/>
              <w:jc w:val="left"/>
              <w:rPr/>
            </w:pPr>
            <w:r>
              <w:rPr/>
              <w:t> </w:t>
            </w:r>
          </w:p>
        </w:tc>
        <w:tc>
          <w:tcPr>
            <w:tcW w:w="119" w:type="dxa"/>
            <w:tcBorders/>
            <w:shd w:fill="auto" w:val="clear"/>
          </w:tcPr>
          <w:p>
            <w:pPr>
              <w:pStyle w:val="TableContents"/>
              <w:spacing w:before="0" w:after="283"/>
              <w:rPr/>
            </w:pPr>
            <w:r>
              <w:rPr/>
              <w:t> </w:t>
            </w:r>
          </w:p>
        </w:tc>
        <w:tc>
          <w:tcPr>
            <w:tcW w:w="9756" w:type="dxa"/>
            <w:tcBorders/>
            <w:shd w:fill="auto" w:val="clear"/>
          </w:tcPr>
          <w:p>
            <w:pPr>
              <w:pStyle w:val="TableContents"/>
              <w:spacing w:before="0" w:after="283"/>
              <w:rPr/>
            </w:pPr>
            <w:r>
              <w:rPr/>
              <w:t>law. The Companys right to injunctive relief shall be cumulative and in addition to any other remedies provided by law or equity or pursuant to other agreements with Employee.</w:t>
            </w:r>
          </w:p>
        </w:tc>
      </w:tr>
      <w:tr>
        <w:trPr/>
        <w:tc>
          <w:tcPr>
            <w:tcW w:w="330" w:type="dxa"/>
            <w:tcBorders/>
            <w:shd w:fill="auto" w:val="clear"/>
            <w:vAlign w:val="center"/>
          </w:tcPr>
          <w:p>
            <w:pPr>
              <w:pStyle w:val="TableContents"/>
              <w:spacing w:before="0" w:after="283"/>
              <w:rPr/>
            </w:pPr>
            <w:r>
              <w:rPr/>
              <w:t> </w:t>
            </w:r>
          </w:p>
        </w:tc>
        <w:tc>
          <w:tcPr>
            <w:tcW w:w="9875" w:type="dxa"/>
            <w:gridSpan w:val="2"/>
            <w:tcBorders/>
            <w:shd w:fill="auto" w:val="clear"/>
          </w:tcPr>
          <w:p>
            <w:pPr>
              <w:pStyle w:val="TableContents"/>
              <w:spacing w:before="0" w:after="283"/>
              <w:rPr>
                <w:sz w:val="4"/>
                <w:szCs w:val="4"/>
              </w:rPr>
            </w:pPr>
            <w:r>
              <w:rPr>
                <w:sz w:val="4"/>
                <w:szCs w:val="4"/>
              </w:rPr>
            </w:r>
          </w:p>
        </w:tc>
      </w:tr>
      <w:tr>
        <w:trPr/>
        <w:tc>
          <w:tcPr>
            <w:tcW w:w="330" w:type="dxa"/>
            <w:tcBorders/>
            <w:shd w:fill="auto" w:val="clear"/>
          </w:tcPr>
          <w:p>
            <w:pPr>
              <w:pStyle w:val="TableContents"/>
              <w:spacing w:before="0" w:after="283"/>
              <w:jc w:val="left"/>
              <w:rPr/>
            </w:pPr>
            <w:r>
              <w:rPr/>
              <w:t>7.</w:t>
            </w:r>
          </w:p>
        </w:tc>
        <w:tc>
          <w:tcPr>
            <w:tcW w:w="119" w:type="dxa"/>
            <w:tcBorders/>
            <w:shd w:fill="auto" w:val="clear"/>
          </w:tcPr>
          <w:p>
            <w:pPr>
              <w:pStyle w:val="TableContents"/>
              <w:spacing w:before="0" w:after="283"/>
              <w:rPr/>
            </w:pPr>
            <w:r>
              <w:rPr/>
              <w:t> </w:t>
            </w:r>
          </w:p>
        </w:tc>
        <w:tc>
          <w:tcPr>
            <w:tcW w:w="9756" w:type="dxa"/>
            <w:tcBorders/>
            <w:shd w:fill="auto" w:val="clear"/>
          </w:tcPr>
          <w:p>
            <w:pPr>
              <w:pStyle w:val="TableContents"/>
              <w:spacing w:before="0" w:after="283"/>
              <w:rPr/>
            </w:pPr>
            <w:r>
              <w:rPr/>
              <w:t>THIS AGREEMENT SHALL BE INTERPRETED IN ALL RESPECTS BY THE INTERNAL LAWS OF THE STATE OF TEXAS, AND THE VENUE FOR THE RESOLUTION OF ANY DISPUTES (LOCATION OF ANY LAWSUIT) SHALL BE SOLELY IN THE STATE AND FEDERAL COURTS OF TRAVIS COUNTY, TEXAS.</w:t>
            </w:r>
          </w:p>
        </w:tc>
      </w:tr>
      <w:tr>
        <w:trPr/>
        <w:tc>
          <w:tcPr>
            <w:tcW w:w="330" w:type="dxa"/>
            <w:tcBorders/>
            <w:shd w:fill="auto" w:val="clear"/>
            <w:vAlign w:val="center"/>
          </w:tcPr>
          <w:p>
            <w:pPr>
              <w:pStyle w:val="TableContents"/>
              <w:spacing w:before="0" w:after="283"/>
              <w:rPr/>
            </w:pPr>
            <w:r>
              <w:rPr/>
              <w:t> </w:t>
            </w:r>
          </w:p>
        </w:tc>
        <w:tc>
          <w:tcPr>
            <w:tcW w:w="9875" w:type="dxa"/>
            <w:gridSpan w:val="2"/>
            <w:tcBorders/>
            <w:shd w:fill="auto" w:val="clear"/>
          </w:tcPr>
          <w:p>
            <w:pPr>
              <w:pStyle w:val="TableContents"/>
              <w:spacing w:before="0" w:after="283"/>
              <w:rPr>
                <w:sz w:val="4"/>
                <w:szCs w:val="4"/>
              </w:rPr>
            </w:pPr>
            <w:r>
              <w:rPr>
                <w:sz w:val="4"/>
                <w:szCs w:val="4"/>
              </w:rPr>
            </w:r>
          </w:p>
        </w:tc>
      </w:tr>
      <w:tr>
        <w:trPr/>
        <w:tc>
          <w:tcPr>
            <w:tcW w:w="330" w:type="dxa"/>
            <w:tcBorders/>
            <w:shd w:fill="auto" w:val="clear"/>
          </w:tcPr>
          <w:p>
            <w:pPr>
              <w:pStyle w:val="TableContents"/>
              <w:spacing w:before="0" w:after="283"/>
              <w:jc w:val="left"/>
              <w:rPr/>
            </w:pPr>
            <w:r>
              <w:rPr/>
              <w:t>8.</w:t>
            </w:r>
          </w:p>
        </w:tc>
        <w:tc>
          <w:tcPr>
            <w:tcW w:w="119" w:type="dxa"/>
            <w:tcBorders/>
            <w:shd w:fill="auto" w:val="clear"/>
          </w:tcPr>
          <w:p>
            <w:pPr>
              <w:pStyle w:val="TableContents"/>
              <w:spacing w:before="0" w:after="283"/>
              <w:rPr/>
            </w:pPr>
            <w:r>
              <w:rPr/>
              <w:t> </w:t>
            </w:r>
          </w:p>
        </w:tc>
        <w:tc>
          <w:tcPr>
            <w:tcW w:w="9756" w:type="dxa"/>
            <w:tcBorders/>
            <w:shd w:fill="auto" w:val="clear"/>
          </w:tcPr>
          <w:p>
            <w:pPr>
              <w:pStyle w:val="TableContents"/>
              <w:spacing w:before="0" w:after="283"/>
              <w:rPr/>
            </w:pPr>
            <w:r>
              <w:rPr/>
              <w:t>The fact that one or more Paragraphs (or portion thereof) of this Agreement may be deemed invalid or unenforceable by any court shall not invalidate the remaining Paragraphs or portions of such Paragraphs of this Agreement.</w:t>
            </w:r>
          </w:p>
        </w:tc>
      </w:tr>
      <w:tr>
        <w:trPr/>
        <w:tc>
          <w:tcPr>
            <w:tcW w:w="330" w:type="dxa"/>
            <w:tcBorders/>
            <w:shd w:fill="auto" w:val="clear"/>
            <w:vAlign w:val="center"/>
          </w:tcPr>
          <w:p>
            <w:pPr>
              <w:pStyle w:val="TableContents"/>
              <w:spacing w:before="0" w:after="283"/>
              <w:rPr/>
            </w:pPr>
            <w:r>
              <w:rPr/>
              <w:t> </w:t>
            </w:r>
          </w:p>
        </w:tc>
        <w:tc>
          <w:tcPr>
            <w:tcW w:w="9875" w:type="dxa"/>
            <w:gridSpan w:val="2"/>
            <w:tcBorders/>
            <w:shd w:fill="auto" w:val="clear"/>
          </w:tcPr>
          <w:p>
            <w:pPr>
              <w:pStyle w:val="TableContents"/>
              <w:spacing w:before="0" w:after="283"/>
              <w:rPr>
                <w:sz w:val="4"/>
                <w:szCs w:val="4"/>
              </w:rPr>
            </w:pPr>
            <w:r>
              <w:rPr>
                <w:sz w:val="4"/>
                <w:szCs w:val="4"/>
              </w:rPr>
            </w:r>
          </w:p>
        </w:tc>
      </w:tr>
      <w:tr>
        <w:trPr/>
        <w:tc>
          <w:tcPr>
            <w:tcW w:w="330" w:type="dxa"/>
            <w:tcBorders/>
            <w:shd w:fill="auto" w:val="clear"/>
          </w:tcPr>
          <w:p>
            <w:pPr>
              <w:pStyle w:val="TableContents"/>
              <w:spacing w:before="0" w:after="283"/>
              <w:jc w:val="left"/>
              <w:rPr/>
            </w:pPr>
            <w:r>
              <w:rPr/>
              <w:t>9.</w:t>
            </w:r>
          </w:p>
        </w:tc>
        <w:tc>
          <w:tcPr>
            <w:tcW w:w="119" w:type="dxa"/>
            <w:tcBorders/>
            <w:shd w:fill="auto" w:val="clear"/>
          </w:tcPr>
          <w:p>
            <w:pPr>
              <w:pStyle w:val="TableContents"/>
              <w:spacing w:before="0" w:after="283"/>
              <w:rPr/>
            </w:pPr>
            <w:r>
              <w:rPr/>
              <w:t> </w:t>
            </w:r>
          </w:p>
        </w:tc>
        <w:tc>
          <w:tcPr>
            <w:tcW w:w="9756" w:type="dxa"/>
            <w:tcBorders/>
            <w:shd w:fill="auto" w:val="clear"/>
          </w:tcPr>
          <w:p>
            <w:pPr>
              <w:pStyle w:val="TableContents"/>
              <w:spacing w:before="0" w:after="283"/>
              <w:rPr>
                <w:b/>
              </w:rPr>
            </w:pPr>
            <w:r>
              <w:rPr>
                <w:b/>
              </w:rPr>
              <w:t>Employee acknowledges (a) that he or she has carefully read this Agreement and is signing it voluntarily with full knowledge of its contents, (b) that he or she has been advised by counsel to the extent he or she deems necessary, appropriate or desirable and (c) that he or she understands and accepts all the terms of this Agreement. Employee agrees that he or she will continue to be bound by the provisions of this Agreement after his or her employment relationship with the Company has ended.</w:t>
            </w:r>
          </w:p>
        </w:tc>
      </w:tr>
      <w:tr>
        <w:trPr/>
        <w:tc>
          <w:tcPr>
            <w:tcW w:w="330" w:type="dxa"/>
            <w:tcBorders/>
            <w:shd w:fill="auto" w:val="clear"/>
            <w:vAlign w:val="center"/>
          </w:tcPr>
          <w:p>
            <w:pPr>
              <w:pStyle w:val="TableContents"/>
              <w:spacing w:before="0" w:after="283"/>
              <w:rPr/>
            </w:pPr>
            <w:r>
              <w:rPr/>
              <w:t> </w:t>
            </w:r>
          </w:p>
        </w:tc>
        <w:tc>
          <w:tcPr>
            <w:tcW w:w="9875" w:type="dxa"/>
            <w:gridSpan w:val="2"/>
            <w:tcBorders/>
            <w:shd w:fill="auto" w:val="clear"/>
          </w:tcPr>
          <w:p>
            <w:pPr>
              <w:pStyle w:val="TableContents"/>
              <w:spacing w:before="0" w:after="283"/>
              <w:rPr>
                <w:sz w:val="4"/>
                <w:szCs w:val="4"/>
              </w:rPr>
            </w:pPr>
            <w:r>
              <w:rPr>
                <w:sz w:val="4"/>
                <w:szCs w:val="4"/>
              </w:rPr>
            </w:r>
          </w:p>
        </w:tc>
      </w:tr>
      <w:tr>
        <w:trPr/>
        <w:tc>
          <w:tcPr>
            <w:tcW w:w="330" w:type="dxa"/>
            <w:tcBorders/>
            <w:shd w:fill="auto" w:val="clear"/>
          </w:tcPr>
          <w:p>
            <w:pPr>
              <w:pStyle w:val="TableContents"/>
              <w:spacing w:before="0" w:after="283"/>
              <w:jc w:val="left"/>
              <w:rPr/>
            </w:pPr>
            <w:r>
              <w:rPr/>
              <w:t>10.</w:t>
            </w:r>
          </w:p>
        </w:tc>
        <w:tc>
          <w:tcPr>
            <w:tcW w:w="119" w:type="dxa"/>
            <w:tcBorders/>
            <w:shd w:fill="auto" w:val="clear"/>
          </w:tcPr>
          <w:p>
            <w:pPr>
              <w:pStyle w:val="TableContents"/>
              <w:spacing w:before="0" w:after="283"/>
              <w:rPr/>
            </w:pPr>
            <w:r>
              <w:rPr/>
              <w:t> </w:t>
            </w:r>
          </w:p>
        </w:tc>
        <w:tc>
          <w:tcPr>
            <w:tcW w:w="9756" w:type="dxa"/>
            <w:tcBorders/>
            <w:shd w:fill="auto" w:val="clear"/>
          </w:tcPr>
          <w:p>
            <w:pPr>
              <w:pStyle w:val="TableContents"/>
              <w:spacing w:before="0" w:after="283"/>
              <w:rPr/>
            </w:pPr>
            <w:r>
              <w:rPr/>
              <w:t>This Agreement supplements, and does not supersede, any and all pre-existing agreements between Employee and the Company regarding the subject matter hereof; provided, however, that to the extent there is a conflict between the provisions of this Agreement and the provisions of any such pre-existing agreement, the terms and provisions of this Agreement shall control and shall be given precedence over the terms and provisions of such pre-existing agreement.</w:t>
            </w:r>
          </w:p>
        </w:tc>
      </w:tr>
      <w:tr>
        <w:trPr/>
        <w:tc>
          <w:tcPr>
            <w:tcW w:w="330" w:type="dxa"/>
            <w:tcBorders/>
            <w:shd w:fill="auto" w:val="clear"/>
            <w:vAlign w:val="center"/>
          </w:tcPr>
          <w:p>
            <w:pPr>
              <w:pStyle w:val="TableContents"/>
              <w:spacing w:before="0" w:after="283"/>
              <w:rPr/>
            </w:pPr>
            <w:r>
              <w:rPr/>
              <w:t> </w:t>
            </w:r>
          </w:p>
        </w:tc>
        <w:tc>
          <w:tcPr>
            <w:tcW w:w="9875" w:type="dxa"/>
            <w:gridSpan w:val="2"/>
            <w:tcBorders/>
            <w:shd w:fill="auto" w:val="clear"/>
          </w:tcPr>
          <w:p>
            <w:pPr>
              <w:pStyle w:val="TableContents"/>
              <w:spacing w:before="0" w:after="283"/>
              <w:rPr>
                <w:sz w:val="4"/>
                <w:szCs w:val="4"/>
              </w:rPr>
            </w:pPr>
            <w:r>
              <w:rPr>
                <w:sz w:val="4"/>
                <w:szCs w:val="4"/>
              </w:rPr>
            </w:r>
          </w:p>
        </w:tc>
      </w:tr>
      <w:tr>
        <w:trPr/>
        <w:tc>
          <w:tcPr>
            <w:tcW w:w="330" w:type="dxa"/>
            <w:tcBorders/>
            <w:shd w:fill="auto" w:val="clear"/>
          </w:tcPr>
          <w:p>
            <w:pPr>
              <w:pStyle w:val="TableContents"/>
              <w:spacing w:before="0" w:after="283"/>
              <w:jc w:val="left"/>
              <w:rPr/>
            </w:pPr>
            <w:r>
              <w:rPr/>
              <w:t>11.</w:t>
            </w:r>
          </w:p>
        </w:tc>
        <w:tc>
          <w:tcPr>
            <w:tcW w:w="119" w:type="dxa"/>
            <w:tcBorders/>
            <w:shd w:fill="auto" w:val="clear"/>
          </w:tcPr>
          <w:p>
            <w:pPr>
              <w:pStyle w:val="TableContents"/>
              <w:spacing w:before="0" w:after="283"/>
              <w:rPr/>
            </w:pPr>
            <w:r>
              <w:rPr/>
              <w:t> </w:t>
            </w:r>
          </w:p>
        </w:tc>
        <w:tc>
          <w:tcPr>
            <w:tcW w:w="9756" w:type="dxa"/>
            <w:tcBorders/>
            <w:shd w:fill="auto" w:val="clear"/>
          </w:tcPr>
          <w:p>
            <w:pPr>
              <w:pStyle w:val="TableContents"/>
              <w:spacing w:before="0" w:after="283"/>
              <w:rPr/>
            </w:pPr>
            <w:r>
              <w:rPr/>
              <w:t>This Agreement may not be amended or modified except by a written agreement signed by Employee and the Company. This Agreement may not be superseded by any other agreement between Employee and the Company unless such other agreement specifically and expressly states that it is intended to supersede this Agreement.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witness whereof, the parties have executed this Agreement on the dates indicated below, to be effective as of the Effective Date set forth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Effective Date: [EFFECTIVE DATE] </w:t>
      </w:r>
    </w:p>
    <w:tbl>
      <w:tblPr>
        <w:tblW w:w="5000" w:type="pct"/>
        <w:jc w:val="center"/>
        <w:tblInd w:w="0" w:type="dxa"/>
        <w:tblCellMar>
          <w:top w:w="0" w:type="dxa"/>
          <w:left w:w="0" w:type="dxa"/>
          <w:bottom w:w="0" w:type="dxa"/>
          <w:right w:w="0" w:type="dxa"/>
        </w:tblCellMar>
      </w:tblPr>
      <w:tblGrid>
        <w:gridCol w:w="542"/>
        <w:gridCol w:w="122"/>
        <w:gridCol w:w="3684"/>
        <w:gridCol w:w="122"/>
        <w:gridCol w:w="470"/>
        <w:gridCol w:w="122"/>
        <w:gridCol w:w="650"/>
        <w:gridCol w:w="163"/>
        <w:gridCol w:w="3811"/>
        <w:gridCol w:w="92"/>
        <w:gridCol w:w="84"/>
        <w:gridCol w:w="84"/>
        <w:gridCol w:w="84"/>
        <w:gridCol w:w="84"/>
        <w:gridCol w:w="91"/>
      </w:tblGrid>
      <w:tr>
        <w:trPr/>
        <w:tc>
          <w:tcPr>
            <w:tcW w:w="54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68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381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r>
      <w:tr>
        <w:trPr/>
        <w:tc>
          <w:tcPr>
            <w:tcW w:w="54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684"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5143" w:type="dxa"/>
            <w:gridSpan w:val="9"/>
            <w:tcBorders/>
            <w:shd w:fill="auto" w:val="clear"/>
            <w:vAlign w:val="bottom"/>
          </w:tcPr>
          <w:p>
            <w:pPr>
              <w:pStyle w:val="TableContents"/>
              <w:spacing w:before="0" w:after="283"/>
              <w:jc w:val="left"/>
              <w:rPr>
                <w:b/>
              </w:rPr>
            </w:pPr>
            <w:r>
              <w:rPr>
                <w:b/>
              </w:rPr>
              <w:t>EZCORP, INC.</w:t>
            </w:r>
          </w:p>
        </w:tc>
      </w:tr>
      <w:tr>
        <w:trPr/>
        <w:tc>
          <w:tcPr>
            <w:tcW w:w="542"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283"/>
              <w:rPr/>
            </w:pPr>
            <w:r>
              <w:rPr/>
              <w:t> </w:t>
            </w:r>
          </w:p>
        </w:tc>
        <w:tc>
          <w:tcPr>
            <w:tcW w:w="3684"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811"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left"/>
              <w:rPr/>
            </w:pPr>
            <w:r>
              <w:rPr/>
              <w:t> </w:t>
            </w:r>
          </w:p>
        </w:tc>
      </w:tr>
      <w:tr>
        <w:trPr/>
        <w:tc>
          <w:tcPr>
            <w:tcW w:w="542" w:type="dxa"/>
            <w:tcBorders/>
            <w:shd w:fill="auto" w:val="clear"/>
            <w:vAlign w:val="bottom"/>
          </w:tcPr>
          <w:p>
            <w:pPr>
              <w:pStyle w:val="TableContents"/>
              <w:spacing w:before="0" w:after="0"/>
              <w:ind w:left="0" w:right="0" w:hanging="0"/>
              <w:rPr/>
            </w:pPr>
            <w:r>
              <w:rPr/>
              <w:t xml:space="preserve">Date: </w:t>
            </w:r>
          </w:p>
        </w:tc>
        <w:tc>
          <w:tcPr>
            <w:tcW w:w="122" w:type="dxa"/>
            <w:tcBorders/>
            <w:shd w:fill="auto" w:val="clear"/>
            <w:vAlign w:val="bottom"/>
          </w:tcPr>
          <w:p>
            <w:pPr>
              <w:pStyle w:val="TableContents"/>
              <w:spacing w:before="0" w:after="283"/>
              <w:rPr/>
            </w:pPr>
            <w:r>
              <w:rPr/>
              <w:t> </w:t>
            </w:r>
          </w:p>
        </w:tc>
        <w:tc>
          <w:tcPr>
            <w:tcW w:w="3684"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left"/>
              <w:rPr/>
            </w:pPr>
            <w:r>
              <w:rPr/>
              <w:t>By:</w:t>
            </w:r>
          </w:p>
        </w:tc>
        <w:tc>
          <w:tcPr>
            <w:tcW w:w="163" w:type="dxa"/>
            <w:tcBorders/>
            <w:shd w:fill="auto" w:val="clear"/>
            <w:vAlign w:val="bottom"/>
          </w:tcPr>
          <w:p>
            <w:pPr>
              <w:pStyle w:val="TableContents"/>
              <w:spacing w:before="0" w:after="283"/>
              <w:rPr/>
            </w:pPr>
            <w:r>
              <w:rPr/>
              <w:t> </w:t>
            </w:r>
          </w:p>
        </w:tc>
        <w:tc>
          <w:tcPr>
            <w:tcW w:w="3811"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left"/>
              <w:rPr/>
            </w:pPr>
            <w:r>
              <w:rPr/>
              <w:t> </w:t>
            </w:r>
          </w:p>
        </w:tc>
      </w:tr>
      <w:tr>
        <w:trPr/>
        <w:tc>
          <w:tcPr>
            <w:tcW w:w="542" w:type="dxa"/>
            <w:tcBorders/>
            <w:shd w:fill="auto" w:val="clear"/>
            <w:vAlign w:val="bottom"/>
          </w:tcPr>
          <w:p>
            <w:pPr>
              <w:pStyle w:val="TableContents"/>
              <w:spacing w:before="0" w:after="0"/>
              <w:ind w:left="0" w:right="0" w:hanging="0"/>
              <w:rPr/>
            </w:pPr>
            <w:r>
              <w:rPr/>
              <w:t xml:space="preserve">  </w:t>
            </w:r>
          </w:p>
        </w:tc>
        <w:tc>
          <w:tcPr>
            <w:tcW w:w="122" w:type="dxa"/>
            <w:tcBorders/>
            <w:shd w:fill="auto" w:val="clear"/>
            <w:vAlign w:val="center"/>
          </w:tcPr>
          <w:p>
            <w:pPr>
              <w:pStyle w:val="TableContents"/>
              <w:spacing w:before="0" w:after="283"/>
              <w:rPr/>
            </w:pPr>
            <w:r>
              <w:rPr/>
              <w:t> </w:t>
            </w:r>
          </w:p>
        </w:tc>
        <w:tc>
          <w:tcPr>
            <w:tcW w:w="3684" w:type="dxa"/>
            <w:tcBorders>
              <w:top w:val="single" w:sz="2" w:space="0" w:color="000000"/>
            </w:tcBorders>
            <w:shd w:fill="auto" w:val="clear"/>
            <w:tcMar>
              <w:top w:w="28" w:type="dxa"/>
            </w:tcMar>
            <w:vAlign w:val="bottom"/>
          </w:tcPr>
          <w:p>
            <w:pPr>
              <w:pStyle w:val="TableContents"/>
              <w:spacing w:before="0" w:after="0"/>
              <w:jc w:val="left"/>
              <w:rPr/>
            </w:pPr>
            <w:r>
              <w:rPr/>
              <w:t xml:space="preserve">  </w:t>
            </w:r>
          </w:p>
        </w:tc>
        <w:tc>
          <w:tcPr>
            <w:tcW w:w="122" w:type="dxa"/>
            <w:tcBorders/>
            <w:shd w:fill="auto" w:val="clear"/>
            <w:vAlign w:val="center"/>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 </w:t>
            </w:r>
          </w:p>
        </w:tc>
        <w:tc>
          <w:tcPr>
            <w:tcW w:w="122" w:type="dxa"/>
            <w:tcBorders/>
            <w:shd w:fill="auto" w:val="clear"/>
            <w:vAlign w:val="center"/>
          </w:tcPr>
          <w:p>
            <w:pPr>
              <w:pStyle w:val="TableContents"/>
              <w:spacing w:before="0" w:after="283"/>
              <w:rPr/>
            </w:pPr>
            <w:r>
              <w:rPr/>
              <w:t> </w:t>
            </w:r>
          </w:p>
        </w:tc>
        <w:tc>
          <w:tcPr>
            <w:tcW w:w="650" w:type="dxa"/>
            <w:tcBorders/>
            <w:shd w:fill="auto" w:val="clear"/>
            <w:vAlign w:val="bottom"/>
          </w:tcPr>
          <w:p>
            <w:pPr>
              <w:pStyle w:val="TableContents"/>
              <w:spacing w:before="0" w:after="283"/>
              <w:jc w:val="left"/>
              <w:rPr/>
            </w:pPr>
            <w:r>
              <w:rPr/>
              <w:t> </w:t>
            </w:r>
          </w:p>
        </w:tc>
        <w:tc>
          <w:tcPr>
            <w:tcW w:w="163" w:type="dxa"/>
            <w:tcBorders/>
            <w:shd w:fill="auto" w:val="clear"/>
            <w:vAlign w:val="center"/>
          </w:tcPr>
          <w:p>
            <w:pPr>
              <w:pStyle w:val="TableContents"/>
              <w:spacing w:before="0" w:after="283"/>
              <w:rPr/>
            </w:pPr>
            <w:r>
              <w:rPr/>
              <w:t> </w:t>
            </w:r>
          </w:p>
        </w:tc>
        <w:tc>
          <w:tcPr>
            <w:tcW w:w="3811" w:type="dxa"/>
            <w:tcBorders>
              <w:top w:val="single" w:sz="2" w:space="0" w:color="000000"/>
            </w:tcBorders>
            <w:shd w:fill="auto" w:val="clear"/>
            <w:tcMar>
              <w:top w:w="28" w:type="dxa"/>
            </w:tcMar>
            <w:vAlign w:val="bottom"/>
          </w:tcPr>
          <w:p>
            <w:pPr>
              <w:pStyle w:val="TableContents"/>
              <w:spacing w:before="0" w:after="283"/>
              <w:jc w:val="left"/>
              <w:rPr/>
            </w:pPr>
            <w:r>
              <w:rPr/>
              <w:t> </w:t>
            </w:r>
          </w:p>
        </w:tc>
        <w:tc>
          <w:tcPr>
            <w:tcW w:w="92"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jc w:val="left"/>
              <w:rPr/>
            </w:pPr>
            <w:r>
              <w:rPr/>
              <w:t> </w:t>
            </w:r>
          </w:p>
        </w:tc>
      </w:tr>
      <w:tr>
        <w:trPr/>
        <w:tc>
          <w:tcPr>
            <w:tcW w:w="542"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283"/>
              <w:rPr/>
            </w:pPr>
            <w:r>
              <w:rPr/>
              <w:t> </w:t>
            </w:r>
          </w:p>
        </w:tc>
        <w:tc>
          <w:tcPr>
            <w:tcW w:w="3684"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811"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left"/>
              <w:rPr/>
            </w:pPr>
            <w:r>
              <w:rPr/>
              <w:t> </w:t>
            </w:r>
          </w:p>
        </w:tc>
      </w:tr>
      <w:tr>
        <w:trPr/>
        <w:tc>
          <w:tcPr>
            <w:tcW w:w="542"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283"/>
              <w:rPr/>
            </w:pPr>
            <w:r>
              <w:rPr/>
              <w:t> </w:t>
            </w:r>
          </w:p>
        </w:tc>
        <w:tc>
          <w:tcPr>
            <w:tcW w:w="3684"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811"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left"/>
              <w:rPr/>
            </w:pPr>
            <w:r>
              <w:rPr/>
              <w:t> </w:t>
            </w:r>
          </w:p>
        </w:tc>
      </w:tr>
      <w:tr>
        <w:trPr/>
        <w:tc>
          <w:tcPr>
            <w:tcW w:w="542" w:type="dxa"/>
            <w:tcBorders/>
            <w:shd w:fill="auto" w:val="clear"/>
            <w:vAlign w:val="bottom"/>
          </w:tcPr>
          <w:p>
            <w:pPr>
              <w:pStyle w:val="TableContents"/>
              <w:spacing w:before="0" w:after="0"/>
              <w:ind w:left="0" w:right="0" w:hanging="0"/>
              <w:rPr/>
            </w:pPr>
            <w:r>
              <w:rPr/>
              <w:t>Date:</w:t>
            </w:r>
          </w:p>
        </w:tc>
        <w:tc>
          <w:tcPr>
            <w:tcW w:w="122" w:type="dxa"/>
            <w:tcBorders/>
            <w:shd w:fill="auto" w:val="clear"/>
            <w:vAlign w:val="bottom"/>
          </w:tcPr>
          <w:p>
            <w:pPr>
              <w:pStyle w:val="TableContents"/>
              <w:spacing w:before="0" w:after="283"/>
              <w:rPr/>
            </w:pPr>
            <w:r>
              <w:rPr/>
              <w:t> </w:t>
            </w:r>
          </w:p>
        </w:tc>
        <w:tc>
          <w:tcPr>
            <w:tcW w:w="3684"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811"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left"/>
              <w:rPr/>
            </w:pPr>
            <w:r>
              <w:rPr/>
              <w:t> </w:t>
            </w:r>
          </w:p>
        </w:tc>
      </w:tr>
      <w:tr>
        <w:trPr/>
        <w:tc>
          <w:tcPr>
            <w:tcW w:w="542" w:type="dxa"/>
            <w:tcBorders/>
            <w:shd w:fill="auto" w:val="clear"/>
            <w:vAlign w:val="bottom"/>
          </w:tcPr>
          <w:p>
            <w:pPr>
              <w:pStyle w:val="TableContents"/>
              <w:spacing w:before="0" w:after="0"/>
              <w:ind w:left="0" w:right="0" w:hanging="0"/>
              <w:rPr/>
            </w:pPr>
            <w:r>
              <w:rPr/>
              <w:t xml:space="preserve">  </w:t>
            </w:r>
          </w:p>
        </w:tc>
        <w:tc>
          <w:tcPr>
            <w:tcW w:w="122" w:type="dxa"/>
            <w:tcBorders/>
            <w:shd w:fill="auto" w:val="clear"/>
            <w:vAlign w:val="center"/>
          </w:tcPr>
          <w:p>
            <w:pPr>
              <w:pStyle w:val="TableContents"/>
              <w:spacing w:before="0" w:after="283"/>
              <w:rPr/>
            </w:pPr>
            <w:r>
              <w:rPr/>
              <w:t> </w:t>
            </w:r>
          </w:p>
        </w:tc>
        <w:tc>
          <w:tcPr>
            <w:tcW w:w="3684" w:type="dxa"/>
            <w:tcBorders>
              <w:top w:val="single" w:sz="2" w:space="0" w:color="000000"/>
            </w:tcBorders>
            <w:shd w:fill="auto" w:val="clear"/>
            <w:tcMar>
              <w:top w:w="28" w:type="dxa"/>
            </w:tcMar>
            <w:vAlign w:val="bottom"/>
          </w:tcPr>
          <w:p>
            <w:pPr>
              <w:pStyle w:val="TableContents"/>
              <w:spacing w:before="0" w:after="0"/>
              <w:jc w:val="left"/>
              <w:rPr/>
            </w:pPr>
            <w:r>
              <w:rPr/>
              <w:t xml:space="preserve">  </w:t>
            </w:r>
          </w:p>
        </w:tc>
        <w:tc>
          <w:tcPr>
            <w:tcW w:w="122" w:type="dxa"/>
            <w:tcBorders/>
            <w:shd w:fill="auto" w:val="clear"/>
            <w:vAlign w:val="center"/>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 </w:t>
            </w:r>
          </w:p>
        </w:tc>
        <w:tc>
          <w:tcPr>
            <w:tcW w:w="122" w:type="dxa"/>
            <w:tcBorders/>
            <w:shd w:fill="auto" w:val="clear"/>
            <w:vAlign w:val="center"/>
          </w:tcPr>
          <w:p>
            <w:pPr>
              <w:pStyle w:val="TableContents"/>
              <w:spacing w:before="0" w:after="283"/>
              <w:rPr/>
            </w:pPr>
            <w:r>
              <w:rPr/>
              <w:t> </w:t>
            </w:r>
          </w:p>
        </w:tc>
        <w:tc>
          <w:tcPr>
            <w:tcW w:w="650" w:type="dxa"/>
            <w:tcBorders>
              <w:top w:val="single" w:sz="2" w:space="0" w:color="000000"/>
            </w:tcBorders>
            <w:shd w:fill="auto" w:val="clear"/>
            <w:tcMar>
              <w:top w:w="28" w:type="dxa"/>
            </w:tcMar>
            <w:vAlign w:val="bottom"/>
          </w:tcPr>
          <w:p>
            <w:pPr>
              <w:pStyle w:val="TableContents"/>
              <w:spacing w:before="0" w:after="283"/>
              <w:jc w:val="left"/>
              <w:rPr/>
            </w:pPr>
            <w:r>
              <w:rPr/>
              <w:t> </w:t>
            </w:r>
          </w:p>
        </w:tc>
        <w:tc>
          <w:tcPr>
            <w:tcW w:w="163" w:type="dxa"/>
            <w:tcBorders>
              <w:top w:val="single" w:sz="2" w:space="0" w:color="000000"/>
            </w:tcBorders>
            <w:shd w:fill="auto" w:val="clear"/>
            <w:tcMar>
              <w:top w:w="28" w:type="dxa"/>
            </w:tcMar>
            <w:vAlign w:val="center"/>
          </w:tcPr>
          <w:p>
            <w:pPr>
              <w:pStyle w:val="TableContents"/>
              <w:spacing w:before="0" w:after="283"/>
              <w:rPr/>
            </w:pPr>
            <w:r>
              <w:rPr/>
              <w:t> </w:t>
            </w:r>
          </w:p>
        </w:tc>
        <w:tc>
          <w:tcPr>
            <w:tcW w:w="3811" w:type="dxa"/>
            <w:tcBorders>
              <w:top w:val="single" w:sz="2" w:space="0" w:color="000000"/>
            </w:tcBorders>
            <w:shd w:fill="auto" w:val="clear"/>
            <w:tcMar>
              <w:top w:w="28" w:type="dxa"/>
            </w:tcMar>
            <w:vAlign w:val="bottom"/>
          </w:tcPr>
          <w:p>
            <w:pPr>
              <w:pStyle w:val="TableContents"/>
              <w:spacing w:before="0" w:after="283"/>
              <w:jc w:val="left"/>
              <w:rPr/>
            </w:pPr>
            <w:r>
              <w:rPr/>
              <w:t> </w:t>
            </w:r>
          </w:p>
        </w:tc>
        <w:tc>
          <w:tcPr>
            <w:tcW w:w="92"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jc w:val="left"/>
              <w:rPr/>
            </w:pPr>
            <w:r>
              <w:rPr/>
              <w:t> </w:t>
            </w:r>
          </w:p>
        </w:tc>
      </w:tr>
      <w:tr>
        <w:trPr/>
        <w:tc>
          <w:tcPr>
            <w:tcW w:w="54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684"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5143" w:type="dxa"/>
            <w:gridSpan w:val="9"/>
            <w:tcBorders/>
            <w:shd w:fill="auto" w:val="clear"/>
            <w:vAlign w:val="bottom"/>
          </w:tcPr>
          <w:p>
            <w:pPr>
              <w:pStyle w:val="TableContents"/>
              <w:spacing w:before="0" w:after="283"/>
              <w:jc w:val="left"/>
              <w:rPr>
                <w:b/>
              </w:rPr>
            </w:pPr>
            <w:r>
              <w:rPr>
                <w:b/>
              </w:rPr>
              <w:t>[NAME OF EMPLOYEE]</w:t>
            </w:r>
          </w:p>
        </w:tc>
      </w:tr>
    </w:tbl>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39" w:name="d77971exv10w16.htm"/>
      <w:bookmarkStart w:id="40" w:name="ksd77971exv10w16"/>
      <w:bookmarkEnd w:id="39"/>
      <w:bookmarkEnd w:id="40"/>
      <w:r>
        <w:rPr>
          <w:rFonts w:ascii="Times New Roman;Times;serif" w:hAnsi="Times New Roman;Times;serif"/>
          <w:b/>
          <w:sz w:val="17"/>
        </w:rPr>
        <w:t>Exhibit 10.16</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RESTRICTED STOCK AWARD</w:t>
      </w:r>
      <w:r>
        <w:rPr>
          <w:rFonts w:ascii="Times New Roman;Times;serif" w:hAnsi="Times New Roman;Times;serif"/>
          <w:sz w:val="17"/>
        </w:rPr>
        <w:br/>
      </w:r>
      <w:r>
        <w:rPr>
          <w:rFonts w:ascii="Times New Roman;Times;serif" w:hAnsi="Times New Roman;Times;serif"/>
          <w:b/>
          <w:smallCaps/>
          <w:sz w:val="17"/>
        </w:rPr>
        <w:t>Award Summary</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591"/>
        <w:gridCol w:w="510"/>
        <w:gridCol w:w="5104"/>
      </w:tblGrid>
      <w:tr>
        <w:trPr/>
        <w:tc>
          <w:tcPr>
            <w:tcW w:w="459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5104" w:type="dxa"/>
            <w:tcBorders/>
            <w:shd w:fill="auto" w:val="clear"/>
            <w:vAlign w:val="bottom"/>
          </w:tcPr>
          <w:p>
            <w:pPr>
              <w:pStyle w:val="TableContents"/>
              <w:spacing w:before="0" w:after="283"/>
              <w:rPr/>
            </w:pPr>
            <w:r>
              <w:rPr/>
              <w:t> </w:t>
            </w:r>
          </w:p>
        </w:tc>
      </w:tr>
      <w:tr>
        <w:trPr/>
        <w:tc>
          <w:tcPr>
            <w:tcW w:w="4591" w:type="dxa"/>
            <w:tcBorders/>
            <w:shd w:fill="auto" w:val="clear"/>
          </w:tcPr>
          <w:p>
            <w:pPr>
              <w:pStyle w:val="TableContents"/>
              <w:spacing w:before="0" w:after="0"/>
              <w:ind w:left="0" w:right="0" w:hanging="0"/>
              <w:rPr/>
            </w:pPr>
            <w:r>
              <w:rPr>
                <w:b/>
              </w:rPr>
              <w:t>Recipient</w:t>
            </w:r>
            <w:r>
              <w:rPr/>
              <w:t xml:space="preserve">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[NAME OF EXECUTIVE OFFICER]</w:t>
            </w:r>
          </w:p>
        </w:tc>
      </w:tr>
      <w:tr>
        <w:trPr/>
        <w:tc>
          <w:tcPr>
            <w:tcW w:w="4591"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1" w:type="dxa"/>
            <w:tcBorders/>
            <w:shd w:fill="auto" w:val="clear"/>
          </w:tcPr>
          <w:p>
            <w:pPr>
              <w:pStyle w:val="TableContents"/>
              <w:spacing w:before="0" w:after="0"/>
              <w:ind w:left="0" w:right="0" w:hanging="0"/>
              <w:rPr/>
            </w:pPr>
            <w:r>
              <w:rPr>
                <w:b/>
              </w:rPr>
              <w:t>Employee No.</w:t>
            </w:r>
            <w:r>
              <w:rPr/>
              <w:t xml:space="preserve">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[XXX-XX-XXXX]</w:t>
            </w:r>
          </w:p>
        </w:tc>
      </w:tr>
      <w:tr>
        <w:trPr/>
        <w:tc>
          <w:tcPr>
            <w:tcW w:w="4591"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1" w:type="dxa"/>
            <w:tcBorders/>
            <w:shd w:fill="auto" w:val="clear"/>
          </w:tcPr>
          <w:p>
            <w:pPr>
              <w:pStyle w:val="TableContents"/>
              <w:spacing w:before="0" w:after="0"/>
              <w:ind w:left="0" w:right="0" w:hanging="0"/>
              <w:rPr/>
            </w:pPr>
            <w:r>
              <w:rPr>
                <w:b/>
              </w:rPr>
              <w:t>Award Identification No.</w:t>
            </w:r>
            <w:r>
              <w:rPr/>
              <w:t xml:space="preserve">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[XXXXXXXXX]</w:t>
            </w:r>
          </w:p>
        </w:tc>
      </w:tr>
      <w:tr>
        <w:trPr/>
        <w:tc>
          <w:tcPr>
            <w:tcW w:w="4591"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1" w:type="dxa"/>
            <w:tcBorders/>
            <w:shd w:fill="auto" w:val="clear"/>
          </w:tcPr>
          <w:p>
            <w:pPr>
              <w:pStyle w:val="TableContents"/>
              <w:spacing w:before="0" w:after="0"/>
              <w:ind w:left="0" w:right="0" w:hanging="0"/>
              <w:rPr/>
            </w:pPr>
            <w:r>
              <w:rPr>
                <w:b/>
              </w:rPr>
              <w:t>Date of Award</w:t>
            </w:r>
            <w:r>
              <w:rPr/>
              <w:t xml:space="preserve">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[GRANT DATE]</w:t>
            </w:r>
          </w:p>
        </w:tc>
      </w:tr>
      <w:tr>
        <w:trPr/>
        <w:tc>
          <w:tcPr>
            <w:tcW w:w="4591"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1" w:type="dxa"/>
            <w:tcBorders/>
            <w:shd w:fill="auto" w:val="clear"/>
          </w:tcPr>
          <w:p>
            <w:pPr>
              <w:pStyle w:val="TableContents"/>
              <w:spacing w:before="0" w:after="0"/>
              <w:ind w:left="0" w:right="0" w:hanging="0"/>
              <w:rPr/>
            </w:pPr>
            <w:r>
              <w:rPr>
                <w:b/>
              </w:rPr>
              <w:t>Number of Shares (Total)</w:t>
            </w:r>
            <w:r>
              <w:rPr/>
              <w:t xml:space="preserve">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[NUMBER OF SHARES]</w:t>
            </w:r>
          </w:p>
        </w:tc>
      </w:tr>
      <w:tr>
        <w:trPr/>
        <w:tc>
          <w:tcPr>
            <w:tcW w:w="4591"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1" w:type="dxa"/>
            <w:tcBorders/>
            <w:shd w:fill="auto" w:val="clear"/>
          </w:tcPr>
          <w:p>
            <w:pPr>
              <w:pStyle w:val="TableContents"/>
              <w:spacing w:before="0" w:after="0"/>
              <w:ind w:left="0" w:right="0" w:hanging="0"/>
              <w:rPr/>
            </w:pPr>
            <w:r>
              <w:rPr>
                <w:b/>
              </w:rPr>
              <w:t>Vesting Schedule*</w:t>
            </w:r>
            <w:r>
              <w:rPr/>
              <w:t xml:space="preserve">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b/>
                <w:u w:val="single"/>
              </w:rPr>
              <w:t>Number</w:t>
            </w:r>
            <w:r>
              <w:rPr/>
              <w:t xml:space="preserve">            </w:t>
            </w:r>
            <w:r>
              <w:rPr>
                <w:b/>
                <w:u w:val="single"/>
              </w:rPr>
              <w:t>Date</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b/>
              </w:rPr>
            </w:pPr>
            <w:r>
              <w:rPr>
                <w:b/>
              </w:rPr>
              <w:t>Subject to the Performance Goals described in Exhibit A.</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 Inc., a Delaware corporation (the Company), is pleased to award you shares of the Companys Class A Non-Voting Common Stock, subject to the Standard Terms and Conditions attached to this Award Summary (the Term and Conditions). This Award Summary, together with the Terms and Conditions, shall constitute the Award Agreement with regard to the award of Restricted Stock described herein.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As provided in Paragraph 16 of the Terms and Conditions, this award of Restricted Stock will not be effective until you have accepted the award, and acknowledged and agreed to the terms and conditions set forth in the Award Agreement, by executing this Award Summary in the space provided below and returning it to the Companys Stock Plan Administrator, 1901 Capital Parkway, Austin, Texas 78746.</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475"/>
        <w:gridCol w:w="681"/>
        <w:gridCol w:w="207"/>
        <w:gridCol w:w="3339"/>
        <w:gridCol w:w="1503"/>
      </w:tblGrid>
      <w:tr>
        <w:trPr/>
        <w:tc>
          <w:tcPr>
            <w:tcW w:w="4475"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3339"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rPr/>
            </w:pPr>
            <w:r>
              <w:rPr/>
              <w:t> </w:t>
            </w:r>
          </w:p>
        </w:tc>
      </w:tr>
      <w:tr>
        <w:trPr/>
        <w:tc>
          <w:tcPr>
            <w:tcW w:w="4475" w:type="dxa"/>
            <w:tcBorders/>
            <w:shd w:fill="auto" w:val="clear"/>
          </w:tcPr>
          <w:p>
            <w:pPr>
              <w:pStyle w:val="TableContents"/>
              <w:spacing w:before="0" w:after="283"/>
              <w:jc w:val="left"/>
              <w:rPr/>
            </w:pPr>
            <w:r>
              <w:rPr/>
              <w:t> </w:t>
            </w:r>
          </w:p>
        </w:tc>
        <w:tc>
          <w:tcPr>
            <w:tcW w:w="5730" w:type="dxa"/>
            <w:gridSpan w:val="4"/>
            <w:tcBorders/>
            <w:shd w:fill="auto" w:val="clear"/>
            <w:vAlign w:val="center"/>
          </w:tcPr>
          <w:p>
            <w:pPr>
              <w:pStyle w:val="TableContents"/>
              <w:spacing w:before="0" w:after="283"/>
              <w:jc w:val="left"/>
              <w:rPr/>
            </w:pPr>
            <w:r>
              <w:rPr/>
              <w:t>Awarded subject to the terms and conditions stated above:</w:t>
              <w:br/>
              <w:br/>
              <w:t>EZCORP, INC.</w:t>
              <w:br/>
              <w:t> </w:t>
            </w:r>
          </w:p>
        </w:tc>
      </w:tr>
      <w:tr>
        <w:trPr/>
        <w:tc>
          <w:tcPr>
            <w:tcW w:w="4475" w:type="dxa"/>
            <w:tcBorders/>
            <w:shd w:fill="auto" w:val="clear"/>
            <w:vAlign w:val="center"/>
          </w:tcPr>
          <w:p>
            <w:pPr>
              <w:pStyle w:val="TableContents"/>
              <w:spacing w:before="0" w:after="283"/>
              <w:jc w:val="left"/>
              <w:rPr/>
            </w:pPr>
            <w:r>
              <w:rPr/>
              <w:t> </w:t>
            </w:r>
          </w:p>
        </w:tc>
        <w:tc>
          <w:tcPr>
            <w:tcW w:w="681" w:type="dxa"/>
            <w:tcBorders/>
            <w:shd w:fill="auto" w:val="clear"/>
          </w:tcPr>
          <w:p>
            <w:pPr>
              <w:pStyle w:val="TableContents"/>
              <w:spacing w:before="0" w:after="283"/>
              <w:rPr/>
            </w:pPr>
            <w:r>
              <w:rPr/>
              <w:t>By:  </w:t>
            </w:r>
          </w:p>
        </w:tc>
        <w:tc>
          <w:tcPr>
            <w:tcW w:w="354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503" w:type="dxa"/>
            <w:tcBorders/>
            <w:shd w:fill="auto" w:val="clear"/>
            <w:vAlign w:val="center"/>
          </w:tcPr>
          <w:p>
            <w:pPr>
              <w:pStyle w:val="TableContents"/>
              <w:spacing w:before="0" w:after="283"/>
              <w:rPr/>
            </w:pPr>
            <w:r>
              <w:rPr/>
              <w:t> </w:t>
            </w:r>
          </w:p>
        </w:tc>
      </w:tr>
      <w:tr>
        <w:trPr/>
        <w:tc>
          <w:tcPr>
            <w:tcW w:w="4475" w:type="dxa"/>
            <w:tcBorders/>
            <w:shd w:fill="auto" w:val="clear"/>
            <w:vAlign w:val="center"/>
          </w:tcPr>
          <w:p>
            <w:pPr>
              <w:pStyle w:val="TableContents"/>
              <w:spacing w:before="0" w:after="283"/>
              <w:jc w:val="left"/>
              <w:rPr/>
            </w:pPr>
            <w:r>
              <w:rPr/>
              <w:t> </w:t>
            </w:r>
          </w:p>
        </w:tc>
        <w:tc>
          <w:tcPr>
            <w:tcW w:w="681" w:type="dxa"/>
            <w:tcBorders/>
            <w:shd w:fill="auto" w:val="clear"/>
            <w:vAlign w:val="center"/>
          </w:tcPr>
          <w:p>
            <w:pPr>
              <w:pStyle w:val="TableContents"/>
              <w:spacing w:before="0" w:after="283"/>
              <w:rPr/>
            </w:pPr>
            <w:r>
              <w:rPr/>
              <w:t> </w:t>
            </w:r>
          </w:p>
        </w:tc>
        <w:tc>
          <w:tcPr>
            <w:tcW w:w="3546" w:type="dxa"/>
            <w:gridSpan w:val="2"/>
            <w:tcBorders/>
            <w:shd w:fill="auto" w:val="clear"/>
            <w:vAlign w:val="center"/>
          </w:tcPr>
          <w:p>
            <w:pPr>
              <w:pStyle w:val="TableContents"/>
              <w:spacing w:before="0" w:after="283"/>
              <w:jc w:val="left"/>
              <w:rPr/>
            </w:pPr>
            <w:r>
              <w:rPr/>
              <w:t> </w:t>
            </w:r>
          </w:p>
        </w:tc>
        <w:tc>
          <w:tcPr>
            <w:tcW w:w="150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hereby accept the Award described herein and acknowledge and agree to the terms and conditions set forth in the Award Agreement: </w:t>
      </w:r>
    </w:p>
    <w:tbl>
      <w:tblPr>
        <w:tblW w:w="5000" w:type="pct"/>
        <w:jc w:val="center"/>
        <w:tblInd w:w="0" w:type="dxa"/>
        <w:tblCellMar>
          <w:top w:w="0" w:type="dxa"/>
          <w:left w:w="0" w:type="dxa"/>
          <w:bottom w:w="0" w:type="dxa"/>
          <w:right w:w="0" w:type="dxa"/>
        </w:tblCellMar>
      </w:tblPr>
      <w:tblGrid>
        <w:gridCol w:w="4173"/>
        <w:gridCol w:w="108"/>
        <w:gridCol w:w="793"/>
        <w:gridCol w:w="108"/>
        <w:gridCol w:w="479"/>
        <w:gridCol w:w="108"/>
        <w:gridCol w:w="3920"/>
        <w:gridCol w:w="108"/>
        <w:gridCol w:w="408"/>
      </w:tblGrid>
      <w:tr>
        <w:trPr/>
        <w:tc>
          <w:tcPr>
            <w:tcW w:w="417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92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r>
      <w:tr>
        <w:trPr/>
        <w:tc>
          <w:tcPr>
            <w:tcW w:w="4173" w:type="dxa"/>
            <w:tcBorders/>
            <w:shd w:fill="auto" w:val="clear"/>
          </w:tcPr>
          <w:p>
            <w:pPr>
              <w:pStyle w:val="TableContents"/>
              <w:spacing w:before="0" w:after="0"/>
              <w:ind w:left="0" w:right="0" w:hanging="0"/>
              <w:jc w:val="center"/>
              <w:rPr/>
            </w:pPr>
            <w:r>
              <w:rPr/>
              <w:t xml:space="preserve">  </w:t>
            </w:r>
          </w:p>
        </w:tc>
        <w:tc>
          <w:tcPr>
            <w:tcW w:w="108"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479" w:type="dxa"/>
            <w:tcBorders/>
            <w:shd w:fill="auto" w:val="clear"/>
          </w:tcPr>
          <w:p>
            <w:pPr>
              <w:pStyle w:val="TableContents"/>
              <w:spacing w:before="0" w:after="283"/>
              <w:jc w:val="left"/>
              <w:rPr/>
            </w:pPr>
            <w:r>
              <w:rPr/>
              <w:t>Date:</w:t>
            </w:r>
          </w:p>
        </w:tc>
        <w:tc>
          <w:tcPr>
            <w:tcW w:w="108" w:type="dxa"/>
            <w:tcBorders/>
            <w:shd w:fill="auto" w:val="clear"/>
            <w:vAlign w:val="bottom"/>
          </w:tcPr>
          <w:p>
            <w:pPr>
              <w:pStyle w:val="TableContents"/>
              <w:spacing w:before="0" w:after="283"/>
              <w:rPr/>
            </w:pPr>
            <w:r>
              <w:rPr/>
              <w:t> </w:t>
            </w:r>
          </w:p>
        </w:tc>
        <w:tc>
          <w:tcPr>
            <w:tcW w:w="3920" w:type="dxa"/>
            <w:tcBorders/>
            <w:shd w:fill="auto" w:val="clear"/>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r>
      <w:tr>
        <w:trPr/>
        <w:tc>
          <w:tcPr>
            <w:tcW w:w="4173" w:type="dxa"/>
            <w:tcBorders/>
            <w:shd w:fill="auto" w:val="clear"/>
          </w:tcPr>
          <w:p>
            <w:pPr>
              <w:pStyle w:val="TableContents"/>
              <w:spacing w:before="0" w:after="0"/>
              <w:ind w:left="0" w:right="0" w:hanging="0"/>
              <w:jc w:val="center"/>
              <w:rPr>
                <w:bdr w:val="single" w:sz="2" w:space="1" w:color="000000"/>
              </w:rPr>
            </w:pPr>
            <w:r>
              <w:rPr>
                <w:bdr w:val="single" w:sz="2" w:space="1" w:color="000000"/>
              </w:rPr>
              <w:t> </w:t>
            </w:r>
          </w:p>
          <w:p>
            <w:pPr>
              <w:pStyle w:val="TableContents"/>
              <w:spacing w:before="0" w:after="0"/>
              <w:jc w:val="center"/>
              <w:rPr/>
            </w:pPr>
            <w:r>
              <w:rPr/>
              <w:t xml:space="preserve">[NAME OF EXECUTIVE OFFICER] </w:t>
            </w:r>
          </w:p>
        </w:tc>
        <w:tc>
          <w:tcPr>
            <w:tcW w:w="108"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xml:space="preserve">  </w:t>
            </w:r>
          </w:p>
        </w:tc>
        <w:tc>
          <w:tcPr>
            <w:tcW w:w="108" w:type="dxa"/>
            <w:tcBorders/>
            <w:shd w:fill="auto" w:val="clear"/>
            <w:vAlign w:val="bottom"/>
          </w:tcPr>
          <w:p>
            <w:pPr>
              <w:pStyle w:val="TableContents"/>
              <w:spacing w:before="0" w:after="283"/>
              <w:rPr/>
            </w:pPr>
            <w:r>
              <w:rPr/>
              <w:t> </w:t>
            </w:r>
          </w:p>
        </w:tc>
        <w:tc>
          <w:tcPr>
            <w:tcW w:w="479" w:type="dxa"/>
            <w:tcBorders/>
            <w:shd w:fill="auto" w:val="clear"/>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3920" w:type="dxa"/>
            <w:tcBorders/>
            <w:shd w:fill="auto" w:val="clear"/>
          </w:tcPr>
          <w:p>
            <w:pPr>
              <w:pStyle w:val="TableContents"/>
              <w:spacing w:before="0" w:after="0"/>
              <w:jc w:val="left"/>
              <w:rPr>
                <w:bdr w:val="single" w:sz="2" w:space="1" w:color="000000"/>
              </w:rPr>
            </w:pPr>
            <w:r>
              <w:rPr>
                <w:bdr w:val="single" w:sz="2" w:space="1" w:color="000000"/>
              </w:rPr>
              <w:t> </w:t>
            </w:r>
          </w:p>
        </w:tc>
        <w:tc>
          <w:tcPr>
            <w:tcW w:w="108"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A</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This Exhibit constitutes a part of the Award Summary to which it is attached, and is hereby incorporated into such Award Summary.</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PERFORMANCE GOALS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[DESCRIPTION OF SPECIFIC PERFORMANCE GOALS]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RESTRICTED STOCK UNIT AWARD</w:t>
      </w:r>
      <w:r>
        <w:rPr>
          <w:rFonts w:ascii="Times New Roman;Times;serif" w:hAnsi="Times New Roman;Times;serif"/>
          <w:sz w:val="17"/>
        </w:rPr>
        <w:br/>
      </w:r>
      <w:r>
        <w:rPr>
          <w:rFonts w:ascii="Times New Roman;Times;serif" w:hAnsi="Times New Roman;Times;serif"/>
          <w:b/>
          <w:smallCaps/>
          <w:sz w:val="17"/>
        </w:rPr>
        <w:t>Standard Term and Conditions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The Award described below is made under the EZCORP, Inc. 2010 Incentive Plan (the Plan) and is governed by the terms of the Plan in addition to the terms and conditions stated in the Award Agreement referred to below. A copy of the Plan is available on the Company website at [INSERT URL]. Unless otherwise defined, all terms used herein shall have the respective meanings described in Section 5.1 of the Plan.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terms and conditions apply to the award of Restricted Stock Units by EZCORP, Inc., a Delaware corporation (the Company), to any employee of the Company or any Subsidiary of the Company. The recipient of any Award, the date of the Award and the number of Restricted Stock Units awarded are set forth in an Award Summary that has been duly executed and issued by the Company and appropriately acknowledged and accepted by the recipient (the Award Summary). That Award Summary, together with these term and conditions, shall constitute the Award Agreement with regard to the Award. As used herein, the term you (and derivatives thereof) refers to the recipient of the Award. </w:t>
      </w:r>
    </w:p>
    <w:tbl>
      <w:tblPr>
        <w:tblW w:w="5000" w:type="pct"/>
        <w:jc w:val="left"/>
        <w:tblInd w:w="0" w:type="dxa"/>
        <w:tblCellMar>
          <w:top w:w="0" w:type="dxa"/>
          <w:left w:w="0" w:type="dxa"/>
          <w:bottom w:w="0" w:type="dxa"/>
          <w:right w:w="0" w:type="dxa"/>
        </w:tblCellMar>
      </w:tblPr>
      <w:tblGrid>
        <w:gridCol w:w="204"/>
        <w:gridCol w:w="102"/>
        <w:gridCol w:w="9899"/>
      </w:tblGrid>
      <w:tr>
        <w:trPr/>
        <w:tc>
          <w:tcPr>
            <w:tcW w:w="204"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General  </w:t>
            </w:r>
            <w:r>
              <w:rPr/>
              <w:t>Each Restricted Stock Unit awarded to you represents your right to receive one share of Stock on the applicable vesting date, subject to the terms and conditions described herein. As a material inducement to the Company to make this Award, you agree that the following terms and conditions shall apply to this Award, that you are not otherwise entitled to this Award, that the Company is providing this Award in consideration for your promises and agreements below and that the Company would not grant this Award absent those promises and agreements.</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Vesting  </w:t>
            </w:r>
            <w:r>
              <w:rPr/>
              <w:t>The Company will issue you one share of Stock for each vested Restricted Stock Unit. The Stock will be delivered to you on the applicable vesting date or as soon as administratively practicable thereafter. The Restricted Stock Units will vest in accordance with the schedule set forth in the applicable Award Summary.</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Expiration  </w:t>
            </w:r>
            <w:r>
              <w:rPr/>
              <w:t>If your Employment (as defined below) terminates for any reason other than your death or Permanent Disability, any Restricted Stock Units that have not vested will expire at that time. If your Employment is terminated by reason of your death or Permanent Disability, all Restricted Stock Units will vest immediately and automatically upon such termination of Employment.</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t>As used herein, the term Employment means your regular full-time or part-time employment with the Company or any of its Subsidiaries, and the term Employer means the Company (if you are employed by the Company) or the Subsidiary of the Company that employs you.</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Rights as a Stockholder  </w:t>
            </w:r>
            <w:r>
              <w:rPr/>
              <w:t>You will have no rights as a stockholder with respect to Stock that may be issued pursuant this Award until that Stock is issued and registered in your name on the books of the Companys transfer agent. You will have no rights to receive dividend equivalent payments with respect to Stock that may be issued pursuant to this Award. Restricted Stock Units will be satisfied solely through the issuance and delivery of Stock.</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Agreement With Respect to Taxes  </w:t>
            </w:r>
            <w:r>
              <w:rPr/>
              <w:t>You must pay any taxes that are required to be withheld by the Company or the Employer as a result of this Award or the issuance of Stock pursuant to this Award. You also agree that, subject to compliance with applicable law, the Company or the Employer may recover from you any taxes that may be payable by the Company or the Employer in any jurisdiction in relation to this Award or the issuance of Stock pursuant to this Award. You may pay such amounts in cash or make other arrangements satisfactory to the Company or the Employer for the payment of such amounts. You agree that the Company and the Employer, at their sole discretion and to the fullest extent permitted by law, shall have the right to (a) demand that you pay such amounts in cash, (b) deduct such amounts from any payments of any kind otherwise due to you or (c) withhold from Stock to which you would otherwise be entitled the</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11"/>
        <w:gridCol w:w="103"/>
        <w:gridCol w:w="9891"/>
      </w:tblGrid>
      <w:tr>
        <w:trPr/>
        <w:tc>
          <w:tcPr>
            <w:tcW w:w="211" w:type="dxa"/>
            <w:tcBorders/>
            <w:shd w:fill="auto" w:val="clear"/>
          </w:tcPr>
          <w:p>
            <w:pPr>
              <w:pStyle w:val="TableContents"/>
              <w:spacing w:before="0" w:after="283"/>
              <w:jc w:val="left"/>
              <w:rPr/>
            </w:pPr>
            <w:r>
              <w:rPr/>
              <w:t> </w:t>
            </w:r>
          </w:p>
        </w:tc>
        <w:tc>
          <w:tcPr>
            <w:tcW w:w="103" w:type="dxa"/>
            <w:tcBorders/>
            <w:shd w:fill="auto" w:val="clear"/>
          </w:tcPr>
          <w:p>
            <w:pPr>
              <w:pStyle w:val="TableContents"/>
              <w:spacing w:before="0" w:after="283"/>
              <w:rPr/>
            </w:pPr>
            <w:r>
              <w:rPr/>
              <w:t> </w:t>
            </w:r>
          </w:p>
        </w:tc>
        <w:tc>
          <w:tcPr>
            <w:tcW w:w="9891" w:type="dxa"/>
            <w:tcBorders/>
            <w:shd w:fill="auto" w:val="clear"/>
          </w:tcPr>
          <w:p>
            <w:pPr>
              <w:pStyle w:val="TableContents"/>
              <w:spacing w:before="0" w:after="283"/>
              <w:rPr/>
            </w:pPr>
            <w:r>
              <w:rPr/>
              <w:t>number of shares of Stock having an aggregate Fair Market Value at that time equal to the amount you owe. In the event the Company and the Employer, in their sole discretion, determine that your obligations will not be satisfied under the methods described in this paragraph, you hereby authorize the Company (or its agent) to sell a portion of the Stock that is issued in satisfaction of the Restricted Stock Units, which the Company determines as having at least the market value sufficient to meet your obligations (plus additional shares to account for rounding and market fluctuations), and use the net proceeds of such sale to satisfy your obligations. Any such shares may be sold as part of a block trade for the collective benefit of you and other participants, with all such participants receiving an average price.</w:t>
            </w:r>
          </w:p>
        </w:tc>
      </w:tr>
      <w:tr>
        <w:trPr/>
        <w:tc>
          <w:tcPr>
            <w:tcW w:w="211" w:type="dxa"/>
            <w:tcBorders/>
            <w:shd w:fill="auto" w:val="clear"/>
            <w:vAlign w:val="center"/>
          </w:tcPr>
          <w:p>
            <w:pPr>
              <w:pStyle w:val="TableContents"/>
              <w:spacing w:before="0" w:after="283"/>
              <w:rPr/>
            </w:pPr>
            <w:r>
              <w:rPr/>
              <w:t> </w:t>
            </w:r>
          </w:p>
        </w:tc>
        <w:tc>
          <w:tcPr>
            <w:tcW w:w="9994" w:type="dxa"/>
            <w:gridSpan w:val="2"/>
            <w:tcBorders/>
            <w:shd w:fill="auto" w:val="clear"/>
          </w:tcPr>
          <w:p>
            <w:pPr>
              <w:pStyle w:val="TableContents"/>
              <w:spacing w:before="0" w:after="283"/>
              <w:rPr>
                <w:sz w:val="4"/>
                <w:szCs w:val="4"/>
              </w:rPr>
            </w:pPr>
            <w:r>
              <w:rPr>
                <w:sz w:val="4"/>
                <w:szCs w:val="4"/>
              </w:rPr>
            </w:r>
          </w:p>
        </w:tc>
      </w:tr>
      <w:tr>
        <w:trPr/>
        <w:tc>
          <w:tcPr>
            <w:tcW w:w="211" w:type="dxa"/>
            <w:tcBorders/>
            <w:shd w:fill="auto" w:val="clear"/>
          </w:tcPr>
          <w:p>
            <w:pPr>
              <w:pStyle w:val="TableContents"/>
              <w:spacing w:before="0" w:after="283"/>
              <w:jc w:val="left"/>
              <w:rPr/>
            </w:pPr>
            <w:r>
              <w:rPr/>
              <w:t>6.</w:t>
            </w:r>
          </w:p>
        </w:tc>
        <w:tc>
          <w:tcPr>
            <w:tcW w:w="103" w:type="dxa"/>
            <w:tcBorders/>
            <w:shd w:fill="auto" w:val="clear"/>
          </w:tcPr>
          <w:p>
            <w:pPr>
              <w:pStyle w:val="TableContents"/>
              <w:spacing w:before="0" w:after="283"/>
              <w:rPr/>
            </w:pPr>
            <w:r>
              <w:rPr/>
              <w:t> </w:t>
            </w:r>
          </w:p>
        </w:tc>
        <w:tc>
          <w:tcPr>
            <w:tcW w:w="9891" w:type="dxa"/>
            <w:tcBorders/>
            <w:shd w:fill="auto" w:val="clear"/>
          </w:tcPr>
          <w:p>
            <w:pPr>
              <w:pStyle w:val="TableContents"/>
              <w:spacing w:before="0" w:after="283"/>
              <w:rPr/>
            </w:pPr>
            <w:r>
              <w:rPr>
                <w:b/>
                <w:i/>
              </w:rPr>
              <w:t xml:space="preserve">Leaves of Absence  </w:t>
            </w:r>
            <w:r>
              <w:rPr/>
              <w:t>If you take a leave of absence from active Employment that has been approved by the Employer or is one to which you are legally entitled regardless of such approval, the following provisions will apply:</w:t>
            </w:r>
          </w:p>
        </w:tc>
      </w:tr>
    </w:tbl>
    <w:tbl>
      <w:tblPr>
        <w:tblW w:w="5000" w:type="pct"/>
        <w:jc w:val="left"/>
        <w:tblInd w:w="0" w:type="dxa"/>
        <w:tblCellMar>
          <w:top w:w="0" w:type="dxa"/>
          <w:left w:w="0" w:type="dxa"/>
          <w:bottom w:w="0" w:type="dxa"/>
          <w:right w:w="0" w:type="dxa"/>
        </w:tblCellMar>
      </w:tblPr>
      <w:tblGrid>
        <w:gridCol w:w="302"/>
        <w:gridCol w:w="295"/>
        <w:gridCol w:w="115"/>
        <w:gridCol w:w="9493"/>
      </w:tblGrid>
      <w:tr>
        <w:trPr/>
        <w:tc>
          <w:tcPr>
            <w:tcW w:w="30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5"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i/>
              </w:rPr>
              <w:t xml:space="preserve">Vesting During Leave </w:t>
            </w:r>
            <w:r>
              <w:rPr/>
              <w:t> Notwithstanding the vesting schedule set forth in the Award Summary, no Restricted Stock Units will vest during a leave of absence lasting more than 30 days, unless such leave of absence is an approved medical, FMLA or military leave. The vesting that would have otherwise occurred during a leave of absence lasting more than 30 days (other than an approved medical, FMLA or military leave) will be deferred by the number of days you are on leave of absence. For example, if Restricted Stock Units are scheduled to vest on October 1, 2010 through October 1, 2013, and you take a 60-day leave of absence, the dates on which the vesting occurs will be deferred to November 30, 2010 through November 30, 2013.</w:t>
            </w:r>
          </w:p>
        </w:tc>
      </w:tr>
      <w:tr>
        <w:trPr/>
        <w:tc>
          <w:tcPr>
            <w:tcW w:w="302" w:type="dxa"/>
            <w:tcBorders/>
            <w:shd w:fill="auto" w:val="clear"/>
            <w:vAlign w:val="center"/>
          </w:tcPr>
          <w:p>
            <w:pPr>
              <w:pStyle w:val="TableContents"/>
              <w:spacing w:before="0" w:after="283"/>
              <w:rPr/>
            </w:pPr>
            <w:r>
              <w:rPr/>
              <w:t> </w:t>
            </w:r>
          </w:p>
        </w:tc>
        <w:tc>
          <w:tcPr>
            <w:tcW w:w="9903" w:type="dxa"/>
            <w:gridSpan w:val="3"/>
            <w:tcBorders/>
            <w:shd w:fill="auto" w:val="clear"/>
          </w:tcPr>
          <w:p>
            <w:pPr>
              <w:pStyle w:val="TableContents"/>
              <w:spacing w:before="0" w:after="283"/>
              <w:rPr>
                <w:sz w:val="4"/>
                <w:szCs w:val="4"/>
              </w:rPr>
            </w:pPr>
            <w:r>
              <w:rPr>
                <w:sz w:val="4"/>
                <w:szCs w:val="4"/>
              </w:rPr>
            </w:r>
          </w:p>
        </w:tc>
      </w:tr>
      <w:tr>
        <w:trPr/>
        <w:tc>
          <w:tcPr>
            <w:tcW w:w="302"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5"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i/>
              </w:rPr>
              <w:t xml:space="preserve">Effect of Termination During Leave </w:t>
            </w:r>
            <w:r>
              <w:rPr/>
              <w:t> If your Employment is terminated while you are on a leave of absence, the Restricted Stock Units will expire or vest in accordance with the terms stated in Paragraph 3 above.</w:t>
            </w:r>
          </w:p>
        </w:tc>
      </w:tr>
    </w:tbl>
    <w:tbl>
      <w:tblPr>
        <w:tblW w:w="5000" w:type="pct"/>
        <w:jc w:val="left"/>
        <w:tblInd w:w="0" w:type="dxa"/>
        <w:tblCellMar>
          <w:top w:w="0" w:type="dxa"/>
          <w:left w:w="0" w:type="dxa"/>
          <w:bottom w:w="0" w:type="dxa"/>
          <w:right w:w="0" w:type="dxa"/>
        </w:tblCellMar>
      </w:tblPr>
      <w:tblGrid>
        <w:gridCol w:w="209"/>
        <w:gridCol w:w="103"/>
        <w:gridCol w:w="9893"/>
      </w:tblGrid>
      <w:tr>
        <w:trPr/>
        <w:tc>
          <w:tcPr>
            <w:tcW w:w="209" w:type="dxa"/>
            <w:tcBorders/>
            <w:shd w:fill="auto" w:val="clear"/>
          </w:tcPr>
          <w:p>
            <w:pPr>
              <w:pStyle w:val="TableContents"/>
              <w:spacing w:before="0" w:after="283"/>
              <w:jc w:val="left"/>
              <w:rPr/>
            </w:pPr>
            <w:r>
              <w:rPr/>
              <w:t>7.</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b/>
                <w:i/>
              </w:rPr>
              <w:t xml:space="preserve">Return of Share Value  </w:t>
            </w:r>
            <w:r>
              <w:rPr/>
              <w:t>By accepting this Award, you agree that if the Company determines that you engaged in Conduct Detrimental to the Company (as defined below) during your Employment or during the one-year period following the termination of your Employment, you shall be required, upon demand, to return to the Company, in the form of a cash payment, the Returnable Share Value. For this purpose, Returnable Share Value means the total Fair Market Value of all Stock that was issued to you pursuant to this Award (including any Stock that was withheld or sold to satisfy your obligations under Paragraph 6 above), determined as of the date such Stock was issued to you. The payment of the Returnable Share Value shall be in addition to and separate from any other relief or remedies available to the Company due to your Conduct Detrimental to the Company.</w:t>
            </w:r>
          </w:p>
        </w:tc>
      </w:tr>
      <w:tr>
        <w:trPr/>
        <w:tc>
          <w:tcPr>
            <w:tcW w:w="209" w:type="dxa"/>
            <w:tcBorders/>
            <w:shd w:fill="auto" w:val="clear"/>
            <w:vAlign w:val="center"/>
          </w:tcPr>
          <w:p>
            <w:pPr>
              <w:pStyle w:val="TableContents"/>
              <w:spacing w:before="0" w:after="283"/>
              <w:rPr/>
            </w:pPr>
            <w:r>
              <w:rPr/>
              <w:t> </w:t>
            </w:r>
          </w:p>
        </w:tc>
        <w:tc>
          <w:tcPr>
            <w:tcW w:w="9996" w:type="dxa"/>
            <w:gridSpan w:val="2"/>
            <w:tcBorders/>
            <w:shd w:fill="auto" w:val="clea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jc w:val="left"/>
              <w:rPr/>
            </w:pPr>
            <w:r>
              <w:rPr/>
              <w:t> </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t>For purposes of this Agreement, you will be considered to have engaged in Conduct Detrimental to the Company if (a) you engage in serious misconduct (whether or not such serious misconduct is discovered by the Company prior to the termination of your Employment) or (b) you breach your obligations to the Company pursuant to the Protection of Sensitive Information, Noncompetition and Nonsolicitation Agreement between you and the Company.</w:t>
            </w:r>
          </w:p>
        </w:tc>
      </w:tr>
      <w:tr>
        <w:trPr/>
        <w:tc>
          <w:tcPr>
            <w:tcW w:w="209" w:type="dxa"/>
            <w:tcBorders/>
            <w:shd w:fill="auto" w:val="clear"/>
            <w:vAlign w:val="center"/>
          </w:tcPr>
          <w:p>
            <w:pPr>
              <w:pStyle w:val="TableContents"/>
              <w:spacing w:before="0" w:after="283"/>
              <w:rPr/>
            </w:pPr>
            <w:r>
              <w:rPr/>
              <w:t> </w:t>
            </w:r>
          </w:p>
        </w:tc>
        <w:tc>
          <w:tcPr>
            <w:tcW w:w="9996" w:type="dxa"/>
            <w:gridSpan w:val="2"/>
            <w:tcBorders/>
            <w:shd w:fill="auto" w:val="clea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jc w:val="left"/>
              <w:rPr/>
            </w:pPr>
            <w:r>
              <w:rPr/>
              <w:t>8.</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283"/>
              <w:rPr/>
            </w:pPr>
            <w:r>
              <w:rPr>
                <w:b/>
                <w:i/>
              </w:rPr>
              <w:t xml:space="preserve">Transferability  </w:t>
            </w:r>
            <w:r>
              <w:rPr/>
              <w:t>The Restricted Stock Units are not transferable except as described in this Paragraph, and the provisions of this Paragraph shall apply notwithstanding any other provision herein to the contrary.</w:t>
            </w:r>
          </w:p>
        </w:tc>
      </w:tr>
    </w:tbl>
    <w:tbl>
      <w:tblPr>
        <w:tblW w:w="5000" w:type="pct"/>
        <w:jc w:val="left"/>
        <w:tblInd w:w="0" w:type="dxa"/>
        <w:tblCellMar>
          <w:top w:w="0" w:type="dxa"/>
          <w:left w:w="0" w:type="dxa"/>
          <w:bottom w:w="0" w:type="dxa"/>
          <w:right w:w="0" w:type="dxa"/>
        </w:tblCellMar>
      </w:tblPr>
      <w:tblGrid>
        <w:gridCol w:w="307"/>
        <w:gridCol w:w="293"/>
        <w:gridCol w:w="116"/>
        <w:gridCol w:w="9489"/>
      </w:tblGrid>
      <w:tr>
        <w:trPr/>
        <w:tc>
          <w:tcPr>
            <w:tcW w:w="307"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6" w:type="dxa"/>
            <w:tcBorders/>
            <w:shd w:fill="auto" w:val="clear"/>
          </w:tcPr>
          <w:p>
            <w:pPr>
              <w:pStyle w:val="TableContents"/>
              <w:spacing w:before="0" w:after="283"/>
              <w:rPr/>
            </w:pPr>
            <w:r>
              <w:rPr/>
              <w:t> </w:t>
            </w:r>
          </w:p>
        </w:tc>
        <w:tc>
          <w:tcPr>
            <w:tcW w:w="9489" w:type="dxa"/>
            <w:tcBorders/>
            <w:shd w:fill="auto" w:val="clear"/>
          </w:tcPr>
          <w:p>
            <w:pPr>
              <w:pStyle w:val="TableContents"/>
              <w:spacing w:before="0" w:after="283"/>
              <w:rPr/>
            </w:pPr>
            <w:r>
              <w:rPr/>
              <w:t>The Restricted Stock Units are transferable by will or the laws of descent and distribution.</w:t>
            </w:r>
          </w:p>
        </w:tc>
      </w:tr>
      <w:tr>
        <w:trPr/>
        <w:tc>
          <w:tcPr>
            <w:tcW w:w="307" w:type="dxa"/>
            <w:tcBorders/>
            <w:shd w:fill="auto" w:val="clear"/>
            <w:vAlign w:val="center"/>
          </w:tcPr>
          <w:p>
            <w:pPr>
              <w:pStyle w:val="TableContents"/>
              <w:spacing w:before="0" w:after="283"/>
              <w:rPr/>
            </w:pPr>
            <w:r>
              <w:rPr/>
              <w:t> </w:t>
            </w:r>
          </w:p>
        </w:tc>
        <w:tc>
          <w:tcPr>
            <w:tcW w:w="9898" w:type="dxa"/>
            <w:gridSpan w:val="3"/>
            <w:tcBorders/>
            <w:shd w:fill="auto" w:val="clear"/>
          </w:tcPr>
          <w:p>
            <w:pPr>
              <w:pStyle w:val="TableContents"/>
              <w:spacing w:before="0" w:after="283"/>
              <w:rPr>
                <w:sz w:val="4"/>
                <w:szCs w:val="4"/>
              </w:rPr>
            </w:pPr>
            <w:r>
              <w:rPr>
                <w:sz w:val="4"/>
                <w:szCs w:val="4"/>
              </w:rPr>
            </w:r>
          </w:p>
        </w:tc>
      </w:tr>
      <w:tr>
        <w:trPr/>
        <w:tc>
          <w:tcPr>
            <w:tcW w:w="307"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6" w:type="dxa"/>
            <w:tcBorders/>
            <w:shd w:fill="auto" w:val="clear"/>
          </w:tcPr>
          <w:p>
            <w:pPr>
              <w:pStyle w:val="TableContents"/>
              <w:spacing w:before="0" w:after="283"/>
              <w:rPr/>
            </w:pPr>
            <w:r>
              <w:rPr/>
              <w:t> </w:t>
            </w:r>
          </w:p>
        </w:tc>
        <w:tc>
          <w:tcPr>
            <w:tcW w:w="9489" w:type="dxa"/>
            <w:tcBorders/>
            <w:shd w:fill="auto" w:val="clear"/>
          </w:tcPr>
          <w:p>
            <w:pPr>
              <w:pStyle w:val="TableContents"/>
              <w:spacing w:before="0" w:after="283"/>
              <w:rPr/>
            </w:pPr>
            <w:r>
              <w:rPr/>
              <w:t>The Restricted Stock Units may be transferred to (1) one or more Family Members (as defined below), (2) a trust in which you or Family Members own more than 50% of the beneficial interests, (3) a foundation in which you or Family Members control the management of assets or (4) any other entity in which you or Family Members own more than 50% of the voting interests; provided, however, that in any case, (A) the transfer is by way of gift or is otherwise a donative transfer or, in the case of a transfer to an entity, the transfer is made in exchange for an interest in the entity and (B) the transferee expressly acknowledges that the terms and provisions of the Award Agreement will continue to apply to the Restricted Stock Units in the hands of the transferee. For purpose of this</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4"/>
        <w:gridCol w:w="281"/>
        <w:gridCol w:w="115"/>
        <w:gridCol w:w="9505"/>
      </w:tblGrid>
      <w:tr>
        <w:trPr/>
        <w:tc>
          <w:tcPr>
            <w:tcW w:w="304" w:type="dxa"/>
            <w:tcBorders/>
            <w:shd w:fill="auto" w:val="clear"/>
          </w:tcPr>
          <w:p>
            <w:pPr>
              <w:pStyle w:val="TableContents"/>
              <w:spacing w:before="0" w:after="283"/>
              <w:rPr/>
            </w:pPr>
            <w:r>
              <w:rPr/>
              <w:t> </w:t>
            </w:r>
          </w:p>
        </w:tc>
        <w:tc>
          <w:tcPr>
            <w:tcW w:w="281" w:type="dxa"/>
            <w:tcBorders/>
            <w:shd w:fill="auto" w:val="clear"/>
          </w:tcPr>
          <w:p>
            <w:pPr>
              <w:pStyle w:val="TableContents"/>
              <w:spacing w:before="0" w:after="283"/>
              <w:jc w:val="left"/>
              <w:rPr/>
            </w:pPr>
            <w:r>
              <w:rPr/>
              <w:t> </w:t>
            </w:r>
          </w:p>
        </w:tc>
        <w:tc>
          <w:tcPr>
            <w:tcW w:w="115"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rPr/>
            </w:pPr>
            <w:r>
              <w:rPr/>
              <w:t>provision, the term Family Member shall mean your spouse, former spouse, child, stepchild, grandchild, parent, stepparent, grandparent, sibling, niece, nephew, mother-in-law, father-in-law, son-in-law, daughter-in-law, brother-in-law or sister-in-law (including adoptive relationships) or any person sharing your household (other than a tenant or employee). Notwithstanding the provisions of this subparagraph (b), any transfer described herein must be made in compliance with such procedural rules and regulations (including those pertaining to the timing of transfers) as are established from time to time by the Company.</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81" w:type="dxa"/>
            <w:tcBorders/>
            <w:shd w:fill="auto" w:val="clear"/>
          </w:tcPr>
          <w:p>
            <w:pPr>
              <w:pStyle w:val="TableContents"/>
              <w:spacing w:before="0" w:after="283"/>
              <w:jc w:val="left"/>
              <w:rPr/>
            </w:pPr>
            <w:r>
              <w:rPr/>
              <w:t>(c)</w:t>
            </w:r>
          </w:p>
        </w:tc>
        <w:tc>
          <w:tcPr>
            <w:tcW w:w="115"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rPr/>
            </w:pPr>
            <w:r>
              <w:rPr/>
              <w:t>The Restricted Stock Units may be transferred under a domestic relations order in settlement of marital property rights, so long as the transferee expressly acknowledges that the terms and provisions of the Award Agreement will continue to apply to the Restricted Stock Units in the hands of the transferee.</w:t>
            </w:r>
          </w:p>
        </w:tc>
      </w:tr>
    </w:tbl>
    <w:tbl>
      <w:tblPr>
        <w:tblW w:w="5000" w:type="pct"/>
        <w:jc w:val="left"/>
        <w:tblInd w:w="0" w:type="dxa"/>
        <w:tblCellMar>
          <w:top w:w="0" w:type="dxa"/>
          <w:left w:w="0" w:type="dxa"/>
          <w:bottom w:w="0" w:type="dxa"/>
          <w:right w:w="0" w:type="dxa"/>
        </w:tblCellMar>
      </w:tblPr>
      <w:tblGrid>
        <w:gridCol w:w="324"/>
        <w:gridCol w:w="119"/>
        <w:gridCol w:w="9762"/>
      </w:tblGrid>
      <w:tr>
        <w:trPr/>
        <w:tc>
          <w:tcPr>
            <w:tcW w:w="324" w:type="dxa"/>
            <w:tcBorders/>
            <w:shd w:fill="auto" w:val="clear"/>
          </w:tcPr>
          <w:p>
            <w:pPr>
              <w:pStyle w:val="TableContents"/>
              <w:spacing w:before="0" w:after="283"/>
              <w:jc w:val="left"/>
              <w:rPr/>
            </w:pPr>
            <w:r>
              <w:rPr/>
              <w:t> </w:t>
            </w:r>
          </w:p>
        </w:tc>
        <w:tc>
          <w:tcPr>
            <w:tcW w:w="119" w:type="dxa"/>
            <w:tcBorders/>
            <w:shd w:fill="auto" w:val="clear"/>
          </w:tcPr>
          <w:p>
            <w:pPr>
              <w:pStyle w:val="TableContents"/>
              <w:spacing w:before="0" w:after="283"/>
              <w:rPr/>
            </w:pPr>
            <w:r>
              <w:rPr/>
              <w:t> </w:t>
            </w:r>
          </w:p>
        </w:tc>
        <w:tc>
          <w:tcPr>
            <w:tcW w:w="9762" w:type="dxa"/>
            <w:tcBorders/>
            <w:shd w:fill="auto" w:val="clear"/>
          </w:tcPr>
          <w:p>
            <w:pPr>
              <w:pStyle w:val="TableContents"/>
              <w:spacing w:before="0" w:after="283"/>
              <w:rPr/>
            </w:pPr>
            <w:r>
              <w:rPr/>
              <w:t>Any attempt to transfer the Restricted Stock Units not in accordance with the provisions of this Paragraph shall result in an immediate and automatic expiration and cancellation of such Restricted Stock Units, and the Company shall have no obligation to any purported transferee with respect to such Restricted Stock Units.</w:t>
            </w:r>
          </w:p>
        </w:tc>
      </w:tr>
      <w:tr>
        <w:trPr/>
        <w:tc>
          <w:tcPr>
            <w:tcW w:w="324" w:type="dxa"/>
            <w:tcBorders/>
            <w:shd w:fill="auto" w:val="clear"/>
            <w:vAlign w:val="center"/>
          </w:tcPr>
          <w:p>
            <w:pPr>
              <w:pStyle w:val="TableContents"/>
              <w:spacing w:before="0" w:after="283"/>
              <w:rPr/>
            </w:pPr>
            <w:r>
              <w:rPr/>
              <w:t> </w:t>
            </w:r>
          </w:p>
        </w:tc>
        <w:tc>
          <w:tcPr>
            <w:tcW w:w="9881" w:type="dxa"/>
            <w:gridSpan w:val="2"/>
            <w:tcBorders/>
            <w:shd w:fill="auto" w:val="clea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jc w:val="left"/>
              <w:rPr/>
            </w:pPr>
            <w:r>
              <w:rPr/>
              <w:t>9.</w:t>
            </w:r>
          </w:p>
        </w:tc>
        <w:tc>
          <w:tcPr>
            <w:tcW w:w="119" w:type="dxa"/>
            <w:tcBorders/>
            <w:shd w:fill="auto" w:val="clear"/>
          </w:tcPr>
          <w:p>
            <w:pPr>
              <w:pStyle w:val="TableContents"/>
              <w:spacing w:before="0" w:after="283"/>
              <w:rPr/>
            </w:pPr>
            <w:r>
              <w:rPr/>
              <w:t> </w:t>
            </w:r>
          </w:p>
        </w:tc>
        <w:tc>
          <w:tcPr>
            <w:tcW w:w="9762" w:type="dxa"/>
            <w:tcBorders/>
            <w:shd w:fill="auto" w:val="clear"/>
          </w:tcPr>
          <w:p>
            <w:pPr>
              <w:pStyle w:val="TableContents"/>
              <w:spacing w:before="0" w:after="283"/>
              <w:rPr/>
            </w:pPr>
            <w:r>
              <w:rPr>
                <w:b/>
                <w:i/>
              </w:rPr>
              <w:t xml:space="preserve">Trading Restrictions  </w:t>
            </w:r>
            <w:r>
              <w:rPr/>
              <w:t>The Company may establish periods from time to time during which your ability to engage in transactions involving the Stock is subject to specified restrictions (Restricted Periods). Notwithstanding any other provisions herein, Restricted Stock Units will not vest, and Stock will not be issued with respect thereto, during an applicable Restricted Period and the applicable period during which Restricted Stock Units vest shall be extended until the end of such Restricted Period, unless such vesting is specifically permitted by the Company (in its sole discretion). You may be subject to a Restricted Period for any reason that the Company determines appropriate, including Restricted Periods generally applicable to employees or groups of employees or Restricted Periods applicable to you during an investigation of allegations of misconduct or Conduct Detrimental to the Company by you.</w:t>
            </w:r>
          </w:p>
        </w:tc>
      </w:tr>
      <w:tr>
        <w:trPr/>
        <w:tc>
          <w:tcPr>
            <w:tcW w:w="324" w:type="dxa"/>
            <w:tcBorders/>
            <w:shd w:fill="auto" w:val="clear"/>
            <w:vAlign w:val="center"/>
          </w:tcPr>
          <w:p>
            <w:pPr>
              <w:pStyle w:val="TableContents"/>
              <w:spacing w:before="0" w:after="283"/>
              <w:rPr/>
            </w:pPr>
            <w:r>
              <w:rPr/>
              <w:t> </w:t>
            </w:r>
          </w:p>
        </w:tc>
        <w:tc>
          <w:tcPr>
            <w:tcW w:w="9881" w:type="dxa"/>
            <w:gridSpan w:val="2"/>
            <w:tcBorders/>
            <w:shd w:fill="auto" w:val="clea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jc w:val="left"/>
              <w:rPr/>
            </w:pPr>
            <w:r>
              <w:rPr/>
              <w:t>10.</w:t>
            </w:r>
          </w:p>
        </w:tc>
        <w:tc>
          <w:tcPr>
            <w:tcW w:w="119" w:type="dxa"/>
            <w:tcBorders/>
            <w:shd w:fill="auto" w:val="clear"/>
          </w:tcPr>
          <w:p>
            <w:pPr>
              <w:pStyle w:val="TableContents"/>
              <w:spacing w:before="0" w:after="283"/>
              <w:rPr/>
            </w:pPr>
            <w:r>
              <w:rPr/>
              <w:t> </w:t>
            </w:r>
          </w:p>
        </w:tc>
        <w:tc>
          <w:tcPr>
            <w:tcW w:w="9762" w:type="dxa"/>
            <w:tcBorders/>
            <w:shd w:fill="auto" w:val="clear"/>
          </w:tcPr>
          <w:p>
            <w:pPr>
              <w:pStyle w:val="TableContents"/>
              <w:spacing w:before="0" w:after="283"/>
              <w:rPr/>
            </w:pPr>
            <w:r>
              <w:rPr>
                <w:b/>
                <w:i/>
              </w:rPr>
              <w:t xml:space="preserve">Prospectus  </w:t>
            </w:r>
            <w:r>
              <w:rPr/>
              <w:t>A copy of the prospectus related to the Stock underlying the Restricted Stock Units is available on the Companys website at [INSERT URL]. In addition, you may obtain a copy of the prospectus free of charge by making a request to the Companys Stock Plan Administration Department:</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Address  1901 Capital Parkway, Austin, Texas 78746</w:t>
              <w:br/>
              <w:t>Telephone </w:t>
              <w:br/>
              <w:t>E-mail </w:t>
            </w:r>
          </w:p>
        </w:tc>
      </w:tr>
    </w:tbl>
    <w:tbl>
      <w:tblPr>
        <w:tblW w:w="5000" w:type="pct"/>
        <w:jc w:val="left"/>
        <w:tblInd w:w="0" w:type="dxa"/>
        <w:tblCellMar>
          <w:top w:w="0" w:type="dxa"/>
          <w:left w:w="0" w:type="dxa"/>
          <w:bottom w:w="0" w:type="dxa"/>
          <w:right w:w="0" w:type="dxa"/>
        </w:tblCellMar>
      </w:tblPr>
      <w:tblGrid>
        <w:gridCol w:w="322"/>
        <w:gridCol w:w="117"/>
        <w:gridCol w:w="9766"/>
      </w:tblGrid>
      <w:tr>
        <w:trPr/>
        <w:tc>
          <w:tcPr>
            <w:tcW w:w="322" w:type="dxa"/>
            <w:tcBorders/>
            <w:shd w:fill="auto" w:val="clear"/>
          </w:tcPr>
          <w:p>
            <w:pPr>
              <w:pStyle w:val="TableContents"/>
              <w:spacing w:before="0" w:after="283"/>
              <w:jc w:val="left"/>
              <w:rPr/>
            </w:pPr>
            <w:r>
              <w:rPr/>
              <w:t>11.</w:t>
            </w:r>
          </w:p>
        </w:tc>
        <w:tc>
          <w:tcPr>
            <w:tcW w:w="117" w:type="dxa"/>
            <w:tcBorders/>
            <w:shd w:fill="auto" w:val="clear"/>
          </w:tcPr>
          <w:p>
            <w:pPr>
              <w:pStyle w:val="TableContents"/>
              <w:spacing w:before="0" w:after="283"/>
              <w:rPr/>
            </w:pPr>
            <w:r>
              <w:rPr/>
              <w:t> </w:t>
            </w:r>
          </w:p>
        </w:tc>
        <w:tc>
          <w:tcPr>
            <w:tcW w:w="9766" w:type="dxa"/>
            <w:tcBorders/>
            <w:shd w:fill="auto" w:val="clear"/>
          </w:tcPr>
          <w:p>
            <w:pPr>
              <w:pStyle w:val="TableContents"/>
              <w:spacing w:before="0" w:after="283"/>
              <w:rPr/>
            </w:pPr>
            <w:r>
              <w:rPr>
                <w:b/>
                <w:i/>
              </w:rPr>
              <w:t xml:space="preserve">Notice  </w:t>
            </w:r>
            <w:r>
              <w:rPr/>
              <w:t>You agree that notices regarding this Award may be given to you in writing either at your home address as shown in the records of the Company or the Employer, or by electronic transmission (including e-mail or reference to a website or other URL) sent to you through the Companys normal process for communicating electronically with its employees.</w:t>
            </w:r>
          </w:p>
        </w:tc>
      </w:tr>
      <w:tr>
        <w:trPr/>
        <w:tc>
          <w:tcPr>
            <w:tcW w:w="322" w:type="dxa"/>
            <w:tcBorders/>
            <w:shd w:fill="auto" w:val="clear"/>
            <w:vAlign w:val="center"/>
          </w:tcPr>
          <w:p>
            <w:pPr>
              <w:pStyle w:val="TableContents"/>
              <w:spacing w:before="0" w:after="283"/>
              <w:rPr/>
            </w:pPr>
            <w:r>
              <w:rPr/>
              <w:t> </w:t>
            </w:r>
          </w:p>
        </w:tc>
        <w:tc>
          <w:tcPr>
            <w:tcW w:w="9883" w:type="dxa"/>
            <w:gridSpan w:val="2"/>
            <w:tcBorders/>
            <w:shd w:fill="auto" w:val="clea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jc w:val="left"/>
              <w:rPr/>
            </w:pPr>
            <w:r>
              <w:rPr/>
              <w:t>12.</w:t>
            </w:r>
          </w:p>
        </w:tc>
        <w:tc>
          <w:tcPr>
            <w:tcW w:w="117" w:type="dxa"/>
            <w:tcBorders/>
            <w:shd w:fill="auto" w:val="clear"/>
          </w:tcPr>
          <w:p>
            <w:pPr>
              <w:pStyle w:val="TableContents"/>
              <w:spacing w:before="0" w:after="283"/>
              <w:rPr/>
            </w:pPr>
            <w:r>
              <w:rPr/>
              <w:t> </w:t>
            </w:r>
          </w:p>
        </w:tc>
        <w:tc>
          <w:tcPr>
            <w:tcW w:w="9766" w:type="dxa"/>
            <w:tcBorders/>
            <w:shd w:fill="auto" w:val="clear"/>
          </w:tcPr>
          <w:p>
            <w:pPr>
              <w:pStyle w:val="TableContents"/>
              <w:spacing w:before="0" w:after="283"/>
              <w:rPr/>
            </w:pPr>
            <w:r>
              <w:rPr>
                <w:b/>
                <w:i/>
              </w:rPr>
              <w:t xml:space="preserve">Special Acknowledgements  </w:t>
            </w:r>
            <w:r>
              <w:rPr/>
              <w:t>By accepting this Award, you expressly acknowledge the following:</w:t>
            </w:r>
          </w:p>
        </w:tc>
      </w:tr>
    </w:tbl>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This Award does not confer upon you any right to expectation of employment by, or to continue in the employment of, your Employer.</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Plan is discretionary in nature and may be suspended or terminated by the Company at any time.</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Award is a one-time benefit that does not create any contractual or other right to receive future Awards or benefits in lieu of Awards.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All determinations with respect to future Awards, if any, including the award date, the nature and size of the Award and the vesting dates, will be at the sole discretion of the Company.</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Your participation in the Plan, and your acceptance of this Award, is entirely voluntary.</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The value of this Award (including the Stock that may be issued pursuant to this Award) is an extraordinary item of compensation, is not part of normal or expected compensation for any purpose and is not to be used for purposes of calculating any severance, resignation, redundancy, end of service payments,</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4"/>
        <w:gridCol w:w="204"/>
        <w:gridCol w:w="101"/>
        <w:gridCol w:w="9596"/>
      </w:tblGrid>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bonuses, long-service awards, pension or retirement benefits or similar payments, and you waive any claim on such basis.</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grant of an equity interest in the Company (represented by this Award) gives rise to the Companys need (on behalf of itself and its stockholders) to protect itself from Conduct Detrimental to the Company, and your promises and agreements described in Paragraph 7 above are designed to protect the Company and its stockholders from Conduct Detrimental to the Company.</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Vesting of Restricted Stock Units ceases upon termination of Employment for any reason, except as may otherwise be explicitly provided in the Award Agreement or the Plan.</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future value of the Restricted Stock Units (and the Stock that may be issued pursuant to this Award) is unknown and cannot be predicted with certainty.</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You understand, acknowledge and agree that you will have no rights to compensation or damages related to this Award or any Stock that may be issued pursuant to this Award as a consequence of the termination of your Employment for any reason whatsoever and whether or not in breach of contract.</w:t>
            </w:r>
          </w:p>
        </w:tc>
      </w:tr>
    </w:tbl>
    <w:tbl>
      <w:tblPr>
        <w:tblW w:w="5000" w:type="pct"/>
        <w:jc w:val="left"/>
        <w:tblInd w:w="0" w:type="dxa"/>
        <w:tblCellMar>
          <w:top w:w="0" w:type="dxa"/>
          <w:left w:w="0" w:type="dxa"/>
          <w:bottom w:w="0" w:type="dxa"/>
          <w:right w:w="0" w:type="dxa"/>
        </w:tblCellMar>
      </w:tblPr>
      <w:tblGrid>
        <w:gridCol w:w="333"/>
        <w:gridCol w:w="120"/>
        <w:gridCol w:w="9752"/>
      </w:tblGrid>
      <w:tr>
        <w:trPr/>
        <w:tc>
          <w:tcPr>
            <w:tcW w:w="333" w:type="dxa"/>
            <w:tcBorders/>
            <w:shd w:fill="auto" w:val="clear"/>
          </w:tcPr>
          <w:p>
            <w:pPr>
              <w:pStyle w:val="TableContents"/>
              <w:spacing w:before="0" w:after="283"/>
              <w:jc w:val="left"/>
              <w:rPr/>
            </w:pPr>
            <w:r>
              <w:rPr/>
              <w:t>13.</w:t>
            </w:r>
          </w:p>
        </w:tc>
        <w:tc>
          <w:tcPr>
            <w:tcW w:w="120" w:type="dxa"/>
            <w:tcBorders/>
            <w:shd w:fill="auto" w:val="clear"/>
          </w:tcPr>
          <w:p>
            <w:pPr>
              <w:pStyle w:val="TableContents"/>
              <w:spacing w:before="0" w:after="283"/>
              <w:rPr/>
            </w:pPr>
            <w:r>
              <w:rPr/>
              <w:t> </w:t>
            </w:r>
          </w:p>
        </w:tc>
        <w:tc>
          <w:tcPr>
            <w:tcW w:w="9752" w:type="dxa"/>
            <w:tcBorders/>
            <w:shd w:fill="auto" w:val="clear"/>
          </w:tcPr>
          <w:p>
            <w:pPr>
              <w:pStyle w:val="TableContents"/>
              <w:spacing w:before="0" w:after="283"/>
              <w:rPr/>
            </w:pPr>
            <w:r>
              <w:rPr>
                <w:b/>
                <w:i/>
              </w:rPr>
              <w:t xml:space="preserve">Data Privacy Consent  </w:t>
            </w:r>
            <w:r>
              <w:rPr/>
              <w:t>As a condition to Companys making this Award, you consent to the collection, use and transfer of personal data as described in this Paragraph. You understand that the Company and its Subsidiaries hold certain personal information about you, including your name, home address and telephone number, date of birth, social security number, salary, nationality, job title, any ownership interests or directorships held in the Company or its Subsidiaries and details of all Awards made or cancelled (collectively, Data). You further understand that the Company and its Subsidiaries will transfer Data among themselves as necessary for the purposes of implementation, administration and management of your participation in the Plan, and that the Company and any of its Subsidiaries may each further transfer Data to any third parties assisting the Company in the implementation, administration and management of the Plan. You understand that these recipients may be located in the United States of America, the European Economic Area or elsewhere. You authorize them to receive, possess, use, retain and transfer such Data as may be required for the administration of the Plan or the subsequent holding of Stock on your behalf, in electronic or other form, for the purposes of implementing, administering and managing your participation in the Plan, including any requisite transfer to a broker or other third party with whom you may elect to deposit any shares of Stock acquired under the Plan. You understand that you may, at any time, view such Data or require any necessary amendments to it.</w:t>
            </w:r>
          </w:p>
        </w:tc>
      </w:tr>
      <w:tr>
        <w:trPr/>
        <w:tc>
          <w:tcPr>
            <w:tcW w:w="333" w:type="dxa"/>
            <w:tcBorders/>
            <w:shd w:fill="auto" w:val="clear"/>
            <w:vAlign w:val="center"/>
          </w:tcPr>
          <w:p>
            <w:pPr>
              <w:pStyle w:val="TableContents"/>
              <w:spacing w:before="0" w:after="283"/>
              <w:rPr/>
            </w:pPr>
            <w:r>
              <w:rPr/>
              <w:t> </w:t>
            </w:r>
          </w:p>
        </w:tc>
        <w:tc>
          <w:tcPr>
            <w:tcW w:w="9872" w:type="dxa"/>
            <w:gridSpan w:val="2"/>
            <w:tcBorders/>
            <w:shd w:fill="auto" w:val="clea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jc w:val="left"/>
              <w:rPr/>
            </w:pPr>
            <w:r>
              <w:rPr/>
              <w:t>14.</w:t>
            </w:r>
          </w:p>
        </w:tc>
        <w:tc>
          <w:tcPr>
            <w:tcW w:w="120" w:type="dxa"/>
            <w:tcBorders/>
            <w:shd w:fill="auto" w:val="clear"/>
          </w:tcPr>
          <w:p>
            <w:pPr>
              <w:pStyle w:val="TableContents"/>
              <w:spacing w:before="0" w:after="283"/>
              <w:rPr/>
            </w:pPr>
            <w:r>
              <w:rPr/>
              <w:t> </w:t>
            </w:r>
          </w:p>
        </w:tc>
        <w:tc>
          <w:tcPr>
            <w:tcW w:w="9752" w:type="dxa"/>
            <w:tcBorders/>
            <w:shd w:fill="auto" w:val="clear"/>
          </w:tcPr>
          <w:p>
            <w:pPr>
              <w:pStyle w:val="TableContents"/>
              <w:spacing w:before="0" w:after="283"/>
              <w:rPr/>
            </w:pPr>
            <w:r>
              <w:rPr>
                <w:b/>
                <w:i/>
              </w:rPr>
              <w:t xml:space="preserve">Governing Law and Venue  </w:t>
            </w:r>
            <w:r>
              <w:rPr/>
              <w:t>This Award Agreement and the Plan shall be governed by, and construed in accordance with, the laws of the State of Delaware, United States of America. The venue for any and all disputes arising out of or in connection with this Agreement shall be Travis County, Texas, United States of America, and the courts sitting exclusively in Travis County, Texas,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tc>
      </w:tr>
      <w:tr>
        <w:trPr/>
        <w:tc>
          <w:tcPr>
            <w:tcW w:w="333" w:type="dxa"/>
            <w:tcBorders/>
            <w:shd w:fill="auto" w:val="clear"/>
            <w:vAlign w:val="center"/>
          </w:tcPr>
          <w:p>
            <w:pPr>
              <w:pStyle w:val="TableContents"/>
              <w:spacing w:before="0" w:after="283"/>
              <w:rPr/>
            </w:pPr>
            <w:r>
              <w:rPr/>
              <w:t> </w:t>
            </w:r>
          </w:p>
        </w:tc>
        <w:tc>
          <w:tcPr>
            <w:tcW w:w="9872" w:type="dxa"/>
            <w:gridSpan w:val="2"/>
            <w:tcBorders/>
            <w:shd w:fill="auto" w:val="clea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jc w:val="left"/>
              <w:rPr/>
            </w:pPr>
            <w:r>
              <w:rPr/>
              <w:t>15.</w:t>
            </w:r>
          </w:p>
        </w:tc>
        <w:tc>
          <w:tcPr>
            <w:tcW w:w="120" w:type="dxa"/>
            <w:tcBorders/>
            <w:shd w:fill="auto" w:val="clear"/>
          </w:tcPr>
          <w:p>
            <w:pPr>
              <w:pStyle w:val="TableContents"/>
              <w:spacing w:before="0" w:after="283"/>
              <w:rPr/>
            </w:pPr>
            <w:r>
              <w:rPr/>
              <w:t> </w:t>
            </w:r>
          </w:p>
        </w:tc>
        <w:tc>
          <w:tcPr>
            <w:tcW w:w="9752" w:type="dxa"/>
            <w:tcBorders/>
            <w:shd w:fill="auto" w:val="clear"/>
          </w:tcPr>
          <w:p>
            <w:pPr>
              <w:pStyle w:val="TableContents"/>
              <w:spacing w:before="0" w:after="283"/>
              <w:rPr/>
            </w:pPr>
            <w:r>
              <w:rPr>
                <w:b/>
                <w:i/>
              </w:rPr>
              <w:t xml:space="preserve">Effect of Invalid Provisions  </w:t>
            </w:r>
            <w:r>
              <w:rPr/>
              <w:t>If any of the terms or conditions set forth in the Award Agreement are determined by a court of competent jurisdiction to be unenforceable, any Restricted Stock Units that have not vested as described above will expire at that time and you agree to return to the Company the Returnable Share Value (as defined in Paragraph 7 above) with respect to all Stock theretofore issued to you pursuant to the Award.</w:t>
            </w:r>
          </w:p>
        </w:tc>
      </w:tr>
      <w:tr>
        <w:trPr/>
        <w:tc>
          <w:tcPr>
            <w:tcW w:w="333" w:type="dxa"/>
            <w:tcBorders/>
            <w:shd w:fill="auto" w:val="clear"/>
            <w:vAlign w:val="center"/>
          </w:tcPr>
          <w:p>
            <w:pPr>
              <w:pStyle w:val="TableContents"/>
              <w:spacing w:before="0" w:after="283"/>
              <w:rPr/>
            </w:pPr>
            <w:r>
              <w:rPr/>
              <w:t> </w:t>
            </w:r>
          </w:p>
        </w:tc>
        <w:tc>
          <w:tcPr>
            <w:tcW w:w="9872" w:type="dxa"/>
            <w:gridSpan w:val="2"/>
            <w:tcBorders/>
            <w:shd w:fill="auto" w:val="clea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jc w:val="left"/>
              <w:rPr/>
            </w:pPr>
            <w:r>
              <w:rPr/>
              <w:t>16.</w:t>
            </w:r>
          </w:p>
        </w:tc>
        <w:tc>
          <w:tcPr>
            <w:tcW w:w="120" w:type="dxa"/>
            <w:tcBorders/>
            <w:shd w:fill="auto" w:val="clear"/>
          </w:tcPr>
          <w:p>
            <w:pPr>
              <w:pStyle w:val="TableContents"/>
              <w:spacing w:before="0" w:after="283"/>
              <w:rPr/>
            </w:pPr>
            <w:r>
              <w:rPr/>
              <w:t> </w:t>
            </w:r>
          </w:p>
        </w:tc>
        <w:tc>
          <w:tcPr>
            <w:tcW w:w="9752" w:type="dxa"/>
            <w:tcBorders/>
            <w:shd w:fill="auto" w:val="clear"/>
          </w:tcPr>
          <w:p>
            <w:pPr>
              <w:pStyle w:val="TableContents"/>
              <w:spacing w:before="0" w:after="283"/>
              <w:rPr/>
            </w:pPr>
            <w:r>
              <w:rPr>
                <w:b/>
                <w:i/>
              </w:rPr>
              <w:t xml:space="preserve">Acceptance of Terms and Conditions  </w:t>
            </w:r>
            <w:r>
              <w:rPr/>
              <w:t>This Award will not be effective and you may not take action with respect to the Restricted Stock Units or the Stock that may be issued pursuant to this Award until you have accepted the Award and acknowledged and agreed to the terms and conditions set forth in the Award Agreement in the manner prescribed by the Company. Failure to accept the Award prior to the first vesting date will result in immediate and automatic expiration and cancellation of the Award. You should print a copy of these Terms and Conditions and your Award Summary for your records.</w:t>
            </w:r>
          </w:p>
        </w:tc>
      </w:tr>
    </w:tbl>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41" w:name="d77971exv10w17.htm"/>
      <w:bookmarkStart w:id="42" w:name="ksd77971exv10w17"/>
      <w:bookmarkEnd w:id="41"/>
      <w:bookmarkEnd w:id="42"/>
      <w:r>
        <w:rPr>
          <w:rFonts w:ascii="Times New Roman;Times;serif" w:hAnsi="Times New Roman;Times;serif"/>
          <w:b/>
          <w:sz w:val="17"/>
        </w:rPr>
        <w:t>Exhibit 10.17</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RESTRICTED STOCK AWARD</w:t>
      </w:r>
      <w:r>
        <w:rPr>
          <w:rFonts w:ascii="Times New Roman;Times;serif" w:hAnsi="Times New Roman;Times;serif"/>
          <w:sz w:val="17"/>
        </w:rPr>
        <w:br/>
      </w:r>
      <w:r>
        <w:rPr>
          <w:rFonts w:ascii="Times New Roman;Times;serif" w:hAnsi="Times New Roman;Times;serif"/>
          <w:b/>
          <w:smallCaps/>
          <w:sz w:val="17"/>
        </w:rPr>
        <w:t>Award Summary</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592"/>
        <w:gridCol w:w="509"/>
        <w:gridCol w:w="5104"/>
      </w:tblGrid>
      <w:tr>
        <w:trPr/>
        <w:tc>
          <w:tcPr>
            <w:tcW w:w="459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5104" w:type="dxa"/>
            <w:tcBorders/>
            <w:shd w:fill="auto" w:val="clear"/>
            <w:vAlign w:val="bottom"/>
          </w:tcPr>
          <w:p>
            <w:pPr>
              <w:pStyle w:val="TableContents"/>
              <w:spacing w:before="0" w:after="283"/>
              <w:rPr/>
            </w:pPr>
            <w:r>
              <w:rPr/>
              <w:t> </w:t>
            </w:r>
          </w:p>
        </w:tc>
      </w:tr>
      <w:tr>
        <w:trPr/>
        <w:tc>
          <w:tcPr>
            <w:tcW w:w="4592" w:type="dxa"/>
            <w:tcBorders/>
            <w:shd w:fill="auto" w:val="clear"/>
          </w:tcPr>
          <w:p>
            <w:pPr>
              <w:pStyle w:val="TableContents"/>
              <w:spacing w:before="0" w:after="0"/>
              <w:ind w:left="0" w:right="0" w:hanging="0"/>
              <w:rPr/>
            </w:pPr>
            <w:r>
              <w:rPr>
                <w:b/>
              </w:rPr>
              <w:t>Recipient</w:t>
            </w:r>
            <w:r>
              <w:rPr/>
              <w:t xml:space="preserve">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[NAME OF NON-EMPLOYEE DIRECTOR]</w:t>
            </w:r>
          </w:p>
        </w:tc>
      </w:tr>
      <w:tr>
        <w:trPr/>
        <w:tc>
          <w:tcPr>
            <w:tcW w:w="459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b/>
              </w:rPr>
              <w:t>Social Security No.</w:t>
            </w:r>
            <w:r>
              <w:rPr/>
              <w:t xml:space="preserve">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[XXX-XX-XXXX]</w:t>
            </w:r>
          </w:p>
        </w:tc>
      </w:tr>
      <w:tr>
        <w:trPr/>
        <w:tc>
          <w:tcPr>
            <w:tcW w:w="459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b/>
              </w:rPr>
              <w:t>Award Identification No.</w:t>
            </w:r>
            <w:r>
              <w:rPr/>
              <w:t xml:space="preserve">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[XXXXXXXXX]</w:t>
            </w:r>
          </w:p>
        </w:tc>
      </w:tr>
      <w:tr>
        <w:trPr/>
        <w:tc>
          <w:tcPr>
            <w:tcW w:w="459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b/>
              </w:rPr>
              <w:t>Date of Award</w:t>
            </w:r>
            <w:r>
              <w:rPr/>
              <w:t xml:space="preserve">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[GRANT DATE]</w:t>
            </w:r>
          </w:p>
        </w:tc>
      </w:tr>
      <w:tr>
        <w:trPr/>
        <w:tc>
          <w:tcPr>
            <w:tcW w:w="459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b/>
              </w:rPr>
              <w:t>Number of Shares (Total)</w:t>
            </w:r>
            <w:r>
              <w:rPr/>
              <w:t xml:space="preserve">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b/>
              </w:rPr>
            </w:pPr>
            <w:r>
              <w:rPr>
                <w:b/>
              </w:rPr>
              <w:t>[NUMBER OF SHARES]</w:t>
            </w:r>
          </w:p>
        </w:tc>
      </w:tr>
      <w:tr>
        <w:trPr/>
        <w:tc>
          <w:tcPr>
            <w:tcW w:w="459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b/>
              </w:rPr>
              <w:t>Vesting Schedule</w:t>
            </w:r>
            <w:r>
              <w:rPr/>
              <w:t xml:space="preserve"> </w:t>
            </w:r>
          </w:p>
        </w:tc>
        <w:tc>
          <w:tcPr>
            <w:tcW w:w="509"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b/>
                <w:u w:val="single"/>
              </w:rPr>
              <w:t>Number</w:t>
            </w:r>
            <w:r>
              <w:rPr/>
              <w:t xml:space="preserve">            </w:t>
            </w:r>
            <w:r>
              <w:rPr>
                <w:b/>
                <w:u w:val="single"/>
              </w:rPr>
              <w:t>Date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 Inc., a Delaware corporation (the Company), is pleased to award you shares of the Companys Class A Non-Voting Common Stock, subject to the Terms and Conditions attached to this Award Summary (the Term and Conditions). This Award Summary, together with the Terms and Conditions, shall constitute the Award Agreement with regard to the award of Restricted Stock described herein.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As provided in Paragraph 11 of the Terms and Conditions, this award of Restricted Stock will not be effective until you have accepted the award, and acknowledged and agreed to the terms and conditions set forth in the Award Agreement, by executing this Award Summary in the space provided below and returning it to the Companys Stock Plan Administrator, 1901 Capital Parkway, Austin, Texas 78746.</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475"/>
        <w:gridCol w:w="681"/>
        <w:gridCol w:w="207"/>
        <w:gridCol w:w="3339"/>
        <w:gridCol w:w="1503"/>
      </w:tblGrid>
      <w:tr>
        <w:trPr/>
        <w:tc>
          <w:tcPr>
            <w:tcW w:w="4475"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3339"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rPr/>
            </w:pPr>
            <w:r>
              <w:rPr/>
              <w:t> </w:t>
            </w:r>
          </w:p>
        </w:tc>
      </w:tr>
      <w:tr>
        <w:trPr/>
        <w:tc>
          <w:tcPr>
            <w:tcW w:w="4475" w:type="dxa"/>
            <w:tcBorders/>
            <w:shd w:fill="auto" w:val="clear"/>
          </w:tcPr>
          <w:p>
            <w:pPr>
              <w:pStyle w:val="TableContents"/>
              <w:spacing w:before="0" w:after="283"/>
              <w:jc w:val="left"/>
              <w:rPr/>
            </w:pPr>
            <w:r>
              <w:rPr/>
              <w:t> </w:t>
            </w:r>
          </w:p>
        </w:tc>
        <w:tc>
          <w:tcPr>
            <w:tcW w:w="5730" w:type="dxa"/>
            <w:gridSpan w:val="4"/>
            <w:tcBorders/>
            <w:shd w:fill="auto" w:val="clear"/>
            <w:vAlign w:val="center"/>
          </w:tcPr>
          <w:p>
            <w:pPr>
              <w:pStyle w:val="TableContents"/>
              <w:spacing w:before="0" w:after="283"/>
              <w:jc w:val="left"/>
              <w:rPr/>
            </w:pPr>
            <w:r>
              <w:rPr/>
              <w:t>Awarded subject to the terms and conditions stated above:</w:t>
              <w:br/>
              <w:br/>
              <w:t>EZCORP, INC.</w:t>
              <w:br/>
              <w:t> </w:t>
            </w:r>
          </w:p>
        </w:tc>
      </w:tr>
      <w:tr>
        <w:trPr/>
        <w:tc>
          <w:tcPr>
            <w:tcW w:w="4475" w:type="dxa"/>
            <w:tcBorders/>
            <w:shd w:fill="auto" w:val="clear"/>
            <w:vAlign w:val="center"/>
          </w:tcPr>
          <w:p>
            <w:pPr>
              <w:pStyle w:val="TableContents"/>
              <w:spacing w:before="0" w:after="283"/>
              <w:jc w:val="left"/>
              <w:rPr/>
            </w:pPr>
            <w:r>
              <w:rPr/>
              <w:t> </w:t>
            </w:r>
          </w:p>
        </w:tc>
        <w:tc>
          <w:tcPr>
            <w:tcW w:w="681" w:type="dxa"/>
            <w:tcBorders/>
            <w:shd w:fill="auto" w:val="clear"/>
          </w:tcPr>
          <w:p>
            <w:pPr>
              <w:pStyle w:val="TableContents"/>
              <w:spacing w:before="0" w:after="283"/>
              <w:rPr/>
            </w:pPr>
            <w:r>
              <w:rPr/>
              <w:t>By:  </w:t>
            </w:r>
          </w:p>
        </w:tc>
        <w:tc>
          <w:tcPr>
            <w:tcW w:w="354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503" w:type="dxa"/>
            <w:tcBorders/>
            <w:shd w:fill="auto" w:val="clear"/>
            <w:vAlign w:val="center"/>
          </w:tcPr>
          <w:p>
            <w:pPr>
              <w:pStyle w:val="TableContents"/>
              <w:spacing w:before="0" w:after="283"/>
              <w:rPr/>
            </w:pPr>
            <w:r>
              <w:rPr/>
              <w:t> </w:t>
            </w:r>
          </w:p>
        </w:tc>
      </w:tr>
      <w:tr>
        <w:trPr/>
        <w:tc>
          <w:tcPr>
            <w:tcW w:w="4475" w:type="dxa"/>
            <w:tcBorders/>
            <w:shd w:fill="auto" w:val="clear"/>
            <w:vAlign w:val="center"/>
          </w:tcPr>
          <w:p>
            <w:pPr>
              <w:pStyle w:val="TableContents"/>
              <w:spacing w:before="0" w:after="283"/>
              <w:jc w:val="left"/>
              <w:rPr/>
            </w:pPr>
            <w:r>
              <w:rPr/>
              <w:t> </w:t>
            </w:r>
          </w:p>
        </w:tc>
        <w:tc>
          <w:tcPr>
            <w:tcW w:w="681" w:type="dxa"/>
            <w:tcBorders/>
            <w:shd w:fill="auto" w:val="clear"/>
            <w:vAlign w:val="center"/>
          </w:tcPr>
          <w:p>
            <w:pPr>
              <w:pStyle w:val="TableContents"/>
              <w:spacing w:before="0" w:after="283"/>
              <w:rPr/>
            </w:pPr>
            <w:r>
              <w:rPr/>
              <w:t> </w:t>
            </w:r>
          </w:p>
        </w:tc>
        <w:tc>
          <w:tcPr>
            <w:tcW w:w="3546" w:type="dxa"/>
            <w:gridSpan w:val="2"/>
            <w:tcBorders/>
            <w:shd w:fill="auto" w:val="clear"/>
            <w:vAlign w:val="center"/>
          </w:tcPr>
          <w:p>
            <w:pPr>
              <w:pStyle w:val="TableContents"/>
              <w:spacing w:before="0" w:after="283"/>
              <w:jc w:val="left"/>
              <w:rPr/>
            </w:pPr>
            <w:r>
              <w:rPr/>
              <w:t> </w:t>
            </w:r>
          </w:p>
        </w:tc>
        <w:tc>
          <w:tcPr>
            <w:tcW w:w="1503"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hereby accept the Award described herein and acknowledge and agree to the terms and conditions set forth in the Award Agreement: </w:t>
      </w:r>
    </w:p>
    <w:tbl>
      <w:tblPr>
        <w:tblW w:w="5000" w:type="pct"/>
        <w:jc w:val="center"/>
        <w:tblInd w:w="0" w:type="dxa"/>
        <w:tblCellMar>
          <w:top w:w="0" w:type="dxa"/>
          <w:left w:w="0" w:type="dxa"/>
          <w:bottom w:w="0" w:type="dxa"/>
          <w:right w:w="0" w:type="dxa"/>
        </w:tblCellMar>
      </w:tblPr>
      <w:tblGrid>
        <w:gridCol w:w="4117"/>
        <w:gridCol w:w="109"/>
        <w:gridCol w:w="801"/>
        <w:gridCol w:w="109"/>
        <w:gridCol w:w="479"/>
        <w:gridCol w:w="109"/>
        <w:gridCol w:w="3963"/>
        <w:gridCol w:w="109"/>
        <w:gridCol w:w="409"/>
      </w:tblGrid>
      <w:tr>
        <w:trPr/>
        <w:tc>
          <w:tcPr>
            <w:tcW w:w="41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96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r>
      <w:tr>
        <w:trPr/>
        <w:tc>
          <w:tcPr>
            <w:tcW w:w="4117" w:type="dxa"/>
            <w:tcBorders/>
            <w:shd w:fill="auto" w:val="clear"/>
          </w:tcPr>
          <w:p>
            <w:pPr>
              <w:pStyle w:val="TableContents"/>
              <w:spacing w:before="0" w:after="0"/>
              <w:ind w:left="0" w:right="0" w:hanging="0"/>
              <w:jc w:val="center"/>
              <w:rPr/>
            </w:pPr>
            <w:r>
              <w:rPr/>
              <w:t xml:space="preserve">  </w:t>
            </w:r>
          </w:p>
        </w:tc>
        <w:tc>
          <w:tcPr>
            <w:tcW w:w="109" w:type="dxa"/>
            <w:tcBorders/>
            <w:shd w:fill="auto" w:val="clear"/>
            <w:vAlign w:val="bottom"/>
          </w:tcPr>
          <w:p>
            <w:pPr>
              <w:pStyle w:val="TableContents"/>
              <w:spacing w:before="0" w:after="283"/>
              <w:rPr/>
            </w:pPr>
            <w:r>
              <w:rPr/>
              <w:t> </w:t>
            </w:r>
          </w:p>
        </w:tc>
        <w:tc>
          <w:tcPr>
            <w:tcW w:w="801" w:type="dxa"/>
            <w:tcBorders/>
            <w:shd w:fill="auto" w:val="clear"/>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479" w:type="dxa"/>
            <w:tcBorders/>
            <w:shd w:fill="auto" w:val="clear"/>
          </w:tcPr>
          <w:p>
            <w:pPr>
              <w:pStyle w:val="TableContents"/>
              <w:spacing w:before="0" w:after="283"/>
              <w:jc w:val="left"/>
              <w:rPr/>
            </w:pPr>
            <w:r>
              <w:rPr/>
              <w:t>Date:</w:t>
            </w:r>
          </w:p>
        </w:tc>
        <w:tc>
          <w:tcPr>
            <w:tcW w:w="109" w:type="dxa"/>
            <w:tcBorders/>
            <w:shd w:fill="auto" w:val="clear"/>
            <w:vAlign w:val="bottom"/>
          </w:tcPr>
          <w:p>
            <w:pPr>
              <w:pStyle w:val="TableContents"/>
              <w:spacing w:before="0" w:after="283"/>
              <w:rPr/>
            </w:pPr>
            <w:r>
              <w:rPr/>
              <w:t> </w:t>
            </w:r>
          </w:p>
        </w:tc>
        <w:tc>
          <w:tcPr>
            <w:tcW w:w="3963" w:type="dxa"/>
            <w:tcBorders/>
            <w:shd w:fill="auto" w:val="clear"/>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jc w:val="center"/>
              <w:rPr>
                <w:bdr w:val="single" w:sz="2" w:space="1" w:color="000000"/>
              </w:rPr>
            </w:pPr>
            <w:r>
              <w:rPr>
                <w:bdr w:val="single" w:sz="2" w:space="1" w:color="000000"/>
              </w:rPr>
              <w:t> </w:t>
            </w:r>
          </w:p>
          <w:p>
            <w:pPr>
              <w:pStyle w:val="TableContents"/>
              <w:spacing w:before="0" w:after="0"/>
              <w:jc w:val="center"/>
              <w:rPr/>
            </w:pPr>
            <w:r>
              <w:rPr/>
              <w:t xml:space="preserve">Signature of Recipient </w:t>
            </w:r>
          </w:p>
        </w:tc>
        <w:tc>
          <w:tcPr>
            <w:tcW w:w="109" w:type="dxa"/>
            <w:tcBorders/>
            <w:shd w:fill="auto" w:val="clear"/>
            <w:vAlign w:val="bottom"/>
          </w:tcPr>
          <w:p>
            <w:pPr>
              <w:pStyle w:val="TableContents"/>
              <w:spacing w:before="0" w:after="283"/>
              <w:rPr/>
            </w:pPr>
            <w:r>
              <w:rPr/>
              <w:t> </w:t>
            </w:r>
          </w:p>
        </w:tc>
        <w:tc>
          <w:tcPr>
            <w:tcW w:w="801" w:type="dxa"/>
            <w:tcBorders/>
            <w:shd w:fill="auto" w:val="clear"/>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rPr/>
            </w:pPr>
            <w:r>
              <w:rPr/>
              <w:t> </w:t>
            </w:r>
          </w:p>
        </w:tc>
        <w:tc>
          <w:tcPr>
            <w:tcW w:w="479" w:type="dxa"/>
            <w:tcBorders/>
            <w:shd w:fill="auto" w:val="clear"/>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3963" w:type="dxa"/>
            <w:tcBorders/>
            <w:shd w:fill="auto" w:val="clear"/>
          </w:tcPr>
          <w:p>
            <w:pPr>
              <w:pStyle w:val="TableContents"/>
              <w:spacing w:before="0" w:after="0"/>
              <w:jc w:val="left"/>
              <w:rPr>
                <w:bdr w:val="single" w:sz="2" w:space="1" w:color="000000"/>
              </w:rPr>
            </w:pPr>
            <w:r>
              <w:rPr>
                <w:bdr w:val="single" w:sz="2" w:space="1" w:color="000000"/>
              </w:rPr>
              <w:t> </w:t>
            </w:r>
          </w:p>
        </w:tc>
        <w:tc>
          <w:tcPr>
            <w:tcW w:w="109"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RESTRICTED STOCK AWARD</w:t>
      </w:r>
      <w:r>
        <w:rPr>
          <w:rFonts w:ascii="Times New Roman;Times;serif" w:hAnsi="Times New Roman;Times;serif"/>
          <w:sz w:val="17"/>
        </w:rPr>
        <w:br/>
      </w:r>
      <w:r>
        <w:rPr>
          <w:rFonts w:ascii="Times New Roman;Times;serif" w:hAnsi="Times New Roman;Times;serif"/>
          <w:b/>
          <w:smallCaps/>
          <w:sz w:val="17"/>
        </w:rPr>
        <w:t>Standard Term and Conditions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The Award described below is made under the EZCORP, Inc. 2010 Long-Term Incentive Plan (the Plan) and is governed by the terms of the Plan in addition to the terms and conditions stated in the Award Agreement referred to below. A copy of the Plan is available from the Companys Stock Plan Administration Department. Unless otherwise defined, all terms used herein shall have the respective meanings described in Section 5.1 of the Plan.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Unless otherwise specified in a specific Award Agreement, the following terms and conditions apply to the award of Restricted Stock made on or after May 1, 2010 by EZCORP, Inc., a Delaware corporation (the Company), to any non-employee director of the Company. The recipient of an Award, the date of the Award and the number of shares of Restricted Stock awarded are set forth in an Award Summary that has been duly executed and issued by the Company and appropriately acknowledged and accepted by the recipient (the Award Summary). That Award Summary, together with these term and conditions, shall constitute the Award Agreement with regard to the Award. As used herein, the term you (and derivatives thereof) refers to the recipient of the Award, and the term Shares refers to the shares of Restricted Stock that are subject to the Award. </w:t>
      </w:r>
    </w:p>
    <w:tbl>
      <w:tblPr>
        <w:tblW w:w="5000" w:type="pct"/>
        <w:jc w:val="left"/>
        <w:tblInd w:w="0" w:type="dxa"/>
        <w:tblCellMar>
          <w:top w:w="0" w:type="dxa"/>
          <w:left w:w="0" w:type="dxa"/>
          <w:bottom w:w="0" w:type="dxa"/>
          <w:right w:w="0" w:type="dxa"/>
        </w:tblCellMar>
      </w:tblPr>
      <w:tblGrid>
        <w:gridCol w:w="207"/>
        <w:gridCol w:w="102"/>
        <w:gridCol w:w="9896"/>
      </w:tblGrid>
      <w:tr>
        <w:trPr/>
        <w:tc>
          <w:tcPr>
            <w:tcW w:w="207"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283"/>
              <w:rPr/>
            </w:pPr>
            <w:r>
              <w:rPr>
                <w:b/>
                <w:i/>
              </w:rPr>
              <w:t xml:space="preserve">General  </w:t>
            </w:r>
            <w:r>
              <w:rPr/>
              <w:t>You agree that the following terms and conditions shall apply to the Award.</w:t>
            </w:r>
          </w:p>
        </w:tc>
      </w:tr>
      <w:tr>
        <w:trPr/>
        <w:tc>
          <w:tcPr>
            <w:tcW w:w="207" w:type="dxa"/>
            <w:tcBorders/>
            <w:shd w:fill="auto" w:val="clear"/>
            <w:vAlign w:val="center"/>
          </w:tcPr>
          <w:p>
            <w:pPr>
              <w:pStyle w:val="TableContents"/>
              <w:spacing w:before="0" w:after="283"/>
              <w:rPr/>
            </w:pPr>
            <w:r>
              <w:rPr/>
              <w:t> </w:t>
            </w:r>
          </w:p>
        </w:tc>
        <w:tc>
          <w:tcPr>
            <w:tcW w:w="9998" w:type="dxa"/>
            <w:gridSpan w:val="2"/>
            <w:tcBorders/>
            <w:shd w:fill="auto" w:val="clear"/>
          </w:tcPr>
          <w:p>
            <w:pPr>
              <w:pStyle w:val="TableContents"/>
              <w:spacing w:before="0" w:after="283"/>
              <w:rPr>
                <w:sz w:val="4"/>
                <w:szCs w:val="4"/>
              </w:rPr>
            </w:pPr>
            <w:r>
              <w:rPr>
                <w:sz w:val="4"/>
                <w:szCs w:val="4"/>
              </w:rPr>
            </w:r>
          </w:p>
        </w:tc>
      </w:tr>
      <w:tr>
        <w:trPr/>
        <w:tc>
          <w:tcPr>
            <w:tcW w:w="207"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283"/>
              <w:rPr/>
            </w:pPr>
            <w:r>
              <w:rPr>
                <w:b/>
                <w:i/>
              </w:rPr>
              <w:t xml:space="preserve">Restrictions  </w:t>
            </w:r>
            <w:r>
              <w:rPr/>
              <w:t>The Shares are subject to the following restrictions (referred to herein as the Restrictions):</w:t>
            </w:r>
          </w:p>
        </w:tc>
      </w:tr>
    </w:tbl>
    <w:tbl>
      <w:tblPr>
        <w:tblW w:w="5000" w:type="pct"/>
        <w:jc w:val="left"/>
        <w:tblInd w:w="0" w:type="dxa"/>
        <w:tblCellMar>
          <w:top w:w="0" w:type="dxa"/>
          <w:left w:w="0" w:type="dxa"/>
          <w:bottom w:w="0" w:type="dxa"/>
          <w:right w:w="0" w:type="dxa"/>
        </w:tblCellMar>
      </w:tblPr>
      <w:tblGrid>
        <w:gridCol w:w="308"/>
        <w:gridCol w:w="300"/>
        <w:gridCol w:w="117"/>
        <w:gridCol w:w="9480"/>
      </w:tblGrid>
      <w:tr>
        <w:trPr/>
        <w:tc>
          <w:tcPr>
            <w:tcW w:w="308"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480" w:type="dxa"/>
            <w:tcBorders/>
            <w:shd w:fill="auto" w:val="clear"/>
          </w:tcPr>
          <w:p>
            <w:pPr>
              <w:pStyle w:val="TableContents"/>
              <w:spacing w:before="0" w:after="283"/>
              <w:rPr/>
            </w:pPr>
            <w:r>
              <w:rPr>
                <w:i/>
              </w:rPr>
              <w:t xml:space="preserve">Transfer Restrictions </w:t>
            </w:r>
            <w:r>
              <w:rPr/>
              <w:t> You may not sell, assign, transfer, pledge or otherwise dispose of any Shares until those Shares have vested as described below.</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480" w:type="dxa"/>
            <w:tcBorders/>
            <w:shd w:fill="auto" w:val="clear"/>
          </w:tcPr>
          <w:p>
            <w:pPr>
              <w:pStyle w:val="TableContents"/>
              <w:spacing w:before="0" w:after="283"/>
              <w:rPr/>
            </w:pPr>
            <w:r>
              <w:rPr>
                <w:i/>
              </w:rPr>
              <w:t xml:space="preserve">Forfeiture Restrictions </w:t>
            </w:r>
            <w:r>
              <w:rPr/>
              <w:t> If you cease to be a member of the Companys Board of Directors for any reason other than your death or Permanent Disability, you will forfeit any Shares that have not vested as described below. Any Shares that are forfeited shall be returned to the Company and cancelled, and all of your rights to those Shares will terminate, without any payment of consideration by the Company.</w:t>
            </w:r>
          </w:p>
        </w:tc>
      </w:tr>
    </w:tbl>
    <w:tbl>
      <w:tblPr>
        <w:tblW w:w="5000" w:type="pct"/>
        <w:jc w:val="left"/>
        <w:tblInd w:w="0" w:type="dxa"/>
        <w:tblCellMar>
          <w:top w:w="0" w:type="dxa"/>
          <w:left w:w="0" w:type="dxa"/>
          <w:bottom w:w="0" w:type="dxa"/>
          <w:right w:w="0" w:type="dxa"/>
        </w:tblCellMar>
      </w:tblPr>
      <w:tblGrid>
        <w:gridCol w:w="204"/>
        <w:gridCol w:w="102"/>
        <w:gridCol w:w="9899"/>
      </w:tblGrid>
      <w:tr>
        <w:trPr/>
        <w:tc>
          <w:tcPr>
            <w:tcW w:w="204"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Vesting and Lapse of Restrictions </w:t>
            </w:r>
            <w:r>
              <w:rPr>
                <w:b/>
              </w:rPr>
              <w:t xml:space="preserve"> </w:t>
            </w:r>
            <w:r>
              <w:rPr/>
              <w:t>Unless forfeited pursuant to Paragraph 2(b), the Shares will vest in accordance with the Vesting Schedule set forth in the applicable Award Summary. Notwithstanding that Vesting Schedule, if you case to be a member of the Companys Board of Directors by reason of your death or Permanent Disability, all unvested Shares will vest immediately and automatically. In addition, if you resign or are removed from the Companys Board of Directors for circumstances not involving fraud, misconduct, breach of fiduciary duty or other malfeasance, the Board (acting by majority vote of all directors other than you) may accelerate the vesting of any unvested Shares if it, in its sole discretion, determines that the circumstances merit such treatment. The Restrictions applicable to Shares will lapse at the time the Shares vest.</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Ownership of Shares  </w:t>
            </w:r>
            <w:r>
              <w:rPr/>
              <w:t>The Company will issue the Shares in your name in the form of an entry into a share memo account with the Companys stock transfer agent. Until the Shares have vested, the account will show that the Shares are subject to the Restrictions and you shall not be entitled to transfer the Shares out of that share memo account or receive certificates representing the Shares, but you shall otherwise be entitled to all the rights of beneficial ownership. After Shares have vested as described in Paragraph 3, you (or, in the case of your death or Permanent Disability, your legal representatives) shall have the right to have such Shares certificated and transferred in accordance with the transfer agents procedures generally applicable to all stockholders.</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t>In order to facilitate the transfer back to the Company of any Shares that are forfeited and cancelled pursuant to Paragraph 2(b), you hereby sell, assign and transfer to the Company any and all forfeited Shares that are held in your name in the share memo account, and you hereby irrevocably constitute and appoint the</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4"/>
        <w:gridCol w:w="102"/>
        <w:gridCol w:w="9899"/>
      </w:tblGrid>
      <w:tr>
        <w:trPr/>
        <w:tc>
          <w:tcPr>
            <w:tcW w:w="204"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t>Secretary of the Company, with full power of substitution, as your agent to transfer the forfeited Shares on the Companys stock transfer records. The foregoing is intended to, and shall, constitute a stock power applicable to the forfeited Shares. Upon the forfeiture of Shares, such Shares will be transferred back to the Company pursuant to such stock power and cancelled.</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Responsibility for Taxes  </w:t>
            </w:r>
            <w:r>
              <w:rPr/>
              <w:t>The Company is not required to withhold any taxes as a result of this Award, and you are responsible for the payment of all taxes incurred by you as a result of your receipt of this Award.</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6.</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Trading Restrictions  </w:t>
            </w:r>
            <w:r>
              <w:rPr/>
              <w:t>The Company may establish periods from time to time during which your ability to engage in transactions involving the Stock is subject to specified restrictions (Restricted Periods). Notwithstanding any other provisions herein, Shares will not vest during an applicable Restricted Period and the applicable period during which the Shares vest shall be extended until the end of such Restricted Period, unless such vesting is specifically permitted by the Company (in its sole discretion). You may be subject to a Restricted Period for any reason that the Company determines appropriate.</w:t>
            </w:r>
          </w:p>
        </w:tc>
      </w:tr>
      <w:tr>
        <w:trPr/>
        <w:tc>
          <w:tcPr>
            <w:tcW w:w="204" w:type="dxa"/>
            <w:tcBorders/>
            <w:shd w:fill="auto" w:val="clear"/>
            <w:vAlign w:val="center"/>
          </w:tcPr>
          <w:p>
            <w:pPr>
              <w:pStyle w:val="TableContents"/>
              <w:spacing w:before="0" w:after="283"/>
              <w:rPr/>
            </w:pPr>
            <w:r>
              <w:rPr/>
              <w:t> </w:t>
            </w:r>
          </w:p>
        </w:tc>
        <w:tc>
          <w:tcPr>
            <w:tcW w:w="10001" w:type="dxa"/>
            <w:gridSpan w:val="2"/>
            <w:tcBorders/>
            <w:shd w:fill="auto" w:val="clear"/>
          </w:tcPr>
          <w:p>
            <w:pPr>
              <w:pStyle w:val="TableContents"/>
              <w:spacing w:before="0" w:after="283"/>
              <w:rPr>
                <w:sz w:val="4"/>
                <w:szCs w:val="4"/>
              </w:rPr>
            </w:pPr>
            <w:r>
              <w:rPr>
                <w:sz w:val="4"/>
                <w:szCs w:val="4"/>
              </w:rPr>
            </w:r>
          </w:p>
        </w:tc>
      </w:tr>
      <w:tr>
        <w:trPr/>
        <w:tc>
          <w:tcPr>
            <w:tcW w:w="204" w:type="dxa"/>
            <w:tcBorders/>
            <w:shd w:fill="auto" w:val="clear"/>
          </w:tcPr>
          <w:p>
            <w:pPr>
              <w:pStyle w:val="TableContents"/>
              <w:spacing w:before="0" w:after="283"/>
              <w:jc w:val="left"/>
              <w:rPr/>
            </w:pPr>
            <w:r>
              <w:rPr/>
              <w:t>7.</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283"/>
              <w:rPr/>
            </w:pPr>
            <w:r>
              <w:rPr>
                <w:b/>
                <w:i/>
              </w:rPr>
              <w:t xml:space="preserve">Prospectus  </w:t>
            </w:r>
            <w:r>
              <w:rPr/>
              <w:t>You may obtain a copy of the prospectus related to the Shares free of charge by making a request to the Companys Stock Plan Administration Department:</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Address  1901 Capital Parkway, Austin, Texas 78746</w:t>
              <w:br/>
              <w:t>Telephone </w:t>
              <w:br/>
              <w:t>E-mail </w:t>
            </w:r>
          </w:p>
        </w:tc>
      </w:tr>
    </w:tbl>
    <w:tbl>
      <w:tblPr>
        <w:tblW w:w="5000" w:type="pct"/>
        <w:jc w:val="left"/>
        <w:tblInd w:w="0" w:type="dxa"/>
        <w:tblCellMar>
          <w:top w:w="0" w:type="dxa"/>
          <w:left w:w="0" w:type="dxa"/>
          <w:bottom w:w="0" w:type="dxa"/>
          <w:right w:w="0" w:type="dxa"/>
        </w:tblCellMar>
      </w:tblPr>
      <w:tblGrid>
        <w:gridCol w:w="333"/>
        <w:gridCol w:w="120"/>
        <w:gridCol w:w="9752"/>
      </w:tblGrid>
      <w:tr>
        <w:trPr/>
        <w:tc>
          <w:tcPr>
            <w:tcW w:w="333" w:type="dxa"/>
            <w:tcBorders/>
            <w:shd w:fill="auto" w:val="clear"/>
          </w:tcPr>
          <w:p>
            <w:pPr>
              <w:pStyle w:val="TableContents"/>
              <w:spacing w:before="0" w:after="283"/>
              <w:jc w:val="left"/>
              <w:rPr/>
            </w:pPr>
            <w:r>
              <w:rPr/>
              <w:t>8.</w:t>
            </w:r>
          </w:p>
        </w:tc>
        <w:tc>
          <w:tcPr>
            <w:tcW w:w="120" w:type="dxa"/>
            <w:tcBorders/>
            <w:shd w:fill="auto" w:val="clear"/>
          </w:tcPr>
          <w:p>
            <w:pPr>
              <w:pStyle w:val="TableContents"/>
              <w:spacing w:before="0" w:after="283"/>
              <w:rPr/>
            </w:pPr>
            <w:r>
              <w:rPr/>
              <w:t> </w:t>
            </w:r>
          </w:p>
        </w:tc>
        <w:tc>
          <w:tcPr>
            <w:tcW w:w="9752" w:type="dxa"/>
            <w:tcBorders/>
            <w:shd w:fill="auto" w:val="clear"/>
          </w:tcPr>
          <w:p>
            <w:pPr>
              <w:pStyle w:val="TableContents"/>
              <w:spacing w:before="0" w:after="283"/>
              <w:rPr/>
            </w:pPr>
            <w:r>
              <w:rPr>
                <w:b/>
                <w:i/>
              </w:rPr>
              <w:t xml:space="preserve">Notice  </w:t>
            </w:r>
            <w:r>
              <w:rPr/>
              <w:t>You agree that notices regarding this Award may be given to you in writing either at your home address as shown in the records of the Company or by electronic transmission (including e-mail or reference to a website or other URL).</w:t>
            </w:r>
          </w:p>
        </w:tc>
      </w:tr>
      <w:tr>
        <w:trPr/>
        <w:tc>
          <w:tcPr>
            <w:tcW w:w="333" w:type="dxa"/>
            <w:tcBorders/>
            <w:shd w:fill="auto" w:val="clear"/>
            <w:vAlign w:val="center"/>
          </w:tcPr>
          <w:p>
            <w:pPr>
              <w:pStyle w:val="TableContents"/>
              <w:spacing w:before="0" w:after="283"/>
              <w:rPr/>
            </w:pPr>
            <w:r>
              <w:rPr/>
              <w:t> </w:t>
            </w:r>
          </w:p>
        </w:tc>
        <w:tc>
          <w:tcPr>
            <w:tcW w:w="9872" w:type="dxa"/>
            <w:gridSpan w:val="2"/>
            <w:tcBorders/>
            <w:shd w:fill="auto" w:val="clea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jc w:val="left"/>
              <w:rPr/>
            </w:pPr>
            <w:r>
              <w:rPr/>
              <w:t>9.</w:t>
            </w:r>
          </w:p>
        </w:tc>
        <w:tc>
          <w:tcPr>
            <w:tcW w:w="120" w:type="dxa"/>
            <w:tcBorders/>
            <w:shd w:fill="auto" w:val="clear"/>
          </w:tcPr>
          <w:p>
            <w:pPr>
              <w:pStyle w:val="TableContents"/>
              <w:spacing w:before="0" w:after="283"/>
              <w:rPr/>
            </w:pPr>
            <w:r>
              <w:rPr/>
              <w:t> </w:t>
            </w:r>
          </w:p>
        </w:tc>
        <w:tc>
          <w:tcPr>
            <w:tcW w:w="9752" w:type="dxa"/>
            <w:tcBorders/>
            <w:shd w:fill="auto" w:val="clear"/>
          </w:tcPr>
          <w:p>
            <w:pPr>
              <w:pStyle w:val="TableContents"/>
              <w:spacing w:before="0" w:after="283"/>
              <w:rPr/>
            </w:pPr>
            <w:r>
              <w:rPr>
                <w:b/>
                <w:i/>
              </w:rPr>
              <w:t xml:space="preserve">Data Privacy Consent  </w:t>
            </w:r>
            <w:r>
              <w:rPr/>
              <w:t>As a condition to Companys making this Award, you consent to the collection, use and transfer of personal data as described in this Paragraph. You understand that the Company holds certain personal information about you, including your name, home address and telephone number, date of birth, social security number, nationality, and details of all Awards made or cancelled (collectively, Data). You further understand that the Company and its Subsidiaries will transfer Data among themselves as necessary for the purposes of implementation, administration and management of your participation in the Plan, and that the Company and any of its Subsidiaries may each further transfer Data to any third parties assisting the Company in the implementation, administration and management of the Plan. You understand that these recipients may be located in the United States of America, the European Economic Area or elsewhere. You authorize them to receive, possess, use, retain and transfer such Data as may be required for the administration of the Plan or the subsequent holding of Stock on your behalf, in electronic or other form, for the purposes of implementing, administering and managing your participation in the Plan, including any requisite transfer to a broker or other third party with whom you may elect to deposit any shares of Stock acquired under the Plan. You understand that you may, at any time, view such Data or require any necessary amendments to it.</w:t>
            </w:r>
          </w:p>
        </w:tc>
      </w:tr>
      <w:tr>
        <w:trPr/>
        <w:tc>
          <w:tcPr>
            <w:tcW w:w="333" w:type="dxa"/>
            <w:tcBorders/>
            <w:shd w:fill="auto" w:val="clear"/>
            <w:vAlign w:val="center"/>
          </w:tcPr>
          <w:p>
            <w:pPr>
              <w:pStyle w:val="TableContents"/>
              <w:spacing w:before="0" w:after="283"/>
              <w:rPr/>
            </w:pPr>
            <w:r>
              <w:rPr/>
              <w:t> </w:t>
            </w:r>
          </w:p>
        </w:tc>
        <w:tc>
          <w:tcPr>
            <w:tcW w:w="9872" w:type="dxa"/>
            <w:gridSpan w:val="2"/>
            <w:tcBorders/>
            <w:shd w:fill="auto" w:val="clea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jc w:val="left"/>
              <w:rPr/>
            </w:pPr>
            <w:r>
              <w:rPr/>
              <w:t>10.</w:t>
            </w:r>
          </w:p>
        </w:tc>
        <w:tc>
          <w:tcPr>
            <w:tcW w:w="120" w:type="dxa"/>
            <w:tcBorders/>
            <w:shd w:fill="auto" w:val="clear"/>
          </w:tcPr>
          <w:p>
            <w:pPr>
              <w:pStyle w:val="TableContents"/>
              <w:spacing w:before="0" w:after="283"/>
              <w:rPr/>
            </w:pPr>
            <w:r>
              <w:rPr/>
              <w:t> </w:t>
            </w:r>
          </w:p>
        </w:tc>
        <w:tc>
          <w:tcPr>
            <w:tcW w:w="9752" w:type="dxa"/>
            <w:tcBorders/>
            <w:shd w:fill="auto" w:val="clear"/>
          </w:tcPr>
          <w:p>
            <w:pPr>
              <w:pStyle w:val="TableContents"/>
              <w:spacing w:before="0" w:after="283"/>
              <w:rPr/>
            </w:pPr>
            <w:r>
              <w:rPr>
                <w:b/>
                <w:i/>
              </w:rPr>
              <w:t xml:space="preserve">Governing Law and Venue  </w:t>
            </w:r>
            <w:r>
              <w:rPr/>
              <w:t>This Award Agreement and the Plan shall be governed by, and construed in accordance with, the laws of the State of Delaware, United States of America. The venue for any and all disputes arising out of or in connection with this Agreement shall be Travis County, Texas, United States of America, and the courts sitting exclusively in Travis County, Texas,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tc>
      </w:tr>
      <w:tr>
        <w:trPr/>
        <w:tc>
          <w:tcPr>
            <w:tcW w:w="333" w:type="dxa"/>
            <w:tcBorders/>
            <w:shd w:fill="auto" w:val="clear"/>
            <w:vAlign w:val="center"/>
          </w:tcPr>
          <w:p>
            <w:pPr>
              <w:pStyle w:val="TableContents"/>
              <w:spacing w:before="0" w:after="283"/>
              <w:rPr/>
            </w:pPr>
            <w:r>
              <w:rPr/>
              <w:t> </w:t>
            </w:r>
          </w:p>
        </w:tc>
        <w:tc>
          <w:tcPr>
            <w:tcW w:w="9872" w:type="dxa"/>
            <w:gridSpan w:val="2"/>
            <w:tcBorders/>
            <w:shd w:fill="auto" w:val="clea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jc w:val="left"/>
              <w:rPr/>
            </w:pPr>
            <w:r>
              <w:rPr/>
              <w:t>11.</w:t>
            </w:r>
          </w:p>
        </w:tc>
        <w:tc>
          <w:tcPr>
            <w:tcW w:w="120" w:type="dxa"/>
            <w:tcBorders/>
            <w:shd w:fill="auto" w:val="clear"/>
          </w:tcPr>
          <w:p>
            <w:pPr>
              <w:pStyle w:val="TableContents"/>
              <w:spacing w:before="0" w:after="283"/>
              <w:rPr/>
            </w:pPr>
            <w:r>
              <w:rPr/>
              <w:t> </w:t>
            </w:r>
          </w:p>
        </w:tc>
        <w:tc>
          <w:tcPr>
            <w:tcW w:w="9752" w:type="dxa"/>
            <w:tcBorders/>
            <w:shd w:fill="auto" w:val="clear"/>
          </w:tcPr>
          <w:p>
            <w:pPr>
              <w:pStyle w:val="TableContents"/>
              <w:spacing w:before="0" w:after="283"/>
              <w:rPr/>
            </w:pPr>
            <w:r>
              <w:rPr>
                <w:b/>
                <w:i/>
              </w:rPr>
              <w:t xml:space="preserve">Acceptance of Terms and Conditions  </w:t>
            </w:r>
            <w:r>
              <w:rPr/>
              <w:t>This Award will not be effective until you have accepted the Award and acknowledged and agreed to the terms and conditions set forth in the Award Agreement in the manner prescribed by the Company. Failure to accept the Award prior to the first vesting date will result in immediate and automatic expiration and cancellation of the Award.</w:t>
            </w:r>
          </w:p>
        </w:tc>
      </w:tr>
    </w:tbl>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43" w:name="d77971exv10w23.htm"/>
      <w:bookmarkStart w:id="44" w:name="ksd77971exv10w23"/>
      <w:bookmarkEnd w:id="43"/>
      <w:bookmarkEnd w:id="44"/>
      <w:r>
        <w:rPr>
          <w:rFonts w:ascii="Times New Roman;Times;serif" w:hAnsi="Times New Roman;Times;serif"/>
          <w:b/>
          <w:sz w:val="17"/>
        </w:rPr>
        <w:t>Exhibit 10.23</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CONSULTING 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This Consulting Agreement (this </w:t>
      </w:r>
      <w:r>
        <w:rPr>
          <w:rFonts w:ascii="Times New Roman;Times;serif" w:hAnsi="Times New Roman;Times;serif"/>
          <w:b/>
          <w:i/>
          <w:sz w:val="17"/>
        </w:rPr>
        <w:t>Agreement</w:t>
      </w:r>
      <w:r>
        <w:rPr>
          <w:rFonts w:ascii="Times New Roman;Times;serif" w:hAnsi="Times New Roman;Times;serif"/>
          <w:sz w:val="17"/>
        </w:rPr>
        <w:t>) is entered into, effective October 5, 2010 (the </w:t>
      </w:r>
      <w:r>
        <w:rPr>
          <w:rFonts w:ascii="Times New Roman;Times;serif" w:hAnsi="Times New Roman;Times;serif"/>
          <w:b/>
          <w:i/>
          <w:sz w:val="17"/>
        </w:rPr>
        <w:t>Effective Date</w:t>
      </w:r>
      <w:r>
        <w:rPr>
          <w:rFonts w:ascii="Times New Roman;Times;serif" w:hAnsi="Times New Roman;Times;serif"/>
          <w:sz w:val="17"/>
        </w:rPr>
        <w:t>), by and between EZCORP, Inc., a Delaware corporation (the </w:t>
      </w:r>
      <w:r>
        <w:rPr>
          <w:rFonts w:ascii="Times New Roman;Times;serif" w:hAnsi="Times New Roman;Times;serif"/>
          <w:b/>
          <w:i/>
          <w:sz w:val="17"/>
        </w:rPr>
        <w:t>Company</w:t>
      </w:r>
      <w:r>
        <w:rPr>
          <w:rFonts w:ascii="Times New Roman;Times;serif" w:hAnsi="Times New Roman;Times;serif"/>
          <w:sz w:val="17"/>
        </w:rPr>
        <w:t xml:space="preserve">), and Robert A. Kasenter.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Mr. Kasenter is a former Senior Vice President of the Company. The Company desires to continue to benefit from Mr. Kasenters experience and expertise with respect to the Companys business and, therefore, desires to engage Mr. Kasenter as a consultant for the purposes set forth in this Agreement and pursuant to the terms of that certain Employment and Post-Employment Agreement, dated February 11, 2010 (the </w:t>
      </w:r>
      <w:r>
        <w:rPr>
          <w:rFonts w:ascii="Times New Roman;Times;serif" w:hAnsi="Times New Roman;Times;serif"/>
          <w:b/>
          <w:i/>
          <w:sz w:val="17"/>
        </w:rPr>
        <w:t>Employment Agreement</w:t>
      </w:r>
      <w:r>
        <w:rPr>
          <w:rFonts w:ascii="Times New Roman;Times;serif" w:hAnsi="Times New Roman;Times;serif"/>
          <w:sz w:val="17"/>
        </w:rPr>
        <w:t xml:space="preserve">). Mr. Kasenter desires to perform such services for the Company under the terms and conditions set forth in this Agreement. Therefore, the Company and Mr. Kasenter hereby agree as follows: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b/>
                <w:i/>
              </w:rPr>
              <w:t xml:space="preserve">Services </w:t>
            </w:r>
            <w:r>
              <w:rPr/>
              <w:t> The Company hereby engages Mr. Kasenter to provide consulting and advisory services with respect to organizational planning, general business analysis, and such other similar services as are determined from time to time by the Chairman of the Companys Board of Directors, all such services to be consistent with Mr. Kasenters experience and stature (collectively, the </w:t>
            </w:r>
            <w:r>
              <w:rPr>
                <w:b/>
                <w:i/>
              </w:rPr>
              <w:t>Services</w:t>
            </w:r>
            <w:r>
              <w:rPr/>
              <w:t>). The Company acknowledges and agrees that Mr. Kasenter shall not be required to devote his full time and resources to the performance of the Services, but only such time as is reasonably necessary to perform the Services, not to exceed in any event an average of 80 hours per month. It is also acknowledged that Mr. Kasenter, as an independent consultant, may pursue other non-competing engagements, provided such activities have the prior written approval of the Companys Board of Directors, which approval will not be unreasonably withheld.</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b/>
                <w:i/>
              </w:rPr>
              <w:t xml:space="preserve">Compensation </w:t>
            </w:r>
            <w:r>
              <w:rPr>
                <w:b/>
              </w:rPr>
              <w:t></w:t>
            </w:r>
          </w:p>
        </w:tc>
      </w:tr>
    </w:tbl>
    <w:tbl>
      <w:tblPr>
        <w:tblW w:w="5000" w:type="pct"/>
        <w:jc w:val="left"/>
        <w:tblInd w:w="0" w:type="dxa"/>
        <w:tblCellMar>
          <w:top w:w="0" w:type="dxa"/>
          <w:left w:w="0" w:type="dxa"/>
          <w:bottom w:w="0" w:type="dxa"/>
          <w:right w:w="0" w:type="dxa"/>
        </w:tblCellMar>
      </w:tblPr>
      <w:tblGrid>
        <w:gridCol w:w="308"/>
        <w:gridCol w:w="303"/>
        <w:gridCol w:w="118"/>
        <w:gridCol w:w="9476"/>
      </w:tblGrid>
      <w:tr>
        <w:trPr/>
        <w:tc>
          <w:tcPr>
            <w:tcW w:w="308"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jc w:val="left"/>
              <w:rPr/>
            </w:pPr>
            <w:r>
              <w:rPr/>
              <w:t>(a)</w:t>
            </w:r>
          </w:p>
        </w:tc>
        <w:tc>
          <w:tcPr>
            <w:tcW w:w="118" w:type="dxa"/>
            <w:tcBorders/>
            <w:shd w:fill="auto" w:val="clear"/>
          </w:tcPr>
          <w:p>
            <w:pPr>
              <w:pStyle w:val="TableContents"/>
              <w:spacing w:before="0" w:after="283"/>
              <w:rPr/>
            </w:pPr>
            <w:r>
              <w:rPr/>
              <w:t> </w:t>
            </w:r>
          </w:p>
        </w:tc>
        <w:tc>
          <w:tcPr>
            <w:tcW w:w="9476" w:type="dxa"/>
            <w:tcBorders/>
            <w:shd w:fill="auto" w:val="clear"/>
          </w:tcPr>
          <w:p>
            <w:pPr>
              <w:pStyle w:val="TableContents"/>
              <w:spacing w:before="0" w:after="283"/>
              <w:rPr/>
            </w:pPr>
            <w:r>
              <w:rPr>
                <w:b/>
                <w:i/>
              </w:rPr>
              <w:t xml:space="preserve">Annual Fee </w:t>
            </w:r>
            <w:r>
              <w:rPr/>
              <w:t> As consideration for the performance of the Services, the Company shall pay Mr. Kasenter a consulting fee of $375,000 per annum (the </w:t>
            </w:r>
            <w:r>
              <w:rPr>
                <w:b/>
                <w:i/>
              </w:rPr>
              <w:t>Annual Fee</w:t>
            </w:r>
            <w:r>
              <w:rPr/>
              <w:t>), payable in such intervals (by not less frequently than monthly) as the Company and Mr. Kasenter mutually agree. From time to time, the Company may review and consider the Annual Fee for increase, but at no time shall the Company be under any obligation to increase the amount of the Annual Fee.</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jc w:val="left"/>
              <w:rPr/>
            </w:pPr>
            <w:r>
              <w:rPr/>
              <w:t>(b)</w:t>
            </w:r>
          </w:p>
        </w:tc>
        <w:tc>
          <w:tcPr>
            <w:tcW w:w="118" w:type="dxa"/>
            <w:tcBorders/>
            <w:shd w:fill="auto" w:val="clear"/>
          </w:tcPr>
          <w:p>
            <w:pPr>
              <w:pStyle w:val="TableContents"/>
              <w:spacing w:before="0" w:after="283"/>
              <w:rPr/>
            </w:pPr>
            <w:r>
              <w:rPr/>
              <w:t> </w:t>
            </w:r>
          </w:p>
        </w:tc>
        <w:tc>
          <w:tcPr>
            <w:tcW w:w="9476" w:type="dxa"/>
            <w:tcBorders/>
            <w:shd w:fill="auto" w:val="clear"/>
          </w:tcPr>
          <w:p>
            <w:pPr>
              <w:pStyle w:val="TableContents"/>
              <w:spacing w:before="0" w:after="283"/>
              <w:rPr/>
            </w:pPr>
            <w:r>
              <w:rPr>
                <w:b/>
                <w:i/>
              </w:rPr>
              <w:t xml:space="preserve">Health Insurance </w:t>
            </w:r>
            <w:r>
              <w:rPr/>
              <w:t> During the term of this Agreement, the Company will provide Mr. Kasenter with healthcare benefits equal to the benefits Mr. Kasenter was receiving under the Companys health insurance plans at the time of his retirement from the Company. The Company shall satisfy this obligation by allowing Mr. Kasenter to continue to participate in the Companys health insurance plans, including the executive health care supplement, on the same terms as he was participating at the time of his retirement from the Company. Alternatively, if such continued participation is not available under the terms of the plans, the Company may satisfy this obligation by either (i) making payments to Mr. Kasenter sufficient to allow Mr. Kasenter to purchase the benefits described above or (ii) directly paying the cost of providing such benefits.</w:t>
            </w:r>
          </w:p>
        </w:tc>
      </w:tr>
    </w:tbl>
    <w:tbl>
      <w:tblPr>
        <w:tblW w:w="5000" w:type="pct"/>
        <w:jc w:val="left"/>
        <w:tblInd w:w="0" w:type="dxa"/>
        <w:tblCellMar>
          <w:top w:w="0" w:type="dxa"/>
          <w:left w:w="0" w:type="dxa"/>
          <w:bottom w:w="0" w:type="dxa"/>
          <w:right w:w="0" w:type="dxa"/>
        </w:tblCellMar>
      </w:tblPr>
      <w:tblGrid>
        <w:gridCol w:w="207"/>
        <w:gridCol w:w="102"/>
        <w:gridCol w:w="9896"/>
      </w:tblGrid>
      <w:tr>
        <w:trPr/>
        <w:tc>
          <w:tcPr>
            <w:tcW w:w="207"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283"/>
              <w:rPr/>
            </w:pPr>
            <w:r>
              <w:rPr>
                <w:b/>
                <w:i/>
              </w:rPr>
              <w:t xml:space="preserve">Term </w:t>
            </w:r>
            <w:r>
              <w:rPr/>
              <w:t> The initial term of this Agreement shall expire on September 30, 2013. Upon mutual agreement of the parties, the term of this Agreement may be extended for additional one-year terms. A party desiring to extend the term shall send the other party a written notice thereof at least 12 months prior to the expiration of the then-current term (in the case of the first initial extension following the initial term) or six months prior to the expiration of the then-current term (in the case of subsequent extensions).</w:t>
            </w:r>
          </w:p>
        </w:tc>
      </w:tr>
      <w:tr>
        <w:trPr/>
        <w:tc>
          <w:tcPr>
            <w:tcW w:w="207" w:type="dxa"/>
            <w:tcBorders/>
            <w:shd w:fill="auto" w:val="clear"/>
            <w:vAlign w:val="center"/>
          </w:tcPr>
          <w:p>
            <w:pPr>
              <w:pStyle w:val="TableContents"/>
              <w:spacing w:before="0" w:after="283"/>
              <w:rPr/>
            </w:pPr>
            <w:r>
              <w:rPr/>
              <w:t> </w:t>
            </w:r>
          </w:p>
        </w:tc>
        <w:tc>
          <w:tcPr>
            <w:tcW w:w="9998" w:type="dxa"/>
            <w:gridSpan w:val="2"/>
            <w:tcBorders/>
            <w:shd w:fill="auto" w:val="clear"/>
          </w:tcPr>
          <w:p>
            <w:pPr>
              <w:pStyle w:val="TableContents"/>
              <w:spacing w:before="0" w:after="283"/>
              <w:rPr>
                <w:sz w:val="4"/>
                <w:szCs w:val="4"/>
              </w:rPr>
            </w:pPr>
            <w:r>
              <w:rPr>
                <w:sz w:val="4"/>
                <w:szCs w:val="4"/>
              </w:rPr>
            </w:r>
          </w:p>
        </w:tc>
      </w:tr>
      <w:tr>
        <w:trPr/>
        <w:tc>
          <w:tcPr>
            <w:tcW w:w="207"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283"/>
              <w:rPr/>
            </w:pPr>
            <w:r>
              <w:rPr>
                <w:b/>
                <w:i/>
              </w:rPr>
              <w:t xml:space="preserve">Termination </w:t>
            </w:r>
            <w:r>
              <w:rPr/>
              <w:t> Notwithstanding the provisions of Paragraph 3 above, either party may terminate this Agreement at any time by giving written notice of termination to the other party no less than 90 days prior to the effective date of the termination. In addition, this Agreement will terminate if Mr. Kasenter dies or becomes permanently and totally disabled during the term of this Agreement. Upon termination of this Agreement, the following provisions shall apply:</w:t>
            </w:r>
          </w:p>
        </w:tc>
      </w:tr>
    </w:tbl>
    <w:tbl>
      <w:tblPr>
        <w:tblW w:w="5000" w:type="pct"/>
        <w:jc w:val="left"/>
        <w:tblInd w:w="0" w:type="dxa"/>
        <w:tblCellMar>
          <w:top w:w="0" w:type="dxa"/>
          <w:left w:w="0" w:type="dxa"/>
          <w:bottom w:w="0" w:type="dxa"/>
          <w:right w:w="0" w:type="dxa"/>
        </w:tblCellMar>
      </w:tblPr>
      <w:tblGrid>
        <w:gridCol w:w="305"/>
        <w:gridCol w:w="291"/>
        <w:gridCol w:w="116"/>
        <w:gridCol w:w="9493"/>
      </w:tblGrid>
      <w:tr>
        <w:trPr/>
        <w:tc>
          <w:tcPr>
            <w:tcW w:w="305" w:type="dxa"/>
            <w:tcBorders/>
            <w:shd w:fill="auto" w:val="clear"/>
          </w:tcPr>
          <w:p>
            <w:pPr>
              <w:pStyle w:val="TableContents"/>
              <w:spacing w:before="0" w:after="283"/>
              <w:rPr/>
            </w:pPr>
            <w:r>
              <w:rPr/>
              <w:t> </w:t>
            </w:r>
          </w:p>
        </w:tc>
        <w:tc>
          <w:tcPr>
            <w:tcW w:w="291" w:type="dxa"/>
            <w:tcBorders/>
            <w:shd w:fill="auto" w:val="clear"/>
          </w:tcPr>
          <w:p>
            <w:pPr>
              <w:pStyle w:val="TableContents"/>
              <w:spacing w:before="0" w:after="283"/>
              <w:jc w:val="left"/>
              <w:rPr/>
            </w:pPr>
            <w:r>
              <w:rPr/>
              <w:t>(a)</w:t>
            </w:r>
          </w:p>
        </w:tc>
        <w:tc>
          <w:tcPr>
            <w:tcW w:w="116"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If (i) this Agreement is terminated by the Company because of a material breach by Mr. Kasenter of any of the provisions of this Agreement and such breach remains uncured 30 days after the Company has provided Mr. Kasenter with written notice of such breach or (ii) this Agreement is terminated by Mr. Kasenter (other than a termination described in clause (i) of subparagraph (b) of this Paragraph), then Mr. Kasenter will be entitled to receive only the portion of the Annual Fee and other payments that have accrued through the effective date of the termination and will not be entitled to receive any subsequent payments.</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91" w:type="dxa"/>
            <w:tcBorders/>
            <w:shd w:fill="auto" w:val="clear"/>
          </w:tcPr>
          <w:p>
            <w:pPr>
              <w:pStyle w:val="TableContents"/>
              <w:spacing w:before="0" w:after="283"/>
              <w:jc w:val="left"/>
              <w:rPr/>
            </w:pPr>
            <w:r>
              <w:rPr/>
              <w:t>(b)</w:t>
            </w:r>
          </w:p>
        </w:tc>
        <w:tc>
          <w:tcPr>
            <w:tcW w:w="116"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If (i) this Agreement is terminated by Mr. Kasenter because of a material breach by the Company of any of the provisions of this Agreement and such breach remains uncured 30 days after Mr. Kasenter has provided the Company with written notice of such breach or (ii) this Agreement is terminated by the Company (other than a termination described in clause (i) of subparagraph (a) of this Paragraph), then the Company shall pay Mr. Kasenter, within 30 days following the effective date of the termination, an amount in cash equal to all Annual Fee payments that would have been payable to Mr. Kasenter had this Agreement continued until the expiration of the then-current term and shall continue to provide the health insurance benefits described in Paragraph 2(b) until the expiration of the then-current term.</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91" w:type="dxa"/>
            <w:tcBorders/>
            <w:shd w:fill="auto" w:val="clear"/>
          </w:tcPr>
          <w:p>
            <w:pPr>
              <w:pStyle w:val="TableContents"/>
              <w:spacing w:before="0" w:after="283"/>
              <w:jc w:val="left"/>
              <w:rPr/>
            </w:pPr>
            <w:r>
              <w:rPr/>
              <w:t>(c)</w:t>
            </w:r>
          </w:p>
        </w:tc>
        <w:tc>
          <w:tcPr>
            <w:tcW w:w="116"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If this Agreement is terminated because of Mr. Kasenters death or permanent disability, the Company will pay to Mr. Kasenter (or, if appropriate, to his heirs, beneficiaries, or personal representatives) the following amounts: (i) the portion of the Annual Fee and other payments that have accrued through the effective date of such death or disability and (iii) $375,000. In addition, the Company will continue the health insurance benefits described in Paragraph 2(b) for one year following the date of such death or disability. For purposes of this Agreement, Mr. Kasenter will be considered to be permanently and totally disabled if, in good faith opinion of the Companys Board of Directors, he becomes physically or mentally incapable of properly performing</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8"/>
        <w:gridCol w:w="298"/>
        <w:gridCol w:w="117"/>
        <w:gridCol w:w="9482"/>
      </w:tblGrid>
      <w:tr>
        <w:trPr/>
        <w:tc>
          <w:tcPr>
            <w:tcW w:w="308" w:type="dxa"/>
            <w:tcBorders/>
            <w:shd w:fill="auto" w:val="clear"/>
          </w:tcPr>
          <w:p>
            <w:pPr>
              <w:pStyle w:val="TableContents"/>
              <w:spacing w:before="0" w:after="283"/>
              <w:rPr/>
            </w:pPr>
            <w:r>
              <w:rPr/>
              <w:t> </w:t>
            </w:r>
          </w:p>
        </w:tc>
        <w:tc>
          <w:tcPr>
            <w:tcW w:w="298" w:type="dxa"/>
            <w:tcBorders/>
            <w:shd w:fill="auto" w:val="clear"/>
          </w:tcPr>
          <w:p>
            <w:pPr>
              <w:pStyle w:val="TableContents"/>
              <w:spacing w:before="0" w:after="283"/>
              <w:jc w:val="left"/>
              <w:rPr/>
            </w:pPr>
            <w:r>
              <w:rPr/>
              <w:t> </w:t>
            </w:r>
          </w:p>
        </w:tc>
        <w:tc>
          <w:tcPr>
            <w:tcW w:w="117" w:type="dxa"/>
            <w:tcBorders/>
            <w:shd w:fill="auto" w:val="clear"/>
          </w:tcPr>
          <w:p>
            <w:pPr>
              <w:pStyle w:val="TableContents"/>
              <w:spacing w:before="0" w:after="283"/>
              <w:rPr/>
            </w:pPr>
            <w:r>
              <w:rPr/>
              <w:t> </w:t>
            </w:r>
          </w:p>
        </w:tc>
        <w:tc>
          <w:tcPr>
            <w:tcW w:w="9482" w:type="dxa"/>
            <w:tcBorders/>
            <w:shd w:fill="auto" w:val="clear"/>
          </w:tcPr>
          <w:p>
            <w:pPr>
              <w:pStyle w:val="TableContents"/>
              <w:spacing w:before="0" w:after="283"/>
              <w:rPr/>
            </w:pPr>
            <w:r>
              <w:rPr/>
              <w:t>his duties under this Agreement and such incapacity will exist or can reasonably be expected to exist for a period of 90 days or more.</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298"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482" w:type="dxa"/>
            <w:tcBorders/>
            <w:shd w:fill="auto" w:val="clear"/>
          </w:tcPr>
          <w:p>
            <w:pPr>
              <w:pStyle w:val="TableContents"/>
              <w:spacing w:before="0" w:after="283"/>
              <w:rPr/>
            </w:pPr>
            <w:r>
              <w:rPr/>
              <w:t>In the event of a dispute between the parties as to whether there has been a material breach of this Agreement by either Mr. Kasenter or the Company, the parties waive their right to trial by jury and agree that such dispute will be settled by arbitration administered by the American Arbitration Association in accordance with its commercial arbitration rules. Judgment on the award rendered by the arbitrator may be entered in any court having jurisdiction over the matter.</w:t>
            </w:r>
          </w:p>
        </w:tc>
      </w:tr>
    </w:tbl>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b/>
                <w:i/>
              </w:rPr>
              <w:t xml:space="preserve">Expenses </w:t>
            </w:r>
            <w:r>
              <w:rPr/>
              <w:t> The Company shall reimburse Mr. Kasenter for all reasonable out-of-pocket expenses incurred by Mr. Kasenter in connection with the performance of Services under this Agreement. In order to receive such reimbursement, Mr. Kasenter shall submit monthly expense reports, and the Company will provide the reimbursement within 30 days of the receipt of those reports. The Company will also provide Mr. Kasenter with reasonable office space, furniture, communications, and administrative support in the Austin area to adequately perform his duties during the term of this Agreement.</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6.</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b/>
                <w:i/>
              </w:rPr>
              <w:t>Certain Covenants</w:t>
            </w:r>
            <w:r>
              <w:rPr>
                <w:b/>
              </w:rPr>
              <w:t xml:space="preserve"> </w:t>
            </w:r>
            <w:r>
              <w:rPr/>
              <w:t>Mr. Kasenter acknowledges that he remains and will continue to be subject to certain non-competition and non-solicitation obligations described in the Employment Agreement. Mr. Kasenter hereby affirms such obligations (modified as described below) and hereby agrees that, during the term of this Agreement and for a period of two years thereafter, if he materially breaches any of such obligations, he shall be required to repay to the Company any and all amounts he has theretofore received from the Company pursuant to the terms of this Agreement. This obligation to repay shall be in addition to any other rights or remedies the Company may have pursuant to such agreements or otherwise (including the right to injunctive relief).</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It is hereby expressly understood and agreed that, for purposes of the non-competition obligation contained in the Employment Agreement, the term Competing Business shall mean any entity, sole proprietorship or other business concern that, anywhere in the world, offers or plans to offer products or services that are materially competitive with any of the products or services being offered or marketed, or are being actively developed, by the Company during the term of this Agreement or as of the date this Agreement is terminated. Mr. Kasenter understands that the Company and its affiliates have plans to expand the scope of their activities and the geographic area of their operations with the direct involvement of Mr. Kasenter; therefore, Mr. Kasenter agrees that the limitations as to time, geographical area, and scope of activity contained herein do not impose a greater restraint than is necessary to protect the Companys goodwill and other business interests, and are therefore reasonable. If any provision of this covenant is found to be invalid in whole or in part, the Company may elect, but shall not be required, to have such provision reformed, whether as to time, area covered, or otherwise, as and to the extent required to render it valid and enforceable under applicable law.</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t>During the term of this Agreement, Mr. Kasenter will not, directly or indirectly, in any individual or representative capacity, make any statement, oral or written, or perform any act or omission that is or could be reasonably interpreted to be disparaging of the Companys Board of Directors or management or otherwise detrimental in any material respect to the Companys reputation and goodwill.</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7.</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283"/>
              <w:rPr/>
            </w:pPr>
            <w:r>
              <w:rPr>
                <w:b/>
                <w:i/>
              </w:rPr>
              <w:t xml:space="preserve">Indemnification </w:t>
            </w:r>
            <w:r>
              <w:rPr/>
              <w:t></w:t>
            </w:r>
          </w:p>
        </w:tc>
      </w:tr>
    </w:tbl>
    <w:tbl>
      <w:tblPr>
        <w:tblW w:w="5000" w:type="pct"/>
        <w:jc w:val="left"/>
        <w:tblInd w:w="0" w:type="dxa"/>
        <w:tblCellMar>
          <w:top w:w="0" w:type="dxa"/>
          <w:left w:w="0" w:type="dxa"/>
          <w:bottom w:w="0" w:type="dxa"/>
          <w:right w:w="0" w:type="dxa"/>
        </w:tblCellMar>
      </w:tblPr>
      <w:tblGrid>
        <w:gridCol w:w="306"/>
        <w:gridCol w:w="301"/>
        <w:gridCol w:w="117"/>
        <w:gridCol w:w="9481"/>
      </w:tblGrid>
      <w:tr>
        <w:trPr/>
        <w:tc>
          <w:tcPr>
            <w:tcW w:w="306"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481" w:type="dxa"/>
            <w:tcBorders/>
            <w:shd w:fill="auto" w:val="clear"/>
          </w:tcPr>
          <w:p>
            <w:pPr>
              <w:pStyle w:val="TableContents"/>
              <w:spacing w:before="0" w:after="283"/>
              <w:rPr/>
            </w:pPr>
            <w:r>
              <w:rPr/>
              <w:t>The Company agrees to indemnify Mr. Kasenter and hold him harmless from and against any and all claims, costs, expenses, liabilities, losses, and damages (or actions in respect thereof) related to or arising out of this Agreement or the performance of Services hereunder; provided, however, that the Company shall not be responsible for any claims, costs, expenses, liabilities, losses, or damages incurred by Mr. Kasenter to the extent that it is finally determined by a court or other tribunal of competent jurisdiction that they resulted primarily from actions taken or omitted to be taken by Mr. Kasenter due to Mr. Kasenters recklessness, willful misconduct, or bad faith.</w:t>
            </w:r>
          </w:p>
        </w:tc>
      </w:tr>
      <w:tr>
        <w:trPr/>
        <w:tc>
          <w:tcPr>
            <w:tcW w:w="306" w:type="dxa"/>
            <w:tcBorders/>
            <w:shd w:fill="auto" w:val="clear"/>
            <w:vAlign w:val="center"/>
          </w:tcPr>
          <w:p>
            <w:pPr>
              <w:pStyle w:val="TableContents"/>
              <w:spacing w:before="0" w:after="283"/>
              <w:rPr/>
            </w:pPr>
            <w:r>
              <w:rPr/>
              <w:t> </w:t>
            </w:r>
          </w:p>
        </w:tc>
        <w:tc>
          <w:tcPr>
            <w:tcW w:w="9899" w:type="dxa"/>
            <w:gridSpan w:val="3"/>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481" w:type="dxa"/>
            <w:tcBorders/>
            <w:shd w:fill="auto" w:val="clear"/>
          </w:tcPr>
          <w:p>
            <w:pPr>
              <w:pStyle w:val="TableContents"/>
              <w:spacing w:before="0" w:after="283"/>
              <w:rPr/>
            </w:pPr>
            <w:r>
              <w:rPr/>
              <w:t>If any claim, action, or proceeding, including any governmental investigation, is brought or asserted against Mr. Kasenter with respect to which indemnity may be sought from the Company, Mr. Kasenter shall promptly notify the Company in writing of his knowledge of such claim, action, or proceeding and the Company shall assume the defense thereof, including the employment of counsel reasonably satisfactory to Mr. Kasenter and the payment of all fees and expenses of such counsel and all other expenses related to such claim, action, or proceeding. Mr. Kasenter shall have the right to employ separate counsel in any such claim, action, or proceeding and to participate in the defense thereof, but the fees and expenses of such separate counsel shall be at Mr. Kasenters expense unless (i) the Company has agreed to pay such fees and expenses or (ii) the Company has failed to timely assume the defense of such claim, action, or proceeding, to employ counsel reasonably satisfactory to Mr. Kasenter, or if requested by Mr. Kasenter, to confirm in writing that it is obligated to indemnify Mr. Kasenter in connection with such claim, action, or proceeding in accordance with this agreement, or (iii) counsel shall determine that there is or could reasonably be expected to be a conflict of interest by reason of having common counsel in such claim, action, or proceeding, in which case, if Mr. Kasenter notifies the Company in writing that he elects to employ separate counsel at the expense of the Company, the Company shall not have the right to assume the defense of such claim, action, or proceeding, it being understood, however, that the Company shall not, in connection with any one such claim, action, or proceeding or separate but substantially similar or related claims, actions, or proceedings in the same jurisdiction arising out of the same general allegations or circumstances, be liable for the reasonable fees and expenses of more than one separate firm of attorneys (together with appropriate local counsel) at any time for Mr. Kasenter, which firm shall be designated in writing by Mr. Kasenter. The Company shall not be liable for any settlement of any such claim, action, or proceeding effected without its written consent, which should not be unreasonably withheld. If settled with the Companys prior written consent or if there be a final and nonappealable judgment for the plaintiff in any such claim, action, or proceeding, the Company agrees to indemnify Mr. Kasenter and hold him harmless from and against any loss or liability to the extent stated above by reason of such settlement or judgment.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4"/>
        <w:gridCol w:w="281"/>
        <w:gridCol w:w="115"/>
        <w:gridCol w:w="9505"/>
      </w:tblGrid>
      <w:tr>
        <w:trPr/>
        <w:tc>
          <w:tcPr>
            <w:tcW w:w="304" w:type="dxa"/>
            <w:tcBorders/>
            <w:shd w:fill="auto" w:val="clear"/>
          </w:tcPr>
          <w:p>
            <w:pPr>
              <w:pStyle w:val="TableContents"/>
              <w:spacing w:before="0" w:after="283"/>
              <w:rPr/>
            </w:pPr>
            <w:r>
              <w:rPr/>
              <w:t> </w:t>
            </w:r>
          </w:p>
        </w:tc>
        <w:tc>
          <w:tcPr>
            <w:tcW w:w="281" w:type="dxa"/>
            <w:tcBorders/>
            <w:shd w:fill="auto" w:val="clear"/>
          </w:tcPr>
          <w:p>
            <w:pPr>
              <w:pStyle w:val="TableContents"/>
              <w:spacing w:before="0" w:after="283"/>
              <w:jc w:val="left"/>
              <w:rPr/>
            </w:pPr>
            <w:r>
              <w:rPr/>
              <w:t>(c)</w:t>
            </w:r>
          </w:p>
        </w:tc>
        <w:tc>
          <w:tcPr>
            <w:tcW w:w="115" w:type="dxa"/>
            <w:tcBorders/>
            <w:shd w:fill="auto" w:val="clear"/>
          </w:tcPr>
          <w:p>
            <w:pPr>
              <w:pStyle w:val="TableContents"/>
              <w:spacing w:before="0" w:after="283"/>
              <w:rPr/>
            </w:pPr>
            <w:r>
              <w:rPr/>
              <w:t> </w:t>
            </w:r>
          </w:p>
        </w:tc>
        <w:tc>
          <w:tcPr>
            <w:tcW w:w="9505" w:type="dxa"/>
            <w:tcBorders/>
            <w:shd w:fill="auto" w:val="clear"/>
          </w:tcPr>
          <w:p>
            <w:pPr>
              <w:pStyle w:val="TableContents"/>
              <w:spacing w:before="0" w:after="283"/>
              <w:rPr/>
            </w:pPr>
            <w:r>
              <w:rPr/>
              <w:t>If for any reason the indemnification provided herein is unavailable to Mr. Kasenter with respect to any claims, costs, expenses, liabilities, losses, or damages referred to herein or if such indemnification shall be insufficient to hold Mr. Kasenter harmless from all such claims, costs, expenses, liabilities, losses, or damages, then the Company, in lieu of indemnifying Mr. Kasenter, shall contribute to the amount paid or payable by Mr. Kasenter as a result of such claims, costs, expenses, liabilities, losses, or damages, (i) in such proportion as is appropriate to reflect the relative benefits received by the Company on the one hand and Mr. Kasenter on the other hand or (ii) if the allocation provided by clause (i) above is not permitted by applicable law, in such proportion as is appropriate to reflect not only the relative benefits referred to in clause (i) but also the relative fault of the Company on the one hand and Mr. Kasenter on the other, as well as any other relevant equitable consideration. The amount paid or payable by a party as a result of the claims, costs, expenses, liabilities, losses, or damages, referred to above shall be deemed to include, subject to the limitations set forth in subparagraph (b) above, any legal or other fees or expenses reasonably incurred by such party in connection with investigating or defending any action or claim. Notwithstanding the provisions herein, Mr. Kasenter shall not be required to contribute any amount in excess of the amount of Annual Fees received by him under this Agreement.</w:t>
            </w:r>
          </w:p>
        </w:tc>
      </w:tr>
    </w:tbl>
    <w:tbl>
      <w:tblPr>
        <w:tblW w:w="5000" w:type="pct"/>
        <w:jc w:val="left"/>
        <w:tblInd w:w="0" w:type="dxa"/>
        <w:tblCellMar>
          <w:top w:w="0" w:type="dxa"/>
          <w:left w:w="0" w:type="dxa"/>
          <w:bottom w:w="0" w:type="dxa"/>
          <w:right w:w="0" w:type="dxa"/>
        </w:tblCellMar>
      </w:tblPr>
      <w:tblGrid>
        <w:gridCol w:w="207"/>
        <w:gridCol w:w="102"/>
        <w:gridCol w:w="9896"/>
      </w:tblGrid>
      <w:tr>
        <w:trPr/>
        <w:tc>
          <w:tcPr>
            <w:tcW w:w="207" w:type="dxa"/>
            <w:tcBorders/>
            <w:shd w:fill="auto" w:val="clear"/>
          </w:tcPr>
          <w:p>
            <w:pPr>
              <w:pStyle w:val="TableContents"/>
              <w:spacing w:before="0" w:after="283"/>
              <w:jc w:val="left"/>
              <w:rPr/>
            </w:pPr>
            <w:r>
              <w:rPr/>
              <w:t>8.</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283"/>
              <w:rPr/>
            </w:pPr>
            <w:r>
              <w:rPr>
                <w:b/>
                <w:i/>
              </w:rPr>
              <w:t xml:space="preserve">Miscellaneous Provisions </w:t>
            </w:r>
            <w:r>
              <w:rPr/>
              <w:t></w:t>
            </w:r>
          </w:p>
        </w:tc>
      </w:tr>
    </w:tbl>
    <w:tbl>
      <w:tblPr>
        <w:tblW w:w="5000" w:type="pct"/>
        <w:jc w:val="left"/>
        <w:tblInd w:w="0" w:type="dxa"/>
        <w:tblCellMar>
          <w:top w:w="0" w:type="dxa"/>
          <w:left w:w="0" w:type="dxa"/>
          <w:bottom w:w="0" w:type="dxa"/>
          <w:right w:w="0" w:type="dxa"/>
        </w:tblCellMar>
      </w:tblPr>
      <w:tblGrid>
        <w:gridCol w:w="304"/>
        <w:gridCol w:w="301"/>
        <w:gridCol w:w="117"/>
        <w:gridCol w:w="9483"/>
      </w:tblGrid>
      <w:tr>
        <w:trPr/>
        <w:tc>
          <w:tcPr>
            <w:tcW w:w="304"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483" w:type="dxa"/>
            <w:tcBorders/>
            <w:shd w:fill="auto" w:val="clear"/>
          </w:tcPr>
          <w:p>
            <w:pPr>
              <w:pStyle w:val="TableContents"/>
              <w:spacing w:before="0" w:after="283"/>
              <w:rPr/>
            </w:pPr>
            <w:r>
              <w:rPr>
                <w:b/>
                <w:i/>
              </w:rPr>
              <w:t>Relationship of the Parties</w:t>
            </w:r>
            <w:r>
              <w:rPr/>
              <w:t> The Company may treat Mr. Kasenter as an employee for federal income tax purposes, such that payments of Annual Fees are subject to federal income tax withholding and reporting on Forms W-2. Notwithstanding such treatment, neither party has any authority, nor shall either party imply it has any authority, to act for, in any manner bind, or incur any obligations on behalf of or in the name of the other party. The parties also acknowledge and agree that nothing contained herein creates any fiduciary duties between the parties, and Mr. Kasenter may perform services for other persons so long as the performance of such services are approved in accordance with the provisions of Paragraph 1 and such services do not violate the provisions of Paragraph 6 of this Agreement.</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483" w:type="dxa"/>
            <w:tcBorders/>
            <w:shd w:fill="auto" w:val="clear"/>
          </w:tcPr>
          <w:p>
            <w:pPr>
              <w:pStyle w:val="TableContents"/>
              <w:spacing w:before="0" w:after="283"/>
              <w:rPr/>
            </w:pPr>
            <w:r>
              <w:rPr>
                <w:b/>
                <w:i/>
              </w:rPr>
              <w:t xml:space="preserve">Notices </w:t>
            </w:r>
            <w:r>
              <w:rPr/>
              <w:t> Any notice or other communication hereunder must be in writing (which includes facsimile or electronic communication) and may be delivered or sent by mail, facsimile, or electronic mail to the party to be noticed at the address accompanying such partys signature below. Either party may from time to time change its address for notification purposes by giving the other party written notice of the new address and the date upon which it will become effective. A written notice shall be deemed to have been given (i) when personally delivered, (ii) if mailed, on the third day after it is sent by certified mail, return receipt requested, or (iii) if by facsimile transmission or electronic mail, when the sender has received appropriate confirmation that it has been received by the recipient.</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483" w:type="dxa"/>
            <w:tcBorders/>
            <w:shd w:fill="auto" w:val="clear"/>
          </w:tcPr>
          <w:p>
            <w:pPr>
              <w:pStyle w:val="TableContents"/>
              <w:spacing w:before="0" w:after="283"/>
              <w:rPr/>
            </w:pPr>
            <w:r>
              <w:rPr>
                <w:b/>
                <w:i/>
              </w:rPr>
              <w:t xml:space="preserve">Governing Law </w:t>
            </w:r>
            <w:r>
              <w:rPr/>
              <w:t> This Agreement shall be governed by and construed in accordance with the substantive laws of the State of Texas. Jurisdiction and venue with respect to any lawsuit or other action based on this Agreement shall be in Travis County, Texas, and the Company and Mr. Kasenter hereby irrevocably consent to such jurisdiction and venue.</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483" w:type="dxa"/>
            <w:tcBorders/>
            <w:shd w:fill="auto" w:val="clear"/>
          </w:tcPr>
          <w:p>
            <w:pPr>
              <w:pStyle w:val="TableContents"/>
              <w:spacing w:before="0" w:after="283"/>
              <w:rPr/>
            </w:pPr>
            <w:r>
              <w:rPr>
                <w:b/>
                <w:i/>
              </w:rPr>
              <w:t xml:space="preserve">Attorneys Fees </w:t>
            </w:r>
            <w:r>
              <w:rPr/>
              <w:t> In the event that either party is required to obtain the services of an attorney in order to enforce any right or obligation hereunder, the prevailing party shall be entitled to recover reasonable attorneys fees and court costs from the other party.</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(e)</w:t>
            </w:r>
          </w:p>
        </w:tc>
        <w:tc>
          <w:tcPr>
            <w:tcW w:w="117" w:type="dxa"/>
            <w:tcBorders/>
            <w:shd w:fill="auto" w:val="clear"/>
          </w:tcPr>
          <w:p>
            <w:pPr>
              <w:pStyle w:val="TableContents"/>
              <w:spacing w:before="0" w:after="283"/>
              <w:rPr/>
            </w:pPr>
            <w:r>
              <w:rPr/>
              <w:t> </w:t>
            </w:r>
          </w:p>
        </w:tc>
        <w:tc>
          <w:tcPr>
            <w:tcW w:w="9483" w:type="dxa"/>
            <w:tcBorders/>
            <w:shd w:fill="auto" w:val="clear"/>
          </w:tcPr>
          <w:p>
            <w:pPr>
              <w:pStyle w:val="TableContents"/>
              <w:spacing w:before="0" w:after="283"/>
              <w:rPr/>
            </w:pPr>
            <w:r>
              <w:rPr>
                <w:b/>
                <w:i/>
              </w:rPr>
              <w:t xml:space="preserve">Assignment </w:t>
            </w:r>
            <w:r>
              <w:rPr/>
              <w:t> The rights and obligations of either party hereunder may not be assigned to any other person without the written consent of the other party.</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(f)</w:t>
            </w:r>
          </w:p>
        </w:tc>
        <w:tc>
          <w:tcPr>
            <w:tcW w:w="117" w:type="dxa"/>
            <w:tcBorders/>
            <w:shd w:fill="auto" w:val="clear"/>
          </w:tcPr>
          <w:p>
            <w:pPr>
              <w:pStyle w:val="TableContents"/>
              <w:spacing w:before="0" w:after="283"/>
              <w:rPr/>
            </w:pPr>
            <w:r>
              <w:rPr/>
              <w:t> </w:t>
            </w:r>
          </w:p>
        </w:tc>
        <w:tc>
          <w:tcPr>
            <w:tcW w:w="9483" w:type="dxa"/>
            <w:tcBorders/>
            <w:shd w:fill="auto" w:val="clear"/>
          </w:tcPr>
          <w:p>
            <w:pPr>
              <w:pStyle w:val="TableContents"/>
              <w:spacing w:before="0" w:after="283"/>
              <w:rPr/>
            </w:pPr>
            <w:r>
              <w:rPr>
                <w:b/>
                <w:i/>
              </w:rPr>
              <w:t xml:space="preserve">Validity and Severability </w:t>
            </w:r>
            <w:r>
              <w:rPr>
                <w:b/>
              </w:rPr>
              <w:t xml:space="preserve"> </w:t>
            </w:r>
            <w:r>
              <w:rPr/>
              <w:t>If any provision of this Agreement or the application of any provision hereof to any circumstance is held invalid, unenforceable, or otherwise illegal, the remainder of this Agreement and the application of such provision to any other circumstance shall not be affected, and the provision so held to be invalid, unenforceable, or otherwise illegal shall be reformed to the extent, and only to the extent, necessary to make it enforceable, valid, or legal. If any court or other adjudicative body shall decline to reform any provision of this Agreement held to be invalid, unenforceable, or otherwise illegal as contemplated by the immediately preceding sentence, the parties hereto shall take all such action as may be necessary or appropriate to replace the provision so held to be invalid, unenforceable, or otherwise illegal with one or more alternative provisions that effectuate the purpose and intent of the original provisions of this Agreement as fully as possible without being invalid, unenforceable, or otherwise illegal.</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(g)</w:t>
            </w:r>
          </w:p>
        </w:tc>
        <w:tc>
          <w:tcPr>
            <w:tcW w:w="117" w:type="dxa"/>
            <w:tcBorders/>
            <w:shd w:fill="auto" w:val="clear"/>
          </w:tcPr>
          <w:p>
            <w:pPr>
              <w:pStyle w:val="TableContents"/>
              <w:spacing w:before="0" w:after="283"/>
              <w:rPr/>
            </w:pPr>
            <w:r>
              <w:rPr/>
              <w:t> </w:t>
            </w:r>
          </w:p>
        </w:tc>
        <w:tc>
          <w:tcPr>
            <w:tcW w:w="9483" w:type="dxa"/>
            <w:tcBorders/>
            <w:shd w:fill="auto" w:val="clear"/>
          </w:tcPr>
          <w:p>
            <w:pPr>
              <w:pStyle w:val="TableContents"/>
              <w:spacing w:before="0" w:after="283"/>
              <w:rPr/>
            </w:pPr>
            <w:r>
              <w:rPr>
                <w:b/>
                <w:i/>
              </w:rPr>
              <w:t xml:space="preserve">Amendments; Waivers </w:t>
            </w:r>
            <w:r>
              <w:rPr>
                <w:b/>
              </w:rPr>
              <w:t xml:space="preserve"> </w:t>
            </w:r>
            <w:r>
              <w:rPr/>
              <w:t>No provision of this Agreement may be amended, modified, waived, or discharged unless such amendment, modification, waiver, or discharge is agreed to in writing signed by the Company and Mr. Kasenter.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jc w:val="left"/>
              <w:rPr/>
            </w:pPr>
            <w:r>
              <w:rPr/>
              <w:t>(h)</w:t>
            </w:r>
          </w:p>
        </w:tc>
        <w:tc>
          <w:tcPr>
            <w:tcW w:w="117" w:type="dxa"/>
            <w:tcBorders/>
            <w:shd w:fill="auto" w:val="clear"/>
          </w:tcPr>
          <w:p>
            <w:pPr>
              <w:pStyle w:val="TableContents"/>
              <w:spacing w:before="0" w:after="283"/>
              <w:rPr/>
            </w:pPr>
            <w:r>
              <w:rPr/>
              <w:t> </w:t>
            </w:r>
          </w:p>
        </w:tc>
        <w:tc>
          <w:tcPr>
            <w:tcW w:w="9483" w:type="dxa"/>
            <w:tcBorders/>
            <w:shd w:fill="auto" w:val="clear"/>
          </w:tcPr>
          <w:p>
            <w:pPr>
              <w:pStyle w:val="TableContents"/>
              <w:spacing w:before="0" w:after="283"/>
              <w:rPr/>
            </w:pPr>
            <w:r>
              <w:rPr>
                <w:b/>
                <w:i/>
              </w:rPr>
              <w:t xml:space="preserve">Complete Agreement </w:t>
            </w:r>
            <w:r>
              <w:rPr>
                <w:b/>
              </w:rPr>
              <w:t xml:space="preserve"> </w:t>
            </w:r>
            <w:r>
              <w:rPr/>
              <w:t>No agreements or representations, oral or otherwise, expressed or implied with respect to the subject matter hereof have been made by either party that are not set forth expressly in this Agreement; provided, however, that Mr. Kasenter expressly acknowledges his continuing obligations pursuant to the Employment Agreement (as such obligations are modified by the provisions of this Agreement).</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(SIGNATURE PAGE FOLLOWS)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This Agreement has been executed by the parties on the respective dates indicated below, to be effective as of the date first set forth above.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EZCORP, INC.</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59"/>
        <w:gridCol w:w="356"/>
        <w:gridCol w:w="538"/>
        <w:gridCol w:w="3573"/>
        <w:gridCol w:w="5679"/>
      </w:tblGrid>
      <w:tr>
        <w:trPr/>
        <w:tc>
          <w:tcPr>
            <w:tcW w:w="5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3573" w:type="dxa"/>
            <w:tcBorders/>
            <w:shd w:fill="auto" w:val="clear"/>
            <w:vAlign w:val="center"/>
          </w:tcPr>
          <w:p>
            <w:pPr>
              <w:pStyle w:val="TableContents"/>
              <w:spacing w:before="0" w:after="283"/>
              <w:rPr>
                <w:sz w:val="4"/>
                <w:szCs w:val="4"/>
              </w:rPr>
            </w:pPr>
            <w:r>
              <w:rPr>
                <w:sz w:val="4"/>
                <w:szCs w:val="4"/>
              </w:rPr>
            </w:r>
          </w:p>
        </w:tc>
        <w:tc>
          <w:tcPr>
            <w:tcW w:w="5679" w:type="dxa"/>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jc w:val="left"/>
              <w:rPr/>
            </w:pPr>
            <w:r>
              <w:rPr/>
              <w:t> </w:t>
            </w:r>
          </w:p>
        </w:tc>
        <w:tc>
          <w:tcPr>
            <w:tcW w:w="4467" w:type="dxa"/>
            <w:gridSpan w:val="3"/>
            <w:tcBorders/>
            <w:shd w:fill="auto" w:val="clear"/>
            <w:vAlign w:val="center"/>
          </w:tcPr>
          <w:p>
            <w:pPr>
              <w:pStyle w:val="TableContents"/>
              <w:spacing w:before="0" w:after="283"/>
              <w:jc w:val="left"/>
              <w:rPr/>
            </w:pPr>
            <w:r>
              <w:rPr/>
              <w:t> </w:t>
            </w:r>
          </w:p>
        </w:tc>
        <w:tc>
          <w:tcPr>
            <w:tcW w:w="5679" w:type="dxa"/>
            <w:tcBorders/>
            <w:shd w:fill="auto" w:val="clear"/>
            <w:vAlign w:val="center"/>
          </w:tcPr>
          <w:p>
            <w:pPr>
              <w:pStyle w:val="TableContents"/>
              <w:spacing w:before="0" w:after="283"/>
              <w:rPr/>
            </w:pPr>
            <w:r>
              <w:rPr/>
              <w:t> </w:t>
            </w:r>
          </w:p>
        </w:tc>
      </w:tr>
      <w:tr>
        <w:trPr/>
        <w:tc>
          <w:tcPr>
            <w:tcW w:w="59"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111"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Sterling B. Brinkley</w:t>
            </w:r>
            <w:r>
              <w:rPr/>
              <w:t xml:space="preserve">  </w:t>
            </w:r>
          </w:p>
        </w:tc>
        <w:tc>
          <w:tcPr>
            <w:tcW w:w="5679" w:type="dxa"/>
            <w:tcBorders/>
            <w:shd w:fill="auto" w:val="clear"/>
            <w:vAlign w:val="center"/>
          </w:tcPr>
          <w:p>
            <w:pPr>
              <w:pStyle w:val="TableContents"/>
              <w:spacing w:before="0" w:after="283"/>
              <w:rPr/>
            </w:pPr>
            <w:r>
              <w:rPr/>
              <w:t> </w:t>
            </w:r>
          </w:p>
        </w:tc>
      </w:tr>
      <w:tr>
        <w:trPr/>
        <w:tc>
          <w:tcPr>
            <w:tcW w:w="59"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111" w:type="dxa"/>
            <w:gridSpan w:val="2"/>
            <w:tcBorders/>
            <w:shd w:fill="auto" w:val="clear"/>
            <w:vAlign w:val="center"/>
          </w:tcPr>
          <w:p>
            <w:pPr>
              <w:pStyle w:val="TableContents"/>
              <w:spacing w:before="0" w:after="283"/>
              <w:jc w:val="left"/>
              <w:rPr/>
            </w:pPr>
            <w:r>
              <w:rPr/>
              <w:t>Sterling B. Brinkley, </w:t>
            </w:r>
          </w:p>
        </w:tc>
        <w:tc>
          <w:tcPr>
            <w:tcW w:w="5679" w:type="dxa"/>
            <w:tcBorders/>
            <w:shd w:fill="auto" w:val="clear"/>
            <w:vAlign w:val="center"/>
          </w:tcPr>
          <w:p>
            <w:pPr>
              <w:pStyle w:val="TableContents"/>
              <w:spacing w:before="0" w:after="283"/>
              <w:rPr/>
            </w:pPr>
            <w:r>
              <w:rPr/>
              <w:t> </w:t>
            </w:r>
          </w:p>
        </w:tc>
      </w:tr>
      <w:tr>
        <w:trPr/>
        <w:tc>
          <w:tcPr>
            <w:tcW w:w="59"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111" w:type="dxa"/>
            <w:gridSpan w:val="2"/>
            <w:tcBorders/>
            <w:shd w:fill="auto" w:val="clear"/>
            <w:vAlign w:val="center"/>
          </w:tcPr>
          <w:p>
            <w:pPr>
              <w:pStyle w:val="TableContents"/>
              <w:spacing w:before="0" w:after="283"/>
              <w:jc w:val="left"/>
              <w:rPr/>
            </w:pPr>
            <w:r>
              <w:rPr/>
              <w:t>Chairman of the Board </w:t>
            </w:r>
          </w:p>
        </w:tc>
        <w:tc>
          <w:tcPr>
            <w:tcW w:w="567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November 19,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Address for notices: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EZCORP, Inc.</w:t>
              <w:br/>
              <w:t>Attention: General Counsel</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1901 Capital Parkway</w:t>
              <w:br/>
              <w:t>Austin, Texas 78746</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Facsimile: 512-314-3404</w:t>
              <w:br/>
              <w:t>Email: tom_welch@ezcorp.com</w:t>
            </w:r>
          </w:p>
        </w:tc>
      </w:tr>
    </w:tbl>
    <w:tbl>
      <w:tblPr>
        <w:tblW w:w="5000" w:type="pct"/>
        <w:jc w:val="left"/>
        <w:tblInd w:w="0" w:type="dxa"/>
        <w:tblCellMar>
          <w:top w:w="0" w:type="dxa"/>
          <w:left w:w="0" w:type="dxa"/>
          <w:bottom w:w="0" w:type="dxa"/>
          <w:right w:w="0" w:type="dxa"/>
        </w:tblCellMar>
      </w:tblPr>
      <w:tblGrid>
        <w:gridCol w:w="59"/>
        <w:gridCol w:w="722"/>
        <w:gridCol w:w="403"/>
        <w:gridCol w:w="3405"/>
        <w:gridCol w:w="5616"/>
      </w:tblGrid>
      <w:tr>
        <w:trPr/>
        <w:tc>
          <w:tcPr>
            <w:tcW w:w="5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3405" w:type="dxa"/>
            <w:tcBorders/>
            <w:shd w:fill="auto" w:val="clear"/>
            <w:vAlign w:val="center"/>
          </w:tcPr>
          <w:p>
            <w:pPr>
              <w:pStyle w:val="TableContents"/>
              <w:spacing w:before="0" w:after="283"/>
              <w:rPr>
                <w:sz w:val="4"/>
                <w:szCs w:val="4"/>
              </w:rPr>
            </w:pPr>
            <w:r>
              <w:rPr>
                <w:sz w:val="4"/>
                <w:szCs w:val="4"/>
              </w:rPr>
            </w:r>
          </w:p>
        </w:tc>
        <w:tc>
          <w:tcPr>
            <w:tcW w:w="5616" w:type="dxa"/>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jc w:val="left"/>
              <w:rPr/>
            </w:pPr>
            <w:r>
              <w:rPr/>
              <w:t> </w:t>
            </w:r>
          </w:p>
        </w:tc>
        <w:tc>
          <w:tcPr>
            <w:tcW w:w="4530" w:type="dxa"/>
            <w:gridSpan w:val="3"/>
            <w:tcBorders/>
            <w:shd w:fill="auto" w:val="clear"/>
            <w:vAlign w:val="center"/>
          </w:tcPr>
          <w:p>
            <w:pPr>
              <w:pStyle w:val="TableContents"/>
              <w:spacing w:before="0" w:after="283"/>
              <w:jc w:val="left"/>
              <w:rPr/>
            </w:pPr>
            <w:r>
              <w:rPr/>
              <w:t> </w:t>
            </w:r>
          </w:p>
        </w:tc>
        <w:tc>
          <w:tcPr>
            <w:tcW w:w="5616" w:type="dxa"/>
            <w:tcBorders/>
            <w:shd w:fill="auto" w:val="clear"/>
            <w:vAlign w:val="center"/>
          </w:tcPr>
          <w:p>
            <w:pPr>
              <w:pStyle w:val="TableContents"/>
              <w:spacing w:before="0" w:after="283"/>
              <w:rPr/>
            </w:pPr>
            <w:r>
              <w:rPr/>
              <w:t> </w:t>
            </w:r>
          </w:p>
        </w:tc>
      </w:tr>
      <w:tr>
        <w:trPr/>
        <w:tc>
          <w:tcPr>
            <w:tcW w:w="59" w:type="dxa"/>
            <w:tcBorders/>
            <w:shd w:fill="auto" w:val="clear"/>
            <w:vAlign w:val="center"/>
          </w:tcPr>
          <w:p>
            <w:pPr>
              <w:pStyle w:val="TableContents"/>
              <w:spacing w:before="0" w:after="283"/>
              <w:jc w:val="left"/>
              <w:rPr/>
            </w:pPr>
            <w:r>
              <w:rPr/>
              <w:t> </w:t>
            </w:r>
          </w:p>
        </w:tc>
        <w:tc>
          <w:tcPr>
            <w:tcW w:w="4530" w:type="dxa"/>
            <w:gridSpan w:val="3"/>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Robert A. Kasenter</w:t>
            </w:r>
            <w:r>
              <w:rPr/>
              <w:t xml:space="preserve">  </w:t>
            </w:r>
          </w:p>
        </w:tc>
        <w:tc>
          <w:tcPr>
            <w:tcW w:w="5616" w:type="dxa"/>
            <w:tcBorders/>
            <w:shd w:fill="auto" w:val="clear"/>
            <w:vAlign w:val="center"/>
          </w:tcPr>
          <w:p>
            <w:pPr>
              <w:pStyle w:val="TableContents"/>
              <w:spacing w:before="0" w:after="283"/>
              <w:rPr/>
            </w:pPr>
            <w:r>
              <w:rPr/>
              <w:t> </w:t>
            </w:r>
          </w:p>
        </w:tc>
      </w:tr>
      <w:tr>
        <w:trPr/>
        <w:tc>
          <w:tcPr>
            <w:tcW w:w="59" w:type="dxa"/>
            <w:tcBorders/>
            <w:shd w:fill="auto" w:val="clear"/>
            <w:vAlign w:val="center"/>
          </w:tcPr>
          <w:p>
            <w:pPr>
              <w:pStyle w:val="TableContents"/>
              <w:spacing w:before="0" w:after="283"/>
              <w:jc w:val="left"/>
              <w:rPr/>
            </w:pPr>
            <w:r>
              <w:rPr/>
              <w:t> </w:t>
            </w:r>
          </w:p>
        </w:tc>
        <w:tc>
          <w:tcPr>
            <w:tcW w:w="4530" w:type="dxa"/>
            <w:gridSpan w:val="3"/>
            <w:tcBorders/>
            <w:shd w:fill="auto" w:val="clear"/>
            <w:vAlign w:val="center"/>
          </w:tcPr>
          <w:p>
            <w:pPr>
              <w:pStyle w:val="TableContents"/>
              <w:spacing w:before="0" w:after="283"/>
              <w:jc w:val="left"/>
              <w:rPr/>
            </w:pPr>
            <w:r>
              <w:rPr>
                <w:b/>
              </w:rPr>
              <w:t>ROBERT A. KASENTER</w:t>
            </w:r>
            <w:r>
              <w:rPr/>
              <w:t> </w:t>
            </w:r>
          </w:p>
        </w:tc>
        <w:tc>
          <w:tcPr>
            <w:tcW w:w="5616"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November 19,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Address for notices: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515 Congress Avenue</w:t>
              <w:br/>
              <w:t>Austin, Texas 78701</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rPr/>
            </w:pPr>
            <w:r>
              <w:rPr/>
              <w:t>Facsimile: 512-716-8341</w:t>
              <w:br/>
              <w:t>Email: robert_kasenter@ezcorp.com</w:t>
            </w:r>
          </w:p>
        </w:tc>
      </w:tr>
    </w:tbl>
    <w:p>
      <w:pPr>
        <w:pStyle w:val="TextBody"/>
        <w:jc w:val="center"/>
        <w:rPr/>
      </w:pPr>
      <w:r>
        <w:rPr/>
        <w:t xml:space="preserve">  </w:t>
      </w:r>
      <w:r>
        <w:br w:type="page"/>
      </w:r>
    </w:p>
    <w:p>
      <w:pPr>
        <w:pStyle w:val="TextBody"/>
        <w:spacing w:before="240" w:after="283"/>
        <w:jc w:val="left"/>
        <w:rPr>
          <w:rFonts w:ascii="Times New Roman;Times;serif" w:hAnsi="Times New Roman;Times;serif"/>
          <w:sz w:val="17"/>
        </w:rPr>
      </w:pPr>
      <w:bookmarkStart w:id="45" w:name="d77971exv21w1.htm"/>
      <w:bookmarkStart w:id="46" w:name="ksd77971exv21w1"/>
      <w:bookmarkEnd w:id="45"/>
      <w:bookmarkEnd w:id="46"/>
      <w:r>
        <w:rPr>
          <w:rFonts w:ascii="Times New Roman;Times;serif" w:hAnsi="Times New Roman;Times;serif"/>
          <w:b/>
          <w:sz w:val="17"/>
        </w:rPr>
        <w:t>Exhibit 21.1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SUBSIDIARIES OF EZCORP, INC.</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634"/>
        <w:gridCol w:w="509"/>
        <w:gridCol w:w="3062"/>
      </w:tblGrid>
      <w:tr>
        <w:trPr/>
        <w:tc>
          <w:tcPr>
            <w:tcW w:w="6634"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6634"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jc w:val="left"/>
              <w:rPr>
                <w:b/>
              </w:rPr>
            </w:pPr>
            <w:r>
              <w:rPr>
                <w:b/>
              </w:rPr>
              <w:t>Jurisdiction of</w:t>
            </w:r>
          </w:p>
        </w:tc>
      </w:tr>
      <w:tr>
        <w:trPr/>
        <w:tc>
          <w:tcPr>
            <w:tcW w:w="6634" w:type="dxa"/>
            <w:tcBorders>
              <w:bottom w:val="single" w:sz="2" w:space="0" w:color="000000"/>
            </w:tcBorders>
            <w:shd w:fill="auto" w:val="clear"/>
            <w:tcMar>
              <w:bottom w:w="28" w:type="dxa"/>
            </w:tcMar>
            <w:vAlign w:val="bottom"/>
          </w:tcPr>
          <w:p>
            <w:pPr>
              <w:pStyle w:val="TableContents"/>
              <w:spacing w:before="0" w:after="283"/>
              <w:jc w:val="left"/>
              <w:rPr>
                <w:b/>
              </w:rPr>
            </w:pPr>
            <w:r>
              <w:rPr>
                <w:b/>
              </w:rPr>
              <w:t>Entity</w:t>
            </w:r>
          </w:p>
        </w:tc>
        <w:tc>
          <w:tcPr>
            <w:tcW w:w="509" w:type="dxa"/>
            <w:tcBorders/>
            <w:shd w:fill="auto" w:val="clear"/>
            <w:vAlign w:val="bottom"/>
          </w:tcPr>
          <w:p>
            <w:pPr>
              <w:pStyle w:val="TableContents"/>
              <w:spacing w:before="0" w:after="283"/>
              <w:rPr/>
            </w:pPr>
            <w:r>
              <w:rPr/>
              <w:t> </w:t>
            </w:r>
          </w:p>
        </w:tc>
        <w:tc>
          <w:tcPr>
            <w:tcW w:w="3062" w:type="dxa"/>
            <w:tcBorders>
              <w:bottom w:val="single" w:sz="2" w:space="0" w:color="000000"/>
            </w:tcBorders>
            <w:shd w:fill="auto" w:val="clear"/>
            <w:tcMar>
              <w:bottom w:w="28" w:type="dxa"/>
            </w:tcMar>
            <w:vAlign w:val="bottom"/>
          </w:tcPr>
          <w:p>
            <w:pPr>
              <w:pStyle w:val="TableContents"/>
              <w:spacing w:before="0" w:after="283"/>
              <w:jc w:val="left"/>
              <w:rPr>
                <w:b/>
              </w:rPr>
            </w:pPr>
            <w:r>
              <w:rPr>
                <w:b/>
              </w:rPr>
              <w:t>Organization</w:t>
            </w:r>
          </w:p>
        </w:tc>
      </w:tr>
      <w:tr>
        <w:trPr/>
        <w:tc>
          <w:tcPr>
            <w:tcW w:w="6634" w:type="dxa"/>
            <w:tcBorders/>
            <w:shd w:fill="auto" w:val="clear"/>
          </w:tcPr>
          <w:p>
            <w:pPr>
              <w:pStyle w:val="TableContents"/>
              <w:spacing w:before="0" w:after="0"/>
              <w:ind w:left="0" w:right="0" w:hanging="0"/>
              <w:rPr/>
            </w:pPr>
            <w:r>
              <w:rPr/>
              <w:t xml:space="preserve">EZCORP International,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EZCORP Online,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Alabama,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Canada Holdings,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British Columbia</w:t>
            </w:r>
          </w:p>
        </w:tc>
      </w:tr>
      <w:tr>
        <w:trPr/>
        <w:tc>
          <w:tcPr>
            <w:tcW w:w="6634" w:type="dxa"/>
            <w:tcBorders/>
            <w:shd w:fill="auto" w:val="clear"/>
          </w:tcPr>
          <w:p>
            <w:pPr>
              <w:pStyle w:val="TableContents"/>
              <w:spacing w:before="0" w:after="0"/>
              <w:ind w:left="0" w:right="0" w:hanging="0"/>
              <w:rPr/>
            </w:pPr>
            <w:r>
              <w:rPr/>
              <w:t xml:space="preserve">EZMONEY Canada,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Colorado,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Holdings,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Idaho,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Kansas,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Management,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Missouri,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Nebraska,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Nova,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British Columbia</w:t>
            </w:r>
          </w:p>
        </w:tc>
      </w:tr>
      <w:tr>
        <w:trPr/>
        <w:tc>
          <w:tcPr>
            <w:tcW w:w="6634" w:type="dxa"/>
            <w:tcBorders/>
            <w:shd w:fill="auto" w:val="clear"/>
          </w:tcPr>
          <w:p>
            <w:pPr>
              <w:pStyle w:val="TableContents"/>
              <w:spacing w:before="0" w:after="0"/>
              <w:ind w:left="0" w:right="0" w:hanging="0"/>
              <w:rPr/>
            </w:pPr>
            <w:r>
              <w:rPr/>
              <w:t xml:space="preserve">EZMONEY South Dakota,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Tario,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British Columbia</w:t>
            </w:r>
          </w:p>
        </w:tc>
      </w:tr>
      <w:tr>
        <w:trPr/>
        <w:tc>
          <w:tcPr>
            <w:tcW w:w="6634" w:type="dxa"/>
            <w:tcBorders/>
            <w:shd w:fill="auto" w:val="clear"/>
          </w:tcPr>
          <w:p>
            <w:pPr>
              <w:pStyle w:val="TableContents"/>
              <w:spacing w:before="0" w:after="0"/>
              <w:ind w:left="0" w:right="0" w:hanging="0"/>
              <w:rPr/>
            </w:pPr>
            <w:r>
              <w:rPr/>
              <w:t xml:space="preserve">EZMONEY Toba,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British Columbia</w:t>
            </w:r>
          </w:p>
        </w:tc>
      </w:tr>
      <w:tr>
        <w:trPr/>
        <w:tc>
          <w:tcPr>
            <w:tcW w:w="6634" w:type="dxa"/>
            <w:tcBorders/>
            <w:shd w:fill="auto" w:val="clear"/>
          </w:tcPr>
          <w:p>
            <w:pPr>
              <w:pStyle w:val="TableContents"/>
              <w:spacing w:before="0" w:after="0"/>
              <w:ind w:left="0" w:right="0" w:hanging="0"/>
              <w:rPr/>
            </w:pPr>
            <w:r>
              <w:rPr/>
              <w:t xml:space="preserve">EZMONEY Utah,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EZMONEY Wisconsin,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Alabama,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Arkansas,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Colorado,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Florida,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Georgia,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Holdings,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Illinois,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Indiana,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Louisiana,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Management Mexico, SRL de CV (Ltd.,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Mexico</w:t>
            </w:r>
          </w:p>
        </w:tc>
      </w:tr>
      <w:tr>
        <w:trPr/>
        <w:tc>
          <w:tcPr>
            <w:tcW w:w="6634" w:type="dxa"/>
            <w:tcBorders/>
            <w:shd w:fill="auto" w:val="clear"/>
          </w:tcPr>
          <w:p>
            <w:pPr>
              <w:pStyle w:val="TableContents"/>
              <w:spacing w:before="0" w:after="0"/>
              <w:ind w:left="0" w:right="0" w:hanging="0"/>
              <w:rPr/>
            </w:pPr>
            <w:r>
              <w:rPr/>
              <w:t xml:space="preserve">EZPAWN Mexico Holdings,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Mexico Ltd.,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Nevada,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Oklahoma,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EZPAWN Services Mexico, SRL de CV (Holdings)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Mexico</w:t>
            </w:r>
          </w:p>
        </w:tc>
      </w:tr>
      <w:tr>
        <w:trPr/>
        <w:tc>
          <w:tcPr>
            <w:tcW w:w="6634" w:type="dxa"/>
            <w:tcBorders/>
            <w:shd w:fill="auto" w:val="clear"/>
          </w:tcPr>
          <w:p>
            <w:pPr>
              <w:pStyle w:val="TableContents"/>
              <w:spacing w:before="0" w:after="0"/>
              <w:ind w:left="0" w:right="0" w:hanging="0"/>
              <w:rPr/>
            </w:pPr>
            <w:r>
              <w:rPr/>
              <w:t xml:space="preserve">EZPAWN Tennessee,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Payday Loan Management,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Texas EZMONEY, L.P.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Texas</w:t>
            </w:r>
          </w:p>
        </w:tc>
      </w:tr>
      <w:tr>
        <w:trPr/>
        <w:tc>
          <w:tcPr>
            <w:tcW w:w="6634" w:type="dxa"/>
            <w:tcBorders/>
            <w:shd w:fill="auto" w:val="clear"/>
          </w:tcPr>
          <w:p>
            <w:pPr>
              <w:pStyle w:val="TableContents"/>
              <w:spacing w:before="0" w:after="0"/>
              <w:ind w:left="0" w:right="0" w:hanging="0"/>
              <w:rPr/>
            </w:pPr>
            <w:r>
              <w:rPr/>
              <w:t xml:space="preserve">Texas EZPAWN Management,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Delaware</w:t>
            </w:r>
          </w:p>
        </w:tc>
      </w:tr>
      <w:tr>
        <w:trPr/>
        <w:tc>
          <w:tcPr>
            <w:tcW w:w="6634" w:type="dxa"/>
            <w:tcBorders/>
            <w:shd w:fill="auto" w:val="clear"/>
          </w:tcPr>
          <w:p>
            <w:pPr>
              <w:pStyle w:val="TableContents"/>
              <w:spacing w:before="0" w:after="0"/>
              <w:ind w:left="0" w:right="0" w:hanging="0"/>
              <w:rPr/>
            </w:pPr>
            <w:r>
              <w:rPr/>
              <w:t xml:space="preserve">Texas EZPAWN, L.P.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Texas</w:t>
            </w:r>
          </w:p>
        </w:tc>
      </w:tr>
      <w:tr>
        <w:trPr/>
        <w:tc>
          <w:tcPr>
            <w:tcW w:w="6634" w:type="dxa"/>
            <w:tcBorders/>
            <w:shd w:fill="auto" w:val="clear"/>
          </w:tcPr>
          <w:p>
            <w:pPr>
              <w:pStyle w:val="TableContents"/>
              <w:spacing w:before="0" w:after="0"/>
              <w:ind w:left="0" w:right="0" w:hanging="0"/>
              <w:rPr/>
            </w:pPr>
            <w:r>
              <w:rPr/>
              <w:t xml:space="preserve">Texas PRA Management, L.P.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Texas</w:t>
            </w:r>
          </w:p>
        </w:tc>
      </w:tr>
      <w:tr>
        <w:trPr/>
        <w:tc>
          <w:tcPr>
            <w:tcW w:w="6634" w:type="dxa"/>
            <w:tcBorders/>
            <w:shd w:fill="auto" w:val="clear"/>
          </w:tcPr>
          <w:p>
            <w:pPr>
              <w:pStyle w:val="TableContents"/>
              <w:spacing w:before="0" w:after="0"/>
              <w:ind w:left="0" w:right="0" w:hanging="0"/>
              <w:rPr/>
            </w:pPr>
            <w:r>
              <w:rPr/>
              <w:t xml:space="preserve">Value F Empeño y Joyería, S. de R.L.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Mexico</w:t>
            </w:r>
          </w:p>
        </w:tc>
      </w:tr>
      <w:tr>
        <w:trPr/>
        <w:tc>
          <w:tcPr>
            <w:tcW w:w="6634" w:type="dxa"/>
            <w:tcBorders/>
            <w:shd w:fill="auto" w:val="clear"/>
          </w:tcPr>
          <w:p>
            <w:pPr>
              <w:pStyle w:val="TableContents"/>
              <w:spacing w:before="0" w:after="0"/>
              <w:ind w:left="0" w:right="0" w:hanging="0"/>
              <w:rPr/>
            </w:pPr>
            <w:r>
              <w:rPr/>
              <w:t xml:space="preserve">Value F Services Mexico, S. de R.L. de C.V.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Mexico</w:t>
            </w:r>
          </w:p>
        </w:tc>
      </w:tr>
      <w:tr>
        <w:trPr/>
        <w:tc>
          <w:tcPr>
            <w:tcW w:w="6634" w:type="dxa"/>
            <w:tcBorders/>
            <w:shd w:fill="auto" w:val="clear"/>
          </w:tcPr>
          <w:p>
            <w:pPr>
              <w:pStyle w:val="TableContents"/>
              <w:spacing w:before="0" w:after="0"/>
              <w:ind w:left="0" w:right="0" w:hanging="0"/>
              <w:rPr/>
            </w:pPr>
            <w:r>
              <w:rPr/>
              <w:t xml:space="preserve">Value Financial Services, Inc.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Florida</w:t>
            </w:r>
          </w:p>
        </w:tc>
      </w:tr>
      <w:tr>
        <w:trPr/>
        <w:tc>
          <w:tcPr>
            <w:tcW w:w="6634" w:type="dxa"/>
            <w:tcBorders/>
            <w:shd w:fill="auto" w:val="clear"/>
          </w:tcPr>
          <w:p>
            <w:pPr>
              <w:pStyle w:val="TableContents"/>
              <w:spacing w:before="0" w:after="0"/>
              <w:ind w:left="0" w:right="0" w:hanging="0"/>
              <w:rPr/>
            </w:pPr>
            <w:r>
              <w:rPr/>
              <w:t xml:space="preserve">VFS Mexico Operations, LLC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Florida</w:t>
            </w:r>
          </w:p>
        </w:tc>
      </w:tr>
      <w:tr>
        <w:trPr/>
        <w:tc>
          <w:tcPr>
            <w:tcW w:w="6634" w:type="dxa"/>
            <w:tcBorders/>
            <w:shd w:fill="auto" w:val="clear"/>
          </w:tcPr>
          <w:p>
            <w:pPr>
              <w:pStyle w:val="TableContents"/>
              <w:spacing w:before="0" w:after="0"/>
              <w:ind w:left="0" w:right="0" w:hanging="0"/>
              <w:rPr/>
            </w:pPr>
            <w:r>
              <w:rPr/>
              <w:t xml:space="preserve">VFS Mexico Services, LLC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Florida</w:t>
            </w:r>
          </w:p>
        </w:tc>
      </w:tr>
    </w:tbl>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47" w:name="d77971exv23w1.htm"/>
      <w:bookmarkStart w:id="48" w:name="ksd77971exv23w1"/>
      <w:bookmarkEnd w:id="47"/>
      <w:bookmarkEnd w:id="48"/>
      <w:r>
        <w:rPr>
          <w:rFonts w:ascii="Times New Roman;Times;serif" w:hAnsi="Times New Roman;Times;serif"/>
          <w:b/>
          <w:sz w:val="17"/>
        </w:rPr>
        <w:t>Exhibit 23.1</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CONSENT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hereby consent to the incorporation by reference in the Registration Statement (Form S-8 No. 33-63078) pertaining to the EZCORP, Inc. 401(k) Plan, the Registration Statement (Form S-8 No. 333-108847) pertaining to the 1998 EZCORP, Inc. Stock Incentive Plan, the Registration Statement (Form S-8 No. 333-122116) pertaining to the EZCORP, Inc. 2003 Incentive Plan, the Registration Statement (Form S-8 No. 333-140492) pertaining to the EZCORP, Inc. 2006 Incentive Plan, the Registration Statement (Form S-8 No. 333-166950) pertaining to the EZCORP, Inc. 2010 Long-Term Incentive Plan and the Registration Statement (Form S-3 No. 333-155394) of our reports dated November 24, 2010 relating to the consolidated financial statements, the financial statement schedule, and the effectiveness of internal control over financial reporting of EZCORP, Inc. included in the Annual Report (Form 10-K) for the year ended September 30, 2010.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BDO USA,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Dallas, Texas</w:t>
        <w:br/>
        <w:t xml:space="preserve">November 24, 2010 </w:t>
      </w:r>
    </w:p>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49" w:name="d77971exv31w1.htm"/>
      <w:bookmarkStart w:id="50" w:name="ksd77971exv31w1"/>
      <w:bookmarkEnd w:id="49"/>
      <w:bookmarkEnd w:id="50"/>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Paul E. Rothamel, Chief Executive Officer,</w:t>
        <w:br/>
        <w:t>pursuant to Rule 13a-14(a) under the Securities Exchange Act of 1934,</w:t>
        <w:br/>
        <w:t>as adopted pursuant to 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Paul E. Rothamel,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Annual Report on Form 10-K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120" w:after="283"/>
        <w:jc w:val="left"/>
        <w:rPr/>
      </w:pPr>
      <w:r>
        <w:rPr/>
        <w:t>     </w:t>
      </w:r>
      <w:r>
        <w:rPr>
          <w:rFonts w:ascii="Times New Roman;Times;serif" w:hAnsi="Times New Roman;Times;serif"/>
          <w:sz w:val="17"/>
        </w:rPr>
        <w:t xml:space="preserve">Date: November 24, 2010 </w:t>
      </w:r>
    </w:p>
    <w:tbl>
      <w:tblPr>
        <w:tblW w:w="5000" w:type="pct"/>
        <w:jc w:val="left"/>
        <w:tblInd w:w="0" w:type="dxa"/>
        <w:tblCellMar>
          <w:top w:w="0" w:type="dxa"/>
          <w:left w:w="0" w:type="dxa"/>
          <w:bottom w:w="0" w:type="dxa"/>
          <w:right w:w="0" w:type="dxa"/>
        </w:tblCellMar>
      </w:tblPr>
      <w:tblGrid>
        <w:gridCol w:w="4542"/>
        <w:gridCol w:w="371"/>
        <w:gridCol w:w="326"/>
        <w:gridCol w:w="3514"/>
        <w:gridCol w:w="1452"/>
      </w:tblGrid>
      <w:tr>
        <w:trPr/>
        <w:tc>
          <w:tcPr>
            <w:tcW w:w="4542"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514" w:type="dxa"/>
            <w:tcBorders/>
            <w:shd w:fill="auto" w:val="clear"/>
            <w:vAlign w:val="center"/>
          </w:tcPr>
          <w:p>
            <w:pPr>
              <w:pStyle w:val="TableContents"/>
              <w:spacing w:before="0" w:after="283"/>
              <w:rPr/>
            </w:pPr>
            <w:r>
              <w:rPr/>
              <w:t>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Paul E. Rothamel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President and Chief Executive Officer </w:t>
            </w:r>
          </w:p>
        </w:tc>
        <w:tc>
          <w:tcPr>
            <w:tcW w:w="1452"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Normal"/>
        <w:spacing w:before="0" w:after="0"/>
        <w:rPr>
          <w:sz w:val="4"/>
          <w:szCs w:val="4"/>
        </w:rPr>
      </w:pPr>
      <w:r>
        <w:rPr>
          <w:sz w:val="4"/>
          <w:szCs w:val="4"/>
        </w:rPr>
      </w:r>
      <w:bookmarkStart w:id="51" w:name="d77971exv31w2.htm"/>
      <w:bookmarkStart w:id="52" w:name="ksd77971exv31w2"/>
      <w:bookmarkStart w:id="53" w:name="d77971exv31w2.htm"/>
      <w:bookmarkStart w:id="54" w:name="ksd77971exv31w2"/>
      <w:bookmarkEnd w:id="53"/>
      <w:bookmarkEnd w:id="54"/>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Stephen A. Stamp, Chief Financial Officer,</w:t>
        <w:br/>
        <w:t>pursuant to Rule 13a-14(a) under the Securities Exchange Act of 1934,</w:t>
        <w:br/>
        <w:t>as adopted pursuant to Section 302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Stephen A. Stamp, certify that: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I have reviewed this Annual Report on Form 10-K of EZCORP, Inc.;</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597"/>
        <w:gridCol w:w="295"/>
        <w:gridCol w:w="117"/>
        <w:gridCol w:w="9196"/>
      </w:tblGrid>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97" w:type="dxa"/>
            <w:tcBorders/>
            <w:shd w:fill="auto" w:val="clear"/>
            <w:vAlign w:val="center"/>
          </w:tcPr>
          <w:p>
            <w:pPr>
              <w:pStyle w:val="TableContents"/>
              <w:spacing w:before="0" w:after="283"/>
              <w:rPr/>
            </w:pPr>
            <w:r>
              <w:rPr/>
              <w:t> </w:t>
            </w:r>
          </w:p>
        </w:tc>
        <w:tc>
          <w:tcPr>
            <w:tcW w:w="9608" w:type="dxa"/>
            <w:gridSpan w:val="3"/>
            <w:tcBorders/>
            <w:shd w:fill="auto" w:val="clear"/>
          </w:tcPr>
          <w:p>
            <w:pPr>
              <w:pStyle w:val="TableContents"/>
              <w:spacing w:before="0" w:after="283"/>
              <w:rPr>
                <w:sz w:val="4"/>
                <w:szCs w:val="4"/>
              </w:rPr>
            </w:pPr>
            <w:r>
              <w:rPr>
                <w:sz w:val="4"/>
                <w:szCs w:val="4"/>
              </w:rPr>
            </w:r>
          </w:p>
        </w:tc>
      </w:tr>
      <w:tr>
        <w:trPr/>
        <w:tc>
          <w:tcPr>
            <w:tcW w:w="597"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tcPr>
          <w:p>
            <w:pPr>
              <w:pStyle w:val="TableContents"/>
              <w:spacing w:before="0" w:after="283"/>
              <w:rPr/>
            </w:pPr>
            <w:r>
              <w:rPr/>
              <w:t> </w:t>
            </w:r>
          </w:p>
        </w:tc>
        <w:tc>
          <w:tcPr>
            <w:tcW w:w="212" w:type="dxa"/>
            <w:tcBorders/>
            <w:shd w:fill="auto" w:val="clear"/>
          </w:tcPr>
          <w:p>
            <w:pPr>
              <w:pStyle w:val="TableContents"/>
              <w:spacing w:before="0" w:after="283"/>
              <w:jc w:val="left"/>
              <w:rPr/>
            </w:pPr>
            <w:r>
              <w:rPr/>
              <w:t>5.</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November 24, 2010 </w:t>
      </w:r>
    </w:p>
    <w:tbl>
      <w:tblPr>
        <w:tblW w:w="5000" w:type="pct"/>
        <w:jc w:val="left"/>
        <w:tblInd w:w="0" w:type="dxa"/>
        <w:tblCellMar>
          <w:top w:w="0" w:type="dxa"/>
          <w:left w:w="0" w:type="dxa"/>
          <w:bottom w:w="0" w:type="dxa"/>
          <w:right w:w="0" w:type="dxa"/>
        </w:tblCellMar>
      </w:tblPr>
      <w:tblGrid>
        <w:gridCol w:w="4551"/>
        <w:gridCol w:w="481"/>
        <w:gridCol w:w="261"/>
        <w:gridCol w:w="3453"/>
        <w:gridCol w:w="1459"/>
      </w:tblGrid>
      <w:tr>
        <w:trPr/>
        <w:tc>
          <w:tcPr>
            <w:tcW w:w="4551" w:type="dxa"/>
            <w:tcBorders/>
            <w:shd w:fill="auto" w:val="clear"/>
            <w:vAlign w:val="center"/>
          </w:tcPr>
          <w:p>
            <w:pPr>
              <w:pStyle w:val="TableContents"/>
              <w:spacing w:before="0" w:after="283"/>
              <w:rPr/>
            </w:pPr>
            <w:r>
              <w:rPr/>
              <w:t> </w:t>
            </w:r>
          </w:p>
        </w:tc>
        <w:tc>
          <w:tcPr>
            <w:tcW w:w="481"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3453" w:type="dxa"/>
            <w:tcBorders/>
            <w:shd w:fill="auto" w:val="clear"/>
            <w:vAlign w:val="center"/>
          </w:tcPr>
          <w:p>
            <w:pPr>
              <w:pStyle w:val="TableContents"/>
              <w:spacing w:before="0" w:after="283"/>
              <w:rPr/>
            </w:pPr>
            <w:r>
              <w:rPr/>
              <w:t>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Stephen A. Stamp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Senior Vice President and</w:t>
              <w:br/>
              <w:t>Chief Financial Officer </w:t>
            </w:r>
          </w:p>
        </w:tc>
        <w:tc>
          <w:tcPr>
            <w:tcW w:w="1459"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Normal"/>
        <w:spacing w:before="0" w:after="0"/>
        <w:rPr>
          <w:sz w:val="4"/>
          <w:szCs w:val="4"/>
        </w:rPr>
      </w:pPr>
      <w:r>
        <w:rPr>
          <w:sz w:val="4"/>
          <w:szCs w:val="4"/>
        </w:rPr>
      </w:r>
      <w:bookmarkStart w:id="55" w:name="d77971exv32w1.htm"/>
      <w:bookmarkStart w:id="56" w:name="ksd77971exv32w1"/>
      <w:bookmarkStart w:id="57" w:name="d77971exv32w1.htm"/>
      <w:bookmarkStart w:id="58" w:name="ksd77971exv32w1"/>
      <w:bookmarkEnd w:id="57"/>
      <w:bookmarkEnd w:id="58"/>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Certifications of Paul E. Rothamel, Chief Executive Officer, and</w:t>
        <w:br/>
        <w:t>Stephen A. Stamp, Chief Financial Officer, pursuant to 18 U.S.C. Section 1350, as adopted pursuant to</w:t>
        <w:br/>
        <w:t>Section 906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undersigned officers of EZCORP, Inc. hereby certify that (a) EZCORPs Annual Report on Form 10-K for the year ended September 30, 2010,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November 24, 2010 </w:t>
      </w:r>
    </w:p>
    <w:tbl>
      <w:tblPr>
        <w:tblW w:w="5000" w:type="pct"/>
        <w:jc w:val="left"/>
        <w:tblInd w:w="0" w:type="dxa"/>
        <w:tblCellMar>
          <w:top w:w="0" w:type="dxa"/>
          <w:left w:w="0" w:type="dxa"/>
          <w:bottom w:w="0" w:type="dxa"/>
          <w:right w:w="0" w:type="dxa"/>
        </w:tblCellMar>
      </w:tblPr>
      <w:tblGrid>
        <w:gridCol w:w="4542"/>
        <w:gridCol w:w="371"/>
        <w:gridCol w:w="326"/>
        <w:gridCol w:w="3514"/>
        <w:gridCol w:w="1452"/>
      </w:tblGrid>
      <w:tr>
        <w:trPr/>
        <w:tc>
          <w:tcPr>
            <w:tcW w:w="4542"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514" w:type="dxa"/>
            <w:tcBorders/>
            <w:shd w:fill="auto" w:val="clear"/>
            <w:vAlign w:val="center"/>
          </w:tcPr>
          <w:p>
            <w:pPr>
              <w:pStyle w:val="TableContents"/>
              <w:spacing w:before="0" w:after="283"/>
              <w:rPr/>
            </w:pPr>
            <w:r>
              <w:rPr/>
              <w:t>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bottom w:val="single" w:sz="2" w:space="0" w:color="000000"/>
            </w:tcBorders>
            <w:shd w:fill="auto" w:val="clear"/>
            <w:tcMar>
              <w:bottom w:w="28" w:type="dxa"/>
            </w:tcMar>
            <w:vAlign w:val="center"/>
          </w:tcPr>
          <w:p>
            <w:pPr>
              <w:pStyle w:val="TableContents"/>
              <w:spacing w:before="0" w:after="283"/>
              <w:jc w:val="left"/>
              <w:rPr/>
            </w:pPr>
            <w:r>
              <w:rPr/>
              <w:t>/s/ Paul E. Rothamel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Paul E. Rothamel </w:t>
            </w:r>
          </w:p>
        </w:tc>
        <w:tc>
          <w:tcPr>
            <w:tcW w:w="1452" w:type="dxa"/>
            <w:tcBorders/>
            <w:shd w:fill="auto" w:val="clear"/>
            <w:vAlign w:val="center"/>
          </w:tcPr>
          <w:p>
            <w:pPr>
              <w:pStyle w:val="TableContents"/>
              <w:spacing w:before="0" w:after="283"/>
              <w:rPr/>
            </w:pPr>
            <w:r>
              <w:rPr/>
              <w:t> </w:t>
            </w:r>
          </w:p>
        </w:tc>
      </w:tr>
      <w:tr>
        <w:trPr/>
        <w:tc>
          <w:tcPr>
            <w:tcW w:w="4542" w:type="dxa"/>
            <w:tcBorders/>
            <w:shd w:fill="auto" w:val="clear"/>
            <w:vAlign w:val="center"/>
          </w:tcPr>
          <w:p>
            <w:pPr>
              <w:pStyle w:val="TableContents"/>
              <w:spacing w:before="0" w:after="283"/>
              <w:jc w:val="left"/>
              <w:rPr/>
            </w:pPr>
            <w:r>
              <w:rPr/>
              <w:t> </w:t>
            </w:r>
          </w:p>
        </w:tc>
        <w:tc>
          <w:tcPr>
            <w:tcW w:w="4211" w:type="dxa"/>
            <w:gridSpan w:val="3"/>
            <w:tcBorders/>
            <w:shd w:fill="auto" w:val="clear"/>
            <w:vAlign w:val="center"/>
          </w:tcPr>
          <w:p>
            <w:pPr>
              <w:pStyle w:val="TableContents"/>
              <w:spacing w:before="0" w:after="283"/>
              <w:jc w:val="left"/>
              <w:rPr/>
            </w:pPr>
            <w:r>
              <w:rPr/>
              <w:t>President and Chief Executive Officer </w:t>
            </w:r>
          </w:p>
        </w:tc>
        <w:tc>
          <w:tcPr>
            <w:tcW w:w="145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November 24, 2010 </w:t>
      </w:r>
    </w:p>
    <w:tbl>
      <w:tblPr>
        <w:tblW w:w="5000" w:type="pct"/>
        <w:jc w:val="left"/>
        <w:tblInd w:w="0" w:type="dxa"/>
        <w:tblCellMar>
          <w:top w:w="0" w:type="dxa"/>
          <w:left w:w="0" w:type="dxa"/>
          <w:bottom w:w="0" w:type="dxa"/>
          <w:right w:w="0" w:type="dxa"/>
        </w:tblCellMar>
      </w:tblPr>
      <w:tblGrid>
        <w:gridCol w:w="4551"/>
        <w:gridCol w:w="481"/>
        <w:gridCol w:w="261"/>
        <w:gridCol w:w="3453"/>
        <w:gridCol w:w="1459"/>
      </w:tblGrid>
      <w:tr>
        <w:trPr/>
        <w:tc>
          <w:tcPr>
            <w:tcW w:w="4551" w:type="dxa"/>
            <w:tcBorders/>
            <w:shd w:fill="auto" w:val="clear"/>
            <w:vAlign w:val="center"/>
          </w:tcPr>
          <w:p>
            <w:pPr>
              <w:pStyle w:val="TableContents"/>
              <w:spacing w:before="0" w:after="283"/>
              <w:rPr/>
            </w:pPr>
            <w:r>
              <w:rPr/>
              <w:t> </w:t>
            </w:r>
          </w:p>
        </w:tc>
        <w:tc>
          <w:tcPr>
            <w:tcW w:w="481"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3453" w:type="dxa"/>
            <w:tcBorders/>
            <w:shd w:fill="auto" w:val="clear"/>
            <w:vAlign w:val="center"/>
          </w:tcPr>
          <w:p>
            <w:pPr>
              <w:pStyle w:val="TableContents"/>
              <w:spacing w:before="0" w:after="283"/>
              <w:rPr/>
            </w:pPr>
            <w:r>
              <w:rPr/>
              <w:t>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bottom w:val="single" w:sz="2" w:space="0" w:color="000000"/>
            </w:tcBorders>
            <w:shd w:fill="auto" w:val="clear"/>
            <w:tcMar>
              <w:bottom w:w="28" w:type="dxa"/>
            </w:tcMar>
            <w:vAlign w:val="center"/>
          </w:tcPr>
          <w:p>
            <w:pPr>
              <w:pStyle w:val="TableContents"/>
              <w:spacing w:before="0" w:after="283"/>
              <w:jc w:val="left"/>
              <w:rPr/>
            </w:pPr>
            <w:r>
              <w:rPr/>
              <w:t>/s/ Stephen A. Stamp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Stephen A. Stamp </w:t>
            </w:r>
          </w:p>
        </w:tc>
        <w:tc>
          <w:tcPr>
            <w:tcW w:w="1459" w:type="dxa"/>
            <w:tcBorders/>
            <w:shd w:fill="auto" w:val="clear"/>
            <w:vAlign w:val="center"/>
          </w:tcPr>
          <w:p>
            <w:pPr>
              <w:pStyle w:val="TableContents"/>
              <w:spacing w:before="0" w:after="283"/>
              <w:rPr/>
            </w:pPr>
            <w:r>
              <w:rPr/>
              <w:t> </w:t>
            </w:r>
          </w:p>
        </w:tc>
      </w:tr>
      <w:tr>
        <w:trPr/>
        <w:tc>
          <w:tcPr>
            <w:tcW w:w="4551" w:type="dxa"/>
            <w:tcBorders/>
            <w:shd w:fill="auto" w:val="clear"/>
            <w:vAlign w:val="center"/>
          </w:tcPr>
          <w:p>
            <w:pPr>
              <w:pStyle w:val="TableContents"/>
              <w:spacing w:before="0" w:after="283"/>
              <w:jc w:val="left"/>
              <w:rPr/>
            </w:pPr>
            <w:r>
              <w:rPr/>
              <w:t> </w:t>
            </w:r>
          </w:p>
        </w:tc>
        <w:tc>
          <w:tcPr>
            <w:tcW w:w="4195" w:type="dxa"/>
            <w:gridSpan w:val="3"/>
            <w:tcBorders/>
            <w:shd w:fill="auto" w:val="clear"/>
            <w:vAlign w:val="center"/>
          </w:tcPr>
          <w:p>
            <w:pPr>
              <w:pStyle w:val="TableContents"/>
              <w:spacing w:before="0" w:after="283"/>
              <w:jc w:val="left"/>
              <w:rPr/>
            </w:pPr>
            <w:r>
              <w:rPr/>
              <w:t>Senior Vice President and</w:t>
              <w:br/>
              <w:t>Chief Financial Officer </w:t>
            </w:r>
          </w:p>
        </w:tc>
        <w:tc>
          <w:tcPr>
            <w:tcW w:w="14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146</Pages>
  <Words>76199</Words>
  <CharactersWithSpaces>485785</CharactersWithSpaces>
  <Paragraphs>27341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exv32w1</dc:title>
</cp:coreProperties>
</file>