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4"/>
                <w:szCs w:val="24"/>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34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5, 2025, EZCORP, Inc. (“EZCORP”) issued a press release announcing its results of operations and financial condition for the quarter ended December 31, 2024. A copy of that press release is attached as Exhibit 99.1.</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earnings conference call (to be held on February 6, 2025) will be posted in the Investor Relations section of the company’s website at www.ezcorp.com.</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92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5, 2025, announcing EZCORP, Inc.’s results of operations and financial condition for the period ended December 31, 2024.</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28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3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3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Reports First Quarter Fiscal 2025 Results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PLO Drives Strong Increase in Net Income</w:t>
      </w:r>
    </w:p>
    <w:p>
      <w:pPr>
        <w:spacing w:after="0" w:line="19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 xml:space="preserve">Austin, Texas (February 5, 2025) — </w:t>
      </w:r>
      <w:r>
        <w:rPr>
          <w:rFonts w:ascii="Arial" w:cs="Arial" w:eastAsia="Arial" w:hAnsi="Arial"/>
          <w:sz w:val="18"/>
          <w:szCs w:val="18"/>
          <w:color w:val="auto"/>
        </w:rPr>
        <w:t>EZCORP, Inc. (NASDAQ: EZPW), a leading provider of pawn transactions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Latin America, today announced results for its first quarter ended December 31, 2024.</w:t>
      </w:r>
    </w:p>
    <w:p>
      <w:pPr>
        <w:spacing w:after="0" w:line="10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loans outstanding (PLO) up 13% to $274.8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9% to $31.0 million.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net income increased 14% to $32.6 million.</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increased 11% to $0.40. On an adjusted basis, diluted earnings per share increased 17% to $0.42.</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12% to $53.0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increased 7% to $320.2 million, while gross profit increased 7% to $185.4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1"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Lachie Given, Chief Executive Officer, stated, “Fiscal 2025 is off to a strong start as we build on our momentum from 2024. Customer demand for immediate cash solutions and high quality, cost-effective secondhand goods remains high, as reflected by another quarter of record revenues and PLO. We also continued to drive meaningful improvements to our bottom line and deliver on the operating leverage inherent in our business, with adjusted EBITDA increasing 12% and adjusted diluted EPS increasing 17%.</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consistent performance across geographies underscores the strength of our operations and customer-focused strategy. In the U.S., PLO grew 15%, driven by strong loan demand and higher average loan size. In Latin America, PLO rose 19% on a constant currency basis, with revenues up 18%, reflecting robust customer demand for loans and secondhand goods, as well as our outstanding customer service. Our EZ+ Rewards program also continues to perform exceptionally well, which accounted for 77% of all transacting customers. These results demonstrate the momentum we are gaining across markets and the success of our strategic initiatives.”</w:t>
      </w:r>
    </w:p>
    <w:p>
      <w:pPr>
        <w:spacing w:after="0" w:line="2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proud of the solid foundation we have built, which will enable us to continue driving growth both organically and through strategic M&amp;A. Looking ahead, we plan to continue delivering exceptional service to our customers and enhancing value for our shareholders. We remain deeply committed to our core values of People, Pawn and Passion, and believe we are very well-positioned to deliver another record year of performance in fiscal 2025,” concluded Given.</w:t>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CONSOLIDATED RESULTS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2023</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48"/>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300.0</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172.6</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172.6</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37.7</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28.5</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0.36</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 (non-GAAP measure)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47.1</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47.2</w:t>
            </w:r>
          </w:p>
        </w:tc>
      </w:tr>
    </w:tbl>
    <w:p>
      <w:pPr>
        <w:spacing w:after="0" w:line="318" w:lineRule="exact"/>
        <w:rPr>
          <w:sz w:val="20"/>
          <w:szCs w:val="20"/>
          <w:color w:val="auto"/>
        </w:rPr>
      </w:pPr>
    </w:p>
    <w:p>
      <w:pPr>
        <w:ind w:left="660" w:right="20" w:hanging="328"/>
        <w:spacing w:after="0" w:line="232"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PLO increased 13% to $274.8 million, up $31.6 million. On a same-store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basis, PLO increased 12% due to increase in average loan size, continued strong pawn demand and improved operational performance.</w:t>
      </w:r>
    </w:p>
    <w:p>
      <w:pPr>
        <w:spacing w:after="0" w:line="140" w:lineRule="exact"/>
        <w:rPr>
          <w:rFonts w:ascii="Arial" w:cs="Arial" w:eastAsia="Arial" w:hAnsi="Arial"/>
          <w:sz w:val="18"/>
          <w:szCs w:val="18"/>
          <w:color w:val="auto"/>
        </w:rPr>
      </w:pPr>
    </w:p>
    <w:p>
      <w:pPr>
        <w:ind w:left="660" w:right="70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and gross profit increased 7%, reflecting improved pawn service charge (PSC) revenues as a result of higher average PLO in addition to higher merchandise sales and merchandise sales gross profit.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10% as a result of higher average PLO.</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 range at 35%, down from 36%. Aged general merchandise was 2.1% of total general merchandise inventory.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inventory increased 21%, due to the increase in PLO and decrease in inventory turnover to 2.7x, from 3.0x.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expenses increased 5% and 3% on a same-store basis.</w:t>
      </w:r>
    </w:p>
    <w:p>
      <w:pPr>
        <w:spacing w:after="0" w:line="171" w:lineRule="exact"/>
        <w:rPr>
          <w:rFonts w:ascii="Arial" w:cs="Arial" w:eastAsia="Arial" w:hAnsi="Arial"/>
          <w:sz w:val="18"/>
          <w:szCs w:val="18"/>
          <w:color w:val="auto"/>
        </w:rPr>
      </w:pPr>
    </w:p>
    <w:p>
      <w:pPr>
        <w:ind w:left="660" w:right="50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increased 13%, primarily due to labor (including incentive compensation) and, to a lesser extent, ongoing support costs related to Workday.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before taxes was $41.4 million, up 10% from $37.7 million, and adjusted EBITDA increased 12% to $53.0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increased 11% to $0.40. On an adjusted basis, diluted earnings per share increased 17% to $0.42.</w:t>
      </w:r>
    </w:p>
    <w:p>
      <w:pPr>
        <w:spacing w:after="0" w:line="171" w:lineRule="exact"/>
        <w:rPr>
          <w:rFonts w:ascii="Arial" w:cs="Arial" w:eastAsia="Arial" w:hAnsi="Arial"/>
          <w:sz w:val="18"/>
          <w:szCs w:val="18"/>
          <w:color w:val="auto"/>
        </w:rPr>
      </w:pPr>
    </w:p>
    <w:p>
      <w:pPr>
        <w:ind w:left="660" w:right="6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at the end of the quarter was $174.5 million, up from $170.5 million as of September 30, 2024. The increase was primarily due to cash from operating activities, partially offset by increase in earning assets, capital expenditures, taxes paid related to net share settlement of equity awards and share repurchases.</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28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ended the quarter at $220.2 million, up 15% on a total and same-store basis due to increase in average loan size, increased loan demand and improved operational performance.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increased 7% and gross profit increased 9%, reflecting higher PSC and merchandise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11% as a result of higher average PLO.</w:t>
      </w:r>
    </w:p>
    <w:p>
      <w:pPr>
        <w:spacing w:after="0" w:line="171" w:lineRule="exact"/>
        <w:rPr>
          <w:rFonts w:ascii="Arial" w:cs="Arial" w:eastAsia="Arial" w:hAnsi="Arial"/>
          <w:sz w:val="18"/>
          <w:szCs w:val="18"/>
          <w:color w:val="auto"/>
        </w:rPr>
      </w:pPr>
    </w:p>
    <w:p>
      <w:pPr>
        <w:ind w:left="660" w:hanging="328"/>
        <w:spacing w:after="0" w:line="318" w:lineRule="auto"/>
        <w:tabs>
          <w:tab w:leader="none" w:pos="669" w:val="left"/>
        </w:tabs>
        <w:numPr>
          <w:ilvl w:val="0"/>
          <w:numId w:val="5"/>
        </w:numPr>
        <w:rPr>
          <w:rFonts w:ascii="Arial" w:cs="Arial" w:eastAsia="Arial" w:hAnsi="Arial"/>
          <w:sz w:val="17"/>
          <w:szCs w:val="17"/>
          <w:color w:val="auto"/>
        </w:rPr>
      </w:pPr>
      <w:r>
        <w:rPr>
          <w:rFonts w:ascii="Arial" w:cs="Arial" w:eastAsia="Arial" w:hAnsi="Arial"/>
          <w:sz w:val="17"/>
          <w:szCs w:val="17"/>
          <w:color w:val="auto"/>
        </w:rPr>
        <w:t>Merchandise sales increased 3%, and gross margin was flat at 37%. Aged general merchandise increased to 2.6%, or $1.2 million of total general merchandise inventory. Excluding our three Max Pawn luxury stores in Las Vegas, aged general merchandise was 1%.</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17%, in line with the growth in PLO. Inventory turnover decreased to 2.5x, from 2.7x.</w:t>
      </w:r>
    </w:p>
    <w:p>
      <w:pPr>
        <w:spacing w:after="0" w:line="171" w:lineRule="exact"/>
        <w:rPr>
          <w:rFonts w:ascii="Arial" w:cs="Arial" w:eastAsia="Arial" w:hAnsi="Arial"/>
          <w:sz w:val="18"/>
          <w:szCs w:val="18"/>
          <w:color w:val="auto"/>
        </w:rPr>
      </w:pPr>
    </w:p>
    <w:p>
      <w:pPr>
        <w:ind w:left="660" w:right="12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Store expenses increased 8% (5% on a same-store basis), primarily due to labor costs (including higher health benefits) supporting more store activity, offset by a decrease in expenses related to our loyalty program.</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increased 11% to $52.9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quarter, segment store count remained at 542.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44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improved to $54.6 million, up 4% (19% on constant currency basis). On a same-store basis, PLO increased 2% (17% on a constant currency basis) due to improved operational performance and increased loan demand.</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revenues were up 7% (18% on constant currency basis), and gross profit increased 4% (14% on a constant currency basis), mainly due to increased PSC and higher merchandise sales.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to $29.2 million, up 7% (17% on a constant currency basis) as a result of higher average PLO.</w:t>
      </w:r>
    </w:p>
    <w:p>
      <w:pPr>
        <w:spacing w:after="0" w:line="171" w:lineRule="exact"/>
        <w:rPr>
          <w:rFonts w:ascii="Arial" w:cs="Arial" w:eastAsia="Arial" w:hAnsi="Arial"/>
          <w:sz w:val="18"/>
          <w:szCs w:val="18"/>
          <w:color w:val="auto"/>
        </w:rPr>
      </w:pPr>
    </w:p>
    <w:p>
      <w:pPr>
        <w:ind w:left="660" w:right="30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increased 7% (19% on constant currency basis) and merchandise sales gross margin decreased to 30% from 32%. Aged general merchandise decreased to 1.4% from 1.6% of total general merchandise inventory.</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inventory increased 35% (57% on a constant currency basis) due to increase in PLO and decrease in inventory turnover to 3.1x, from 3.8x.</w:t>
      </w:r>
    </w:p>
    <w:p>
      <w:pPr>
        <w:spacing w:after="0" w:line="98" w:lineRule="exact"/>
        <w:rPr>
          <w:rFonts w:ascii="Arial" w:cs="Arial" w:eastAsia="Arial" w:hAnsi="Arial"/>
          <w:sz w:val="18"/>
          <w:szCs w:val="18"/>
          <w:color w:val="auto"/>
        </w:rPr>
      </w:pPr>
    </w:p>
    <w:p>
      <w:pPr>
        <w:ind w:left="660" w:right="12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were flat (11% increase on a constant currency basis) and on a same-store basis decreased 2% (9% increase on a constant currency basis), primarily due to labor and rent.</w:t>
      </w:r>
    </w:p>
    <w:p>
      <w:pPr>
        <w:spacing w:after="0" w:line="98" w:lineRule="exact"/>
        <w:rPr>
          <w:rFonts w:ascii="Arial" w:cs="Arial" w:eastAsia="Arial" w:hAnsi="Arial"/>
          <w:sz w:val="18"/>
          <w:szCs w:val="18"/>
          <w:color w:val="auto"/>
        </w:rPr>
      </w:pPr>
    </w:p>
    <w:p>
      <w:pPr>
        <w:ind w:left="660" w:right="92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14% to $11.6 million (24% on a constant currency basis). On an adjusted basis, segment contribution was up 22% to $12.5 million.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quarter, segment store count increased by four de novo stores to 741.</w:t>
      </w:r>
    </w:p>
    <w:p>
      <w:pPr>
        <w:sectPr>
          <w:pgSz w:w="11900" w:h="16838" w:orient="portrait"/>
          <w:cols w:equalWidth="0" w:num="1">
            <w:col w:w="11220"/>
          </w:cols>
          <w:pgMar w:left="320" w:top="1093"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EZCORP’s Quarterly Report on Form 10-Q for the quarter ended December 31, 2024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EZCORP will host a conference call on Thursday, February 6, 2025, at 8:00 am Central Time to discuss First Quarter Fiscal 2025 results. Analysts and institutional investors may participate on the conference call by registering online at</w:t>
      </w:r>
    </w:p>
    <w:p>
      <w:pPr>
        <w:spacing w:after="0" w:line="2"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https://register.vevent.com/register/BI86f9072cf4c447ae86954e0a22daa957. Once registered you will receive the dial-in details with a unique PIN to join the call. The conference call will be webcast simultaneously to the public through this link: http://investors.ezcorp.com. A replay of the conference call will be available online at http://investors.ezcorp.com shortly after the end of the call.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LinkedIn https://www.linkedin.com/company/ezcorp/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4"/>
          <w:szCs w:val="14"/>
          <w:i w:val="1"/>
          <w:iCs w:val="1"/>
          <w:color w:val="auto"/>
        </w:rPr>
        <w:t>Note: Percentages are calculated from the underlying numbers in thousands and, as a result, may not agree to the percentages calculated from numbers in millions. Numbers may not foot or cross foot due to rounding.</w:t>
      </w:r>
    </w:p>
    <w:p>
      <w:pPr>
        <w:ind w:right="200"/>
        <w:spacing w:after="0" w:line="232" w:lineRule="auto"/>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“Same-store” basis, which is a financial measure, includes stores open the entirety of the comparable periods.</w:t>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195"/>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824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186,343</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179,403</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16,732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14,082</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117,052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106,449</w:t>
            </w:r>
          </w:p>
        </w:tc>
      </w:tr>
      <w:tr>
        <w:trPr>
          <w:trHeight w:val="217"/>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320,170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299,991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121,824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115,210</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12,208</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185,404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172,573</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116,451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110,555</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16,543</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8,565</w:t>
            </w:r>
          </w:p>
        </w:tc>
      </w:tr>
      <w:tr>
        <w:trPr>
          <w:trHeight w:val="217"/>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Loss (gain) on sale or disposal of assets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143,463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135,491</w:t>
            </w:r>
          </w:p>
        </w:tc>
      </w:tr>
      <w:tr>
        <w:trPr>
          <w:trHeight w:val="209"/>
        </w:trPr>
        <w:tc>
          <w:tcPr>
            <w:tcW w:w="8240" w:type="dxa"/>
            <w:vAlign w:val="bottom"/>
          </w:tcPr>
          <w:p>
            <w:pPr>
              <w:ind w:left="58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41,941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37,082</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3,440</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(2,639)</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41,384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37,705</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w:t>
            </w:r>
          </w:p>
        </w:tc>
      </w:tr>
      <w:tr>
        <w:trPr>
          <w:trHeight w:val="21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28,470</w:t>
            </w:r>
          </w:p>
        </w:tc>
      </w:tr>
      <w:tr>
        <w:trPr>
          <w:trHeight w:val="411"/>
        </w:trPr>
        <w:tc>
          <w:tcPr>
            <w:tcW w:w="82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0.52</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432"/>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54,827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55,076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86,812</w:t>
            </w:r>
          </w:p>
        </w:tc>
      </w:tr>
    </w:tbl>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8"/>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174,506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218,516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170,513</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274,084</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44,013</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164,927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191,923</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39,171</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739,957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719,168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728,998</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13,329</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51,900</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65,973</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Right-of-use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231,103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226,602</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306,478</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58,451</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25,362</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16,144</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1,499,133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1,481,193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1,493,237</w:t>
            </w:r>
          </w:p>
        </w:tc>
        <w:tc>
          <w:tcPr>
            <w:tcW w:w="0" w:type="dxa"/>
            <w:vAlign w:val="bottom"/>
          </w:tcPr>
          <w:p>
            <w:pPr>
              <w:spacing w:after="0"/>
              <w:rPr>
                <w:sz w:val="1"/>
                <w:szCs w:val="1"/>
                <w:color w:val="auto"/>
              </w:rPr>
            </w:pPr>
          </w:p>
        </w:tc>
      </w:tr>
      <w:tr>
        <w:trPr>
          <w:trHeight w:val="308"/>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103,205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34,307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103,072</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85,737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21,570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58,998</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254,003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269,377</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326,223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224,256</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180,616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12,337</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675,239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706,310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688,666</w:t>
            </w:r>
          </w:p>
        </w:tc>
        <w:tc>
          <w:tcPr>
            <w:tcW w:w="0" w:type="dxa"/>
            <w:vAlign w:val="bottom"/>
          </w:tcPr>
          <w:p>
            <w:pPr>
              <w:spacing w:after="0"/>
              <w:rPr>
                <w:sz w:val="1"/>
                <w:szCs w:val="1"/>
                <w:color w:val="auto"/>
              </w:rPr>
            </w:pPr>
          </w:p>
        </w:tc>
      </w:tr>
      <w:tr>
        <w:trPr>
          <w:trHeight w:val="215"/>
        </w:trPr>
        <w:tc>
          <w:tcPr>
            <w:tcW w:w="670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700" w:type="dxa"/>
            <w:vAlign w:val="bottom"/>
          </w:tcPr>
          <w:p>
            <w:pPr>
              <w:ind w:left="440"/>
              <w:spacing w:after="0" w:line="164" w:lineRule="exact"/>
              <w:rPr>
                <w:sz w:val="20"/>
                <w:szCs w:val="20"/>
                <w:color w:val="auto"/>
              </w:rPr>
            </w:pPr>
            <w:r>
              <w:rPr>
                <w:rFonts w:ascii="Arial" w:cs="Arial" w:eastAsia="Arial" w:hAnsi="Arial"/>
                <w:sz w:val="16"/>
                <w:szCs w:val="16"/>
                <w:color w:val="auto"/>
              </w:rPr>
              <w:t>Class A Non-voting Common Stock, par value $0.01 per share; shares authorized: 100</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440"/>
              <w:spacing w:after="0" w:line="162" w:lineRule="exact"/>
              <w:rPr>
                <w:sz w:val="20"/>
                <w:szCs w:val="20"/>
                <w:color w:val="auto"/>
              </w:rPr>
            </w:pPr>
            <w:r>
              <w:rPr>
                <w:rFonts w:ascii="Arial" w:cs="Arial" w:eastAsia="Arial" w:hAnsi="Arial"/>
                <w:sz w:val="16"/>
                <w:szCs w:val="16"/>
                <w:color w:val="auto"/>
              </w:rPr>
              <w:t>million; issued and outstanding: 52,050,550 as of December 31, 2024; 52,272,594 as</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5"/>
        </w:trPr>
        <w:tc>
          <w:tcPr>
            <w:tcW w:w="6700" w:type="dxa"/>
            <w:vAlign w:val="bottom"/>
          </w:tcPr>
          <w:p>
            <w:pPr>
              <w:ind w:left="440"/>
              <w:spacing w:after="0"/>
              <w:rPr>
                <w:sz w:val="20"/>
                <w:szCs w:val="20"/>
                <w:color w:val="auto"/>
              </w:rPr>
            </w:pPr>
            <w:r>
              <w:rPr>
                <w:rFonts w:ascii="Arial" w:cs="Arial" w:eastAsia="Arial" w:hAnsi="Arial"/>
                <w:sz w:val="16"/>
                <w:szCs w:val="16"/>
                <w:color w:val="auto"/>
              </w:rPr>
              <w:t>of December 31, 2023; and 51,582,698 as of September 30, 2024</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345,783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343,870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348,366</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536,427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507,206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(58,866)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(51,547)</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823,894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774,883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804,571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1,499,133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1,481,193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1,493,237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31,016</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28,470</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8,335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8,565</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14,421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14,744</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2,597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2,264</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income from 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Pawn service charges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(2,384)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2,066</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(5,823)</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(38,737)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(33,991)</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2,909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7"/>
        </w:trPr>
        <w:tc>
          <w:tcPr>
            <w:tcW w:w="82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9,000</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r>
      <w:tr>
        <w:trPr>
          <w:trHeight w:val="209"/>
        </w:trPr>
        <w:tc>
          <w:tcPr>
            <w:tcW w:w="8240" w:type="dxa"/>
            <w:vAlign w:val="bottom"/>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25,991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21,481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(247,225)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(216,978)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135,190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123,021</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101,850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98,209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(5,609)</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(7,184)</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1,902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1,745</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r>
      <w:tr>
        <w:trPr>
          <w:trHeight w:val="209"/>
        </w:trPr>
        <w:tc>
          <w:tcPr>
            <w:tcW w:w="8240" w:type="dxa"/>
            <w:vAlign w:val="bottom"/>
          </w:tcPr>
          <w:p>
            <w:pPr>
              <w:ind w:left="5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(14,040)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(16,864)</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(3,971)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(6,392)</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4,085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(1,982)</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179,807</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228,968</w:t>
            </w:r>
          </w:p>
        </w:tc>
      </w:tr>
      <w:tr>
        <w:trPr>
          <w:trHeight w:val="21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183,892</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226,986</w:t>
            </w:r>
          </w:p>
        </w:tc>
      </w:tr>
    </w:tbl>
    <w:p>
      <w:pPr>
        <w:sectPr>
          <w:pgSz w:w="11900" w:h="16838" w:orient="portrait"/>
          <w:cols w:equalWidth="0" w:num="1">
            <w:col w:w="11240"/>
          </w:cols>
          <w:pgMar w:left="320" w:top="12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9"/>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2024</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128,800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57,543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186,343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186,343</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16,732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87,876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117,052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117,052</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320,170</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121,824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121,824</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138,677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185,404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185,404</w:t>
            </w:r>
          </w:p>
        </w:tc>
        <w:tc>
          <w:tcPr>
            <w:tcW w:w="0" w:type="dxa"/>
            <w:vAlign w:val="bottom"/>
          </w:tcPr>
          <w:p>
            <w:pPr>
              <w:spacing w:after="0"/>
              <w:rPr>
                <w:sz w:val="1"/>
                <w:szCs w:val="1"/>
                <w:color w:val="auto"/>
              </w:rPr>
            </w:pPr>
          </w:p>
        </w:tc>
      </w:tr>
      <w:tr>
        <w:trPr>
          <w:trHeight w:val="163"/>
        </w:trPr>
        <w:tc>
          <w:tcPr>
            <w:tcW w:w="290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116,451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116,451</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18,669</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Loss on sale or disposal of assets</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loss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(1,623)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9"/>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2023</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125,513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53,890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179,403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179,403</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14,082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106,449</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82,549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299,991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299,991</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36,501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115,210</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12,208</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172,573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172,573</w:t>
            </w:r>
          </w:p>
        </w:tc>
        <w:tc>
          <w:tcPr>
            <w:tcW w:w="0" w:type="dxa"/>
            <w:vAlign w:val="bottom"/>
          </w:tcPr>
          <w:p>
            <w:pPr>
              <w:spacing w:after="0"/>
              <w:rPr>
                <w:sz w:val="1"/>
                <w:szCs w:val="1"/>
                <w:color w:val="auto"/>
              </w:rPr>
            </w:pPr>
          </w:p>
        </w:tc>
      </w:tr>
      <w:tr>
        <w:trPr>
          <w:trHeight w:val="163"/>
        </w:trPr>
        <w:tc>
          <w:tcPr>
            <w:tcW w:w="290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110,555</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16,543</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8,565</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Loss (gain) on sale or disposal of</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47,540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000" w:type="dxa"/>
            <w:vAlign w:val="bottom"/>
            <w:gridSpan w:val="5"/>
          </w:tcPr>
          <w:p>
            <w:pPr>
              <w:ind w:left="2160"/>
              <w:spacing w:after="0"/>
              <w:rPr>
                <w:sz w:val="20"/>
                <w:szCs w:val="20"/>
                <w:color w:val="auto"/>
              </w:rPr>
            </w:pPr>
            <w:r>
              <w:rPr>
                <w:rFonts w:ascii="Arial" w:cs="Arial" w:eastAsia="Arial" w:hAnsi="Arial"/>
                <w:sz w:val="16"/>
                <w:szCs w:val="16"/>
                <w:b w:val="1"/>
                <w:bCs w:val="1"/>
                <w:color w:val="auto"/>
              </w:rPr>
              <w:t>EZCORP, Inc.</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STORE COUNT ACTIVITY</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Three Months Ended December 31, 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As of September 30, 2024</w:t>
            </w:r>
          </w:p>
        </w:tc>
        <w:tc>
          <w:tcPr>
            <w:tcW w:w="4880" w:type="dxa"/>
            <w:vAlign w:val="bottom"/>
            <w:gridSpan w:val="2"/>
          </w:tcPr>
          <w:p>
            <w:pPr>
              <w:jc w:val="right"/>
              <w:spacing w:after="0"/>
              <w:rPr>
                <w:sz w:val="20"/>
                <w:szCs w:val="20"/>
                <w:color w:val="auto"/>
              </w:rPr>
            </w:pPr>
            <w:r>
              <w:rPr>
                <w:rFonts w:ascii="Arial" w:cs="Arial" w:eastAsia="Arial" w:hAnsi="Arial"/>
                <w:sz w:val="16"/>
                <w:szCs w:val="16"/>
                <w:color w:val="auto"/>
              </w:rPr>
              <w:t>542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3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40" w:type="dxa"/>
            <w:vAlign w:val="bottom"/>
            <w:tcBorders>
              <w:bottom w:val="single" w:sz="8" w:color="auto"/>
            </w:tcBorders>
          </w:tcPr>
          <w:p>
            <w:pPr>
              <w:jc w:val="center"/>
              <w:ind w:right="1299"/>
              <w:spacing w:after="0"/>
              <w:rPr>
                <w:sz w:val="20"/>
                <w:szCs w:val="20"/>
                <w:color w:val="auto"/>
              </w:rPr>
            </w:pPr>
            <w:r>
              <w:rPr>
                <w:rFonts w:ascii="Arial" w:cs="Arial" w:eastAsia="Arial" w:hAnsi="Arial"/>
                <w:sz w:val="16"/>
                <w:szCs w:val="16"/>
                <w:color w:val="auto"/>
              </w:rPr>
              <w:t>As of December 31, 2024</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Three Months Ended December 31, 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80" w:type="dxa"/>
            <w:vAlign w:val="bottom"/>
            <w:gridSpan w:val="2"/>
          </w:tcPr>
          <w:p>
            <w:pPr>
              <w:jc w:val="center"/>
              <w:ind w:right="1279"/>
              <w:spacing w:after="0"/>
              <w:rPr>
                <w:sz w:val="20"/>
                <w:szCs w:val="20"/>
                <w:color w:val="auto"/>
              </w:rPr>
            </w:pPr>
            <w:r>
              <w:rPr>
                <w:rFonts w:ascii="Arial" w:cs="Arial" w:eastAsia="Arial" w:hAnsi="Arial"/>
                <w:sz w:val="16"/>
                <w:szCs w:val="16"/>
                <w:color w:val="auto"/>
              </w:rPr>
              <w:t>As of September 30, 2023</w:t>
            </w:r>
          </w:p>
        </w:tc>
        <w:tc>
          <w:tcPr>
            <w:tcW w:w="4880" w:type="dxa"/>
            <w:vAlign w:val="bottom"/>
            <w:gridSpan w:val="2"/>
          </w:tcPr>
          <w:p>
            <w:pPr>
              <w:jc w:val="right"/>
              <w:spacing w:after="0"/>
              <w:rPr>
                <w:sz w:val="20"/>
                <w:szCs w:val="20"/>
                <w:color w:val="auto"/>
              </w:rPr>
            </w:pPr>
            <w:r>
              <w:rPr>
                <w:rFonts w:ascii="Arial" w:cs="Arial" w:eastAsia="Arial" w:hAnsi="Arial"/>
                <w:sz w:val="16"/>
                <w:szCs w:val="16"/>
                <w:color w:val="auto"/>
              </w:rPr>
              <w:t>529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6"/>
                <w:szCs w:val="16"/>
                <w:color w:val="auto"/>
              </w:rPr>
              <w:t>New locations opened</w:t>
            </w:r>
          </w:p>
        </w:tc>
        <w:tc>
          <w:tcPr>
            <w:tcW w:w="346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Locations acquired</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auto"/>
            </w:tcBorders>
            <w:gridSpan w:val="2"/>
          </w:tcPr>
          <w:p>
            <w:pPr>
              <w:jc w:val="center"/>
              <w:ind w:right="1319"/>
              <w:spacing w:after="0"/>
              <w:rPr>
                <w:sz w:val="20"/>
                <w:szCs w:val="20"/>
                <w:color w:val="auto"/>
              </w:rPr>
            </w:pPr>
            <w:r>
              <w:rPr>
                <w:rFonts w:ascii="Arial" w:cs="Arial" w:eastAsia="Arial" w:hAnsi="Arial"/>
                <w:sz w:val="16"/>
                <w:szCs w:val="16"/>
                <w:color w:val="auto"/>
              </w:rPr>
              <w:t>As of December 31, 2023</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530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months ended December 31, 2024 and 2023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4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rPr>
              <w:t>December 31,</w:t>
            </w:r>
          </w:p>
        </w:tc>
        <w:tc>
          <w:tcPr>
            <w:tcW w:w="23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2440" w:type="dxa"/>
            <w:vAlign w:val="bottom"/>
            <w:gridSpan w:val="4"/>
            <w:vMerge w:val="continue"/>
          </w:tcPr>
          <w:p>
            <w:pPr>
              <w:spacing w:after="0"/>
              <w:rPr>
                <w:sz w:val="18"/>
                <w:szCs w:val="18"/>
                <w:color w:val="auto"/>
              </w:rPr>
            </w:pP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8"/>
        </w:trPr>
        <w:tc>
          <w:tcPr>
            <w:tcW w:w="6460" w:type="dxa"/>
            <w:vAlign w:val="bottom"/>
          </w:tcPr>
          <w:p>
            <w:pPr>
              <w:spacing w:after="0"/>
              <w:rPr>
                <w:sz w:val="20"/>
                <w:szCs w:val="20"/>
                <w:color w:val="auto"/>
              </w:rPr>
            </w:pPr>
            <w:r>
              <w:rPr>
                <w:rFonts w:ascii="Arial" w:cs="Arial" w:eastAsia="Arial" w:hAnsi="Arial"/>
                <w:sz w:val="16"/>
                <w:szCs w:val="16"/>
                <w:color w:val="auto"/>
              </w:rPr>
              <w:t>Mexican peso</w:t>
            </w:r>
          </w:p>
        </w:tc>
        <w:tc>
          <w:tcPr>
            <w:tcW w:w="11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Guatemalan quetzal</w:t>
            </w: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Honduran lempira</w:t>
            </w: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Australian dollar</w:t>
            </w: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2023</w:t>
            </w:r>
          </w:p>
        </w:tc>
      </w:tr>
      <w:tr>
        <w:trPr>
          <w:trHeight w:val="248"/>
        </w:trPr>
        <w:tc>
          <w:tcPr>
            <w:tcW w:w="8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20"/>
              <w:spacing w:after="0"/>
              <w:rPr>
                <w:sz w:val="20"/>
                <w:szCs w:val="20"/>
                <w:color w:val="auto"/>
              </w:rPr>
            </w:pPr>
            <w:r>
              <w:rPr>
                <w:rFonts w:ascii="Arial" w:cs="Arial" w:eastAsia="Arial" w:hAnsi="Arial"/>
                <w:sz w:val="16"/>
                <w:szCs w:val="16"/>
                <w:color w:val="auto"/>
              </w:rPr>
              <w:t>2025 Q1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Constant Currency</w:t>
            </w:r>
          </w:p>
        </w:tc>
        <w:tc>
          <w:tcPr>
            <w:tcW w:w="120" w:type="dxa"/>
            <w:vAlign w:val="bottom"/>
            <w:tcBorders>
              <w:bottom w:val="single" w:sz="8" w:color="242424"/>
            </w:tcBorders>
          </w:tcPr>
          <w:p>
            <w:pPr>
              <w:spacing w:after="0"/>
              <w:rPr>
                <w:sz w:val="18"/>
                <w:szCs w:val="18"/>
                <w:color w:val="auto"/>
              </w:rPr>
            </w:pPr>
          </w:p>
        </w:tc>
        <w:tc>
          <w:tcPr>
            <w:tcW w:w="92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242424"/>
            </w:tcBorders>
          </w:tcPr>
          <w:p>
            <w:pPr>
              <w:spacing w:after="0"/>
              <w:rPr>
                <w:sz w:val="18"/>
                <w:szCs w:val="18"/>
                <w:color w:val="auto"/>
              </w:rPr>
            </w:pPr>
          </w:p>
        </w:tc>
        <w:tc>
          <w:tcPr>
            <w:tcW w:w="320" w:type="dxa"/>
            <w:vAlign w:val="bottom"/>
            <w:tcBorders>
              <w:bottom w:val="single" w:sz="8" w:color="242424"/>
            </w:tcBorders>
          </w:tcPr>
          <w:p>
            <w:pPr>
              <w:spacing w:after="0"/>
              <w:rPr>
                <w:sz w:val="18"/>
                <w:szCs w:val="18"/>
                <w:color w:val="auto"/>
              </w:rPr>
            </w:pPr>
          </w:p>
        </w:tc>
        <w:tc>
          <w:tcPr>
            <w:tcW w:w="72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242424"/>
            </w:tcBorders>
          </w:tcPr>
          <w:p>
            <w:pPr>
              <w:spacing w:after="0"/>
              <w:rPr>
                <w:sz w:val="18"/>
                <w:szCs w:val="18"/>
                <w:color w:val="auto"/>
              </w:rPr>
            </w:pPr>
          </w:p>
        </w:tc>
        <w:tc>
          <w:tcPr>
            <w:tcW w:w="320" w:type="dxa"/>
            <w:vAlign w:val="bottom"/>
            <w:tcBorders>
              <w:bottom w:val="single" w:sz="8" w:color="242424"/>
            </w:tcBorders>
          </w:tcPr>
          <w:p>
            <w:pPr>
              <w:spacing w:after="0"/>
              <w:rPr>
                <w:sz w:val="18"/>
                <w:szCs w:val="18"/>
                <w:color w:val="auto"/>
              </w:rPr>
            </w:pPr>
          </w:p>
        </w:tc>
        <w:tc>
          <w:tcPr>
            <w:tcW w:w="100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242424"/>
            </w:tcBorders>
          </w:tcPr>
          <w:p>
            <w:pPr>
              <w:spacing w:after="0"/>
              <w:rPr>
                <w:sz w:val="18"/>
                <w:szCs w:val="18"/>
                <w:color w:val="auto"/>
              </w:rPr>
            </w:pPr>
          </w:p>
        </w:tc>
        <w:tc>
          <w:tcPr>
            <w:tcW w:w="120" w:type="dxa"/>
            <w:vAlign w:val="bottom"/>
            <w:tcBorders>
              <w:bottom w:val="single" w:sz="8" w:color="242424"/>
            </w:tcBorders>
          </w:tcPr>
          <w:p>
            <w:pPr>
              <w:spacing w:after="0"/>
              <w:rPr>
                <w:sz w:val="18"/>
                <w:szCs w:val="18"/>
                <w:color w:val="auto"/>
              </w:rPr>
            </w:pPr>
          </w:p>
        </w:tc>
        <w:tc>
          <w:tcPr>
            <w:tcW w:w="90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242424"/>
            </w:tcBorders>
          </w:tcPr>
          <w:p>
            <w:pPr>
              <w:spacing w:after="0"/>
              <w:rPr>
                <w:sz w:val="18"/>
                <w:szCs w:val="18"/>
                <w:color w:val="auto"/>
              </w:rPr>
            </w:pPr>
          </w:p>
        </w:tc>
        <w:tc>
          <w:tcPr>
            <w:tcW w:w="380" w:type="dxa"/>
            <w:vAlign w:val="bottom"/>
            <w:tcBorders>
              <w:bottom w:val="single" w:sz="8" w:color="242424"/>
            </w:tcBorders>
          </w:tcPr>
          <w:p>
            <w:pPr>
              <w:spacing w:after="0"/>
              <w:rPr>
                <w:sz w:val="18"/>
                <w:szCs w:val="18"/>
                <w:color w:val="auto"/>
              </w:rPr>
            </w:pPr>
          </w:p>
        </w:tc>
        <w:tc>
          <w:tcPr>
            <w:tcW w:w="66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242424"/>
            </w:tcBorders>
          </w:tcPr>
          <w:p>
            <w:pPr>
              <w:spacing w:after="0"/>
              <w:rPr>
                <w:sz w:val="18"/>
                <w:szCs w:val="18"/>
                <w:color w:val="auto"/>
              </w:rPr>
            </w:pPr>
          </w:p>
        </w:tc>
        <w:tc>
          <w:tcPr>
            <w:tcW w:w="380" w:type="dxa"/>
            <w:vAlign w:val="bottom"/>
            <w:tcBorders>
              <w:bottom w:val="single" w:sz="8" w:color="242424"/>
            </w:tcBorders>
          </w:tcPr>
          <w:p>
            <w:pPr>
              <w:spacing w:after="0"/>
              <w:rPr>
                <w:sz w:val="18"/>
                <w:szCs w:val="18"/>
                <w:color w:val="auto"/>
              </w:rPr>
            </w:pPr>
          </w:p>
        </w:tc>
        <w:tc>
          <w:tcPr>
            <w:tcW w:w="66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242424"/>
            </w:tcBorders>
          </w:tcPr>
          <w:p>
            <w:pPr>
              <w:spacing w:after="0"/>
              <w:rPr>
                <w:sz w:val="18"/>
                <w:szCs w:val="18"/>
                <w:color w:val="auto"/>
              </w:rPr>
            </w:pPr>
          </w:p>
        </w:tc>
        <w:tc>
          <w:tcPr>
            <w:tcW w:w="180" w:type="dxa"/>
            <w:vAlign w:val="bottom"/>
            <w:tcBorders>
              <w:bottom w:val="single" w:sz="8" w:color="242424"/>
            </w:tcBorders>
          </w:tcPr>
          <w:p>
            <w:pPr>
              <w:spacing w:after="0"/>
              <w:rPr>
                <w:sz w:val="18"/>
                <w:szCs w:val="18"/>
                <w:color w:val="auto"/>
              </w:rPr>
            </w:pPr>
          </w:p>
        </w:tc>
        <w:tc>
          <w:tcPr>
            <w:tcW w:w="860" w:type="dxa"/>
            <w:vAlign w:val="bottom"/>
            <w:tcBorders>
              <w:bottom w:val="single" w:sz="8" w:color="242424"/>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1"/>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Q1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Q1</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Q1</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5"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0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8"/>
        </w:trPr>
        <w:tc>
          <w:tcPr>
            <w:tcW w:w="8740" w:type="dxa"/>
            <w:vAlign w:val="bottom"/>
          </w:tcPr>
          <w:p>
            <w:pPr>
              <w:ind w:left="20"/>
              <w:spacing w:after="0"/>
              <w:rPr>
                <w:sz w:val="20"/>
                <w:szCs w:val="20"/>
                <w:color w:val="auto"/>
              </w:rPr>
            </w:pPr>
            <w:r>
              <w:rPr>
                <w:rFonts w:ascii="Arial" w:cs="Arial" w:eastAsia="Arial" w:hAnsi="Arial"/>
                <w:sz w:val="16"/>
                <w:szCs w:val="16"/>
                <w:color w:val="auto"/>
              </w:rPr>
              <w:t>Consolidated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9"/>
        </w:trPr>
        <w:tc>
          <w:tcPr>
            <w:tcW w:w="8740" w:type="dxa"/>
            <w:vAlign w:val="bottom"/>
          </w:tcPr>
          <w:p>
            <w:pPr>
              <w:ind w:left="20"/>
              <w:spacing w:after="0"/>
              <w:rPr>
                <w:sz w:val="20"/>
                <w:szCs w:val="20"/>
                <w:color w:val="auto"/>
              </w:rPr>
            </w:pPr>
            <w:r>
              <w:rPr>
                <w:rFonts w:ascii="Arial" w:cs="Arial" w:eastAsia="Arial" w:hAnsi="Arial"/>
                <w:sz w:val="16"/>
                <w:szCs w:val="16"/>
                <w:color w:val="auto"/>
              </w:rPr>
              <w:t>Consolidated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9"/>
        </w:trPr>
        <w:tc>
          <w:tcPr>
            <w:tcW w:w="874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04"/>
        </w:trPr>
        <w:tc>
          <w:tcPr>
            <w:tcW w:w="8740" w:type="dxa"/>
            <w:vAlign w:val="bottom"/>
          </w:tcPr>
          <w:p>
            <w:pPr>
              <w:ind w:left="20"/>
              <w:spacing w:after="0"/>
              <w:rPr>
                <w:sz w:val="20"/>
                <w:szCs w:val="20"/>
                <w:color w:val="auto"/>
              </w:rPr>
            </w:pPr>
            <w:r>
              <w:rPr>
                <w:rFonts w:ascii="Arial" w:cs="Arial" w:eastAsia="Arial" w:hAnsi="Arial"/>
                <w:sz w:val="16"/>
                <w:szCs w:val="16"/>
                <w:color w:val="auto"/>
              </w:rPr>
              <w:t>Latin America Pawn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9"/>
        </w:trPr>
        <w:tc>
          <w:tcPr>
            <w:tcW w:w="874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9"/>
        </w:trPr>
        <w:tc>
          <w:tcPr>
            <w:tcW w:w="874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9"/>
        </w:trPr>
        <w:tc>
          <w:tcPr>
            <w:tcW w:w="874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9"/>
        </w:trPr>
        <w:tc>
          <w:tcPr>
            <w:tcW w:w="874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7"/>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2025-02-05T15:55:43Z</dcterms:created>
  <dcterms:modified xsi:type="dcterms:W3CDTF">2025-02-05T15:55:43Z</dcterms:modified>
</cp:coreProperties>
</file>