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31, 2017 (July 31,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On July 31, 2017, EZCORP, Inc. issued a press release announcing its results of operations and financial condition for the quarter ended June 30, 2017. A copy of that press release is attached as Exhibit 99.1.</w:t>
      </w:r>
    </w:p>
    <w:p>
      <w:pPr>
        <w:spacing w:after="0" w:line="116"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w:t>
      </w:r>
    </w:p>
    <w:p>
      <w:pPr>
        <w:sectPr>
          <w:pgSz w:w="11900" w:h="16838" w:orient="portrait"/>
          <w:cols w:equalWidth="0" w:num="1">
            <w:col w:w="11400"/>
          </w:cols>
          <w:pgMar w:left="240" w:top="733" w:right="259" w:bottom="1440" w:gutter="0" w:footer="0" w:header="0"/>
        </w:sectPr>
      </w:pPr>
    </w:p>
    <w:bookmarkStart w:id="1" w:name="page2"/>
    <w:bookmarkEnd w:id="1"/>
    <w:p>
      <w:pPr>
        <w:jc w:val="both"/>
        <w:spacing w:after="0" w:line="312" w:lineRule="auto"/>
        <w:rPr>
          <w:sz w:val="20"/>
          <w:szCs w:val="20"/>
          <w:color w:val="auto"/>
        </w:rPr>
      </w:pPr>
      <w:r>
        <w:rPr>
          <w:rFonts w:ascii="Arial" w:cs="Arial" w:eastAsia="Arial" w:hAnsi="Arial"/>
          <w:sz w:val="16"/>
          <w:szCs w:val="16"/>
          <w:color w:val="auto"/>
        </w:rPr>
        <w:t>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third quarter 2017 earnings conference call (to be held on August 1, 2017)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July 31, 2017, announcing EZCORP, Inc.’s results of operations and financial condition for the quarter ended June</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30, 2017.</w:t>
      </w:r>
    </w:p>
    <w:p>
      <w:pPr>
        <w:sectPr>
          <w:pgSz w:w="11900" w:h="16838" w:orient="portrait"/>
          <w:cols w:equalWidth="0" w:num="1">
            <w:col w:w="11360"/>
          </w:cols>
          <w:pgMar w:left="240" w:top="746"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July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Press Release, dated July 31, 2017, announcing EZCORP, Inc.’s results of operations and financial condition for the quarter ended June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30, 2017.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Announces Third Quarter Fiscal 2017 Results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Earnings per share from continuing operations up 100% year-over-year to $0.10</w:t>
      </w:r>
    </w:p>
    <w:p>
      <w:pPr>
        <w:spacing w:after="0" w:line="26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Austin, Texas (July 31, 2017) — </w:t>
      </w:r>
      <w:r>
        <w:rPr>
          <w:rFonts w:ascii="Arial" w:cs="Arial" w:eastAsia="Arial" w:hAnsi="Arial"/>
          <w:sz w:val="18"/>
          <w:szCs w:val="18"/>
          <w:color w:val="auto"/>
        </w:rPr>
        <w:t>EZCORP, Inc. (NASDAQ: EZPW), a leading provider of pawn loans in the United States and Mexico,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third quarter ended June 30, 2017.</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THIRD QUARTER FISCAL 2017</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produced its sixth consecutive quarter of year-over-year (YOY) earnings and profit growth with earnings per share up 100% to $0.10 and income from continuing operations before income taxes up 133% to $8.9 million.</w:t>
      </w:r>
    </w:p>
    <w:p>
      <w:pPr>
        <w:spacing w:after="0" w:line="116"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Market leading same store pawn loans outstanding (PLO), the most influential driver of revenue and profitability, up 4% in the U.S. and 16% in Mexico. The same store PLO increase in Mexico was 13% when calculated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Unrestricted cash balance at the end of the quarter was up 287% YOY to $113.7 million. Shortly after the end of the quarter, the company also completed its $143.8 million offering of convertible senior notes due 2024, further strengthening its balance sheet and liquidity, as well as paying off its higher rate secured term debt and retiring a portion of its cash convertible senior notes due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Stuart Grimshaw, EZCORP's Chief Executive Officer, said: “We are delighted with our results this quarter. We doubled our earnings from continuing operations, reflecting our continued focus on meeting the needs of our customers and enhancing their experience as well as leveraging our expense structure. That focus continues to produce market leading same store PLO growth in the U.S. and Mexico, which is the main driver of future profitability.</w:t>
      </w:r>
    </w:p>
    <w:p>
      <w:pPr>
        <w:spacing w:after="0" w:line="9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quarter’s results reflect the continued, disciplined execution of our three year strategic plan announced in 2015. We delivered significant earnings growth in both the U.S. and Mexico this quarter, highlighting the value of that continued focus. We further strengthened our balance sheet and liquidity position through strong operating results and the convertible bond issuance just after the quarter-end. While we continue to focus on and invest in our core pawn business, this strong cash position enhances our ability to consider attractive acquisitions.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confident that our current strategic initiatives - including store refurbishment and other investments in customer experience; product and customer analytics; team member training, coaching and mentoring; and storefront expansion - will continue to provide a robust platform for further profitable growth."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 store pawn loans outstanding (PLO) was up 4% in U.S. and 16% in Mexico (up 13% in Mexico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increased 8% to $183.6 million. On a constant currency basis, total revenue was up 8% to $184.4 million.</w:t>
      </w:r>
    </w:p>
    <w:p>
      <w:pPr>
        <w:spacing w:after="0" w:line="171"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revenue improved 5% to $105.6 million (up 6% to $106.0 million on a constant currency basis), due largely to a 5% increase in pawn service charge (PSC) revenue and a 4% increase in merchandise sales (PSC revenue up 6% and merchandise sales up 5% on a constant currency basis).</w:t>
      </w:r>
    </w:p>
    <w:p>
      <w:pPr>
        <w:spacing w:after="0" w:line="155" w:lineRule="exact"/>
        <w:rPr>
          <w:sz w:val="20"/>
          <w:szCs w:val="20"/>
          <w:color w:val="auto"/>
        </w:rPr>
      </w:pPr>
    </w:p>
    <w:p>
      <w:pPr>
        <w:ind w:right="100"/>
        <w:spacing w:after="0" w:line="234"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 addition to the financial information prepared in conformity with U.S. generally accepted accounting principles (“GAAP”), we provide certain financial information on a “constant currency” basis, which excludes the impact of foreign currency exchange rate fluctuations. For additional information about the constant currency calculations, as well as a reconciliation of the constant currency financial measures to the comparable GAAP financial measures, see “Non-GAAP Financial Information” at the end of this release.</w:t>
      </w:r>
    </w:p>
    <w:p>
      <w:pPr>
        <w:sectPr>
          <w:pgSz w:w="11900" w:h="16838" w:orient="portrait"/>
          <w:cols w:equalWidth="0" w:num="1">
            <w:col w:w="11400"/>
          </w:cols>
          <w:pgMar w:left="240" w:top="1440" w:right="25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merchandise sales gross margin was consistent with the prior-year quarter at 36%, and was within our target range of 35-38%.</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expenses increased 1% to $74.2 million (up 2% to $74.5 million on a constant currency basis) due to investment in customer facing labor and higher benefit claims.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expenses decreased 3% to $14.1 million. The company remains on track to reduce corporate expenses to no more than $50 million in FY18.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was the sixth consecutive quarter of YOY earnings per share increase, with earnings per share from continuing operations up 100% to $0.10.</w:t>
      </w:r>
    </w:p>
    <w:p>
      <w:pPr>
        <w:spacing w:after="0" w:line="194"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Shortly after the end of the quarter, the company completed its offering of convertible senior notes due 2024 with a 2.875% coupon. This unsecured convertible note issuance strengthens the balance sheet and liquidity, and locks in an attractive fixed interest rate for a seven-year term. The proceeds were used to retire all remaining obligations under a secured credit facility which had a far higher cost of funds, retire $35 million of existing cash convertible senior notes due 2019, and for additional capital to potentially add to our earnings capacity as the company considers attractive acquisition opportunities.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2017</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4% to $565.9 million. On a constant currency basis, total revenue was up 5% to $574.4 million.</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was up 2% to $327.4 million (up 3% to $331.9 million on a constant currency basis), as a 5% increase in PSC revenue was offset by a lower merchandise sales gross margin (PSC revenue up 6% on a constant currency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merchandise sales gross margin was 200bps lower at 36%, within our target range of 35-38%.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Operations expenses increased 2% to $226.4 million (up 4% to $229.4 million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expenses decreased 18% to $41.3 million, in line with the company's continued focus to control corporate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from continuing operations increased 156% to $0.41.</w:t>
      </w:r>
    </w:p>
    <w:p>
      <w:pPr>
        <w:spacing w:after="0" w:line="171"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company continues to receive regular payments on the promissory notes it received in connection with the sale of Grupo Finmart in September 2016. It has collected $23.3 million in principal on those notes during the current fiscal year, and expects to collect an additional $24.4 million during the remainder of the fiscal year (for a total of $47.7 million in FY17), $24.4 million in FY18 and $18.3 million in FY19. In July 2017, the company received </w:t>
      </w:r>
      <w:r>
        <w:rPr>
          <w:rFonts w:ascii="Arial" w:cs="Arial" w:eastAsia="Arial" w:hAnsi="Arial"/>
          <w:sz w:val="18"/>
          <w:szCs w:val="18"/>
          <w:color w:val="252525"/>
        </w:rPr>
        <w:t>$6.1 million including early payment of $5.2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w:t>
      </w:r>
    </w:p>
    <w:p>
      <w:pPr>
        <w:spacing w:after="0" w:line="171" w:lineRule="exact"/>
        <w:rPr>
          <w:sz w:val="20"/>
          <w:szCs w:val="20"/>
          <w:color w:val="auto"/>
        </w:rPr>
      </w:pPr>
    </w:p>
    <w:p>
      <w:pPr>
        <w:ind w:left="660" w:right="520" w:hanging="328"/>
        <w:spacing w:after="0" w:line="277"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color w:val="auto"/>
        </w:rPr>
        <w:t>This was the seventh consecutive quarter of YOY same store PLO growth, up 3% this quarter in total and 4% on a same store basis, to $148.8 million.</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4% in total and 5% on a same store basis to $56.8 million.</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increased 4% in total and on a same store basis. The merchandise sales gross margin of 37% was consistent with the prior-year quarter and within our target range of 35-38%.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0A0A0A"/>
        </w:rPr>
        <w:t>Inventory aged over one year improved to 11% from 12% in Q2FY17.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expenses increased 1% to $63.6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segment contribution was up 18% to $23.8 million.</w:t>
      </w:r>
    </w:p>
    <w:p>
      <w:pPr>
        <w:sectPr>
          <w:pgSz w:w="11900" w:h="16838" w:orient="portrait"/>
          <w:cols w:equalWidth="0" w:num="1">
            <w:col w:w="11400"/>
          </w:cols>
          <w:pgMar w:left="240" w:top="746" w:right="259" w:bottom="1440" w:gutter="0" w:footer="0" w:header="0"/>
        </w:sectPr>
      </w:pPr>
    </w:p>
    <w:bookmarkStart w:id="6" w:name="page7"/>
    <w:bookmarkEnd w:id="6"/>
    <w:p>
      <w:pPr>
        <w:ind w:left="660" w:right="2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Initiatives are underway to continue improving net revenue and profitability in the long-term, including investments in upgrading our point of sale system and enhancing product and customer data analytics, as well as enhancing our customer experience with a store refurbishment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2017</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PSC increased 5% in total and 4% on a same store basis to $177.5 million.</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Merchandise sales increased 2% in total and 3% on a same store basis. The merchandise sales gross margin of 37% is within our target range of 35-38%.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Operations expenses increased 4% to $194.5 million, due to investment in customer facing labor and higher benefit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profit was up 3% to $80.7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PLO increased 19% to $19.4 million (up 16% to $18.9 million on a constant currency basis).</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increased 13% to $9.1 million (up 16% to $9.4 million on a constant currency basis).</w:t>
      </w:r>
    </w:p>
    <w:p>
      <w:pPr>
        <w:spacing w:after="0" w:line="17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Merchandise sales increased 7% in total and 5% on a same store basis (up 10% in total and 7% in same stores on a constant currency basis). The 33% merchandise sales gross margin was consistent with the prior-year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aged over one year of 6% was consistent with Q2FY17.</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 was up 12% with a smaller 2% increase in operations expenses, yielding a 100% increase in segment contribution (segment contribution was up 104% to $5.5 million on a constant currency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2017</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PSC increased 4% to $24.5 million (up 15% to $27.2 million on a constant currency basis).</w:t>
      </w:r>
    </w:p>
    <w:p>
      <w:pPr>
        <w:spacing w:after="0" w:line="171" w:lineRule="exact"/>
        <w:rPr>
          <w:rFonts w:ascii="Arial" w:cs="Arial" w:eastAsia="Arial" w:hAnsi="Arial"/>
          <w:sz w:val="18"/>
          <w:szCs w:val="18"/>
          <w:b w:val="1"/>
          <w:bCs w:val="1"/>
          <w:i w:val="1"/>
          <w:iCs w:val="1"/>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Merchandise sales increased 3% in total and 2% on a same store basis (up 15% in total and 13% in same stores on a constant currency basis). Merchandise margin was 32%, 100bps lower than the prior-year nine-months.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 increased 3% and operations expenses were 9% lower, yielding a 107% increase in segment profit to $12.9 million (up 127% to $14.1 million on a constant currency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EZCORP will host a conference call on Tuesday, August 1, 2017, at 7:30am Central Time to discuss third quarter results. Analysts and institutional investors may participate on the conference call by dialing (877) 201-0168, Conference ID: 57788640, international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EZCORP is a leading provider of pawn loans in the United States and Mexico. We also sell merchandise, primarily collateral forfeited from pawn lending operations and used merchandise purchased from customers. EZCORP is a member of the Russell 2000 Index, S&amp;P SmallCap 600 Index, S&amp;P 1000 Index and Nasdaq Composite Index.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w:t>
      </w:r>
    </w:p>
    <w:p>
      <w:pPr>
        <w:sectPr>
          <w:pgSz w:w="11900" w:h="16838" w:orient="portrait"/>
          <w:cols w:equalWidth="0" w:num="1">
            <w:col w:w="11400"/>
          </w:cols>
          <w:pgMar w:left="240" w:top="746" w:right="25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17"/>
          <w:szCs w:val="17"/>
          <w:color w:val="auto"/>
        </w:rPr>
        <w:t>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280"/>
          </w:cols>
          <w:pgMar w:left="240" w:top="746"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379"/>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97,921</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94,014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319,672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311,941</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62,473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201,983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193,197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7,151</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183,633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170,150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565,885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545,920</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194,731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28,271</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105,555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100,394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327,417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321,369</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74,246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73,172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226,352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221,446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50,085</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20,422</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1,910</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285,914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294,504</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41,503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26,865</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815</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19,728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13,663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11,224</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(99,068)</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(90,564)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(6,589)</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(83,975)</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54,295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53,980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54,247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54,574</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54,690</w:t>
            </w:r>
          </w:p>
        </w:tc>
      </w:tr>
      <w:tr>
        <w:trPr>
          <w:trHeight w:val="270"/>
        </w:trPr>
        <w:tc>
          <w:tcPr>
            <w:tcW w:w="6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from discontinued operations attributable to EZCORP, Inc.</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(92,929)</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attributable to EZCORP,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(83,975)</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3"/>
                <w:szCs w:val="13"/>
                <w:color w:val="auto"/>
              </w:rPr>
            </w:pPr>
          </w:p>
        </w:tc>
        <w:tc>
          <w:tcPr>
            <w:tcW w:w="1080" w:type="dxa"/>
            <w:vAlign w:val="bottom"/>
          </w:tcPr>
          <w:p>
            <w:pPr>
              <w:jc w:val="right"/>
              <w:ind w:right="180"/>
              <w:spacing w:after="0"/>
              <w:rPr>
                <w:sz w:val="20"/>
                <w:szCs w:val="20"/>
                <w:color w:val="auto"/>
              </w:rPr>
            </w:pPr>
            <w:r>
              <w:rPr>
                <w:rFonts w:ascii="Arial" w:cs="Arial" w:eastAsia="Arial" w:hAnsi="Arial"/>
                <w:sz w:val="13"/>
                <w:szCs w:val="13"/>
                <w:b w:val="1"/>
                <w:bCs w:val="1"/>
                <w:color w:val="auto"/>
                <w:w w:val="89"/>
              </w:rPr>
              <w:t>September 30,</w:t>
            </w:r>
          </w:p>
        </w:tc>
      </w:tr>
      <w:tr>
        <w:trPr>
          <w:trHeight w:val="174"/>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2016</w:t>
            </w:r>
          </w:p>
        </w:tc>
      </w:tr>
      <w:tr>
        <w:trPr>
          <w:trHeight w:val="384"/>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65,737</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Pawn loans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168,262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160,269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167,329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31,062</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Inventory,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135,053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130,368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140,224</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41,946</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Current assets held for sale</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157,554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35,845</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501,646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533,791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482,143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37,128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53,022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58,455</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253,976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32,551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30,569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30,681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notes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41,119</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36,506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35,303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44,439</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970,317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989,797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983,244</w:t>
            </w:r>
          </w:p>
        </w:tc>
      </w:tr>
      <w:tr>
        <w:trPr>
          <w:trHeight w:val="109"/>
        </w:trPr>
        <w:tc>
          <w:tcPr>
            <w:tcW w:w="74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64,830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63,242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84,285</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liabilities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11,091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10,693</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75,921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204,704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94,978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260,414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211,421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283,611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10,450</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346,015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425,673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389,039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Total temporary equity</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0"/>
        </w:trPr>
        <w:tc>
          <w:tcPr>
            <w:tcW w:w="7440" w:type="dxa"/>
            <w:vAlign w:val="bottom"/>
          </w:tcPr>
          <w:p>
            <w:pPr>
              <w:ind w:left="500"/>
              <w:spacing w:after="0"/>
              <w:rPr>
                <w:sz w:val="20"/>
                <w:szCs w:val="20"/>
                <w:color w:val="auto"/>
              </w:rPr>
            </w:pPr>
            <w:r>
              <w:rPr>
                <w:rFonts w:ascii="Arial" w:cs="Arial" w:eastAsia="Arial" w:hAnsi="Arial"/>
                <w:sz w:val="16"/>
                <w:szCs w:val="16"/>
                <w:color w:val="auto"/>
                <w:w w:val="93"/>
              </w:rPr>
              <w:t>Class A Non-voting Common Stock, par value $.01 per share; shares authorized: 100 million; issued and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w w:val="97"/>
              </w:rPr>
              <w:t>outstanding: 51,326,582 as of June 30, 2017; 51,019,332 as of June 30, 2016; and 51,129,144 as of</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7440" w:type="dxa"/>
            <w:vAlign w:val="bottom"/>
          </w:tcPr>
          <w:p>
            <w:pPr>
              <w:ind w:left="500"/>
              <w:spacing w:after="0"/>
              <w:rPr>
                <w:sz w:val="20"/>
                <w:szCs w:val="20"/>
                <w:color w:val="auto"/>
              </w:rPr>
            </w:pPr>
            <w:r>
              <w:rPr>
                <w:rFonts w:ascii="Arial" w:cs="Arial" w:eastAsia="Arial" w:hAnsi="Arial"/>
                <w:sz w:val="16"/>
                <w:szCs w:val="16"/>
                <w:color w:val="auto"/>
              </w:rPr>
              <w:t>September 30, 2016</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744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Class B Voting Common Stock, convertible, par value $.01 per share; shares authorized: 3 million; issued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and outstanding: 2,970,171</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322,559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316,565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318,723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319,808</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(44,089)</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566,708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594,983</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594,205</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970,317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989,797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79"/>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8"/>
              <w:spacing w:after="0"/>
              <w:rPr>
                <w:sz w:val="20"/>
                <w:szCs w:val="20"/>
                <w:color w:val="auto"/>
              </w:rPr>
            </w:pPr>
            <w:r>
              <w:rPr>
                <w:rFonts w:ascii="Arial" w:cs="Arial" w:eastAsia="Arial" w:hAnsi="Arial"/>
                <w:sz w:val="14"/>
                <w:szCs w:val="14"/>
                <w:i w:val="1"/>
                <w:iCs w:val="1"/>
                <w:color w:val="auto"/>
                <w:w w:val="94"/>
              </w:rPr>
              <w:t>(in thousands)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20,096</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(90,564)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21,432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8,864</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10,684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Accretion of notes receivable discount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24,157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(14,234)</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73,244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Income from investment in unconsolidated affiliate</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(5,626)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Service charges and fees receivable</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8,363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(20,497)</w:t>
            </w:r>
          </w:p>
        </w:tc>
        <w:tc>
          <w:tcPr>
            <w:tcW w:w="0" w:type="dxa"/>
            <w:vAlign w:val="bottom"/>
          </w:tcPr>
          <w:p>
            <w:pPr>
              <w:spacing w:after="0"/>
              <w:rPr>
                <w:sz w:val="1"/>
                <w:szCs w:val="1"/>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Customer layaway deposits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 receivable and payable, current, net of excess tax benefit from 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51,990</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of restructuring charges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(8,367)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from unconsolidated affiliate</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250"/>
        </w:trPr>
        <w:tc>
          <w:tcPr>
            <w:tcW w:w="8800" w:type="dxa"/>
            <w:vAlign w:val="bottom"/>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29,974</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57,937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Loans made</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(472,676)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(497,255)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repaid</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288,833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324,478</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187,819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173,710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(6,470)</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collections on notes receivable</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23,336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800" w:type="dxa"/>
            <w:vAlign w:val="bottom"/>
          </w:tcPr>
          <w:p>
            <w:pPr>
              <w:ind w:left="82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17,972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(11,537)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Payout of deferred consideration</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(14,875)</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Repurchase of redeemable common stock issued due to acquisitions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net of issuance costs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(63,994)</w:t>
            </w:r>
          </w:p>
        </w:tc>
        <w:tc>
          <w:tcPr>
            <w:tcW w:w="0" w:type="dxa"/>
            <w:vAlign w:val="bottom"/>
          </w:tcPr>
          <w:p>
            <w:pPr>
              <w:spacing w:after="0"/>
              <w:rPr>
                <w:sz w:val="1"/>
                <w:szCs w:val="1"/>
                <w:color w:val="auto"/>
              </w:rPr>
            </w:pPr>
          </w:p>
        </w:tc>
      </w:tr>
      <w:tr>
        <w:trPr>
          <w:trHeight w:val="256"/>
        </w:trPr>
        <w:tc>
          <w:tcPr>
            <w:tcW w:w="88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(67,910)</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(6,506)</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59,124</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31,108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182,682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179,394</w:t>
            </w:r>
          </w:p>
        </w:tc>
        <w:tc>
          <w:tcPr>
            <w:tcW w:w="0" w:type="dxa"/>
            <w:vAlign w:val="bottom"/>
          </w:tcPr>
          <w:p>
            <w:pPr>
              <w:spacing w:after="0"/>
              <w:rPr>
                <w:sz w:val="1"/>
                <w:szCs w:val="1"/>
                <w:color w:val="auto"/>
              </w:rPr>
            </w:pPr>
          </w:p>
        </w:tc>
      </w:tr>
      <w:tr>
        <w:trPr>
          <w:trHeight w:val="258"/>
        </w:trPr>
        <w:tc>
          <w:tcPr>
            <w:tcW w:w="8800" w:type="dxa"/>
            <w:vAlign w:val="bottom"/>
          </w:tcPr>
          <w:p>
            <w:pPr>
              <w:ind w:left="280"/>
              <w:spacing w:after="0"/>
              <w:rPr>
                <w:sz w:val="20"/>
                <w:szCs w:val="20"/>
                <w:color w:val="auto"/>
              </w:rPr>
            </w:pPr>
            <w:r>
              <w:rPr>
                <w:rFonts w:ascii="Arial" w:cs="Arial" w:eastAsia="Arial" w:hAnsi="Arial"/>
                <w:sz w:val="14"/>
                <w:szCs w:val="14"/>
                <w:color w:val="auto"/>
              </w:rPr>
              <w:t>Dividend reinvestment acquisition of additional ownership in unconsolidated affiliate</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817"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82,714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15,207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97,921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97,921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65,878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156,795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183,633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183,633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62,615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105,555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105,555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63,593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74,246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23,815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June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273,125</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46,547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319,672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319,672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177,480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24,503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201,983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201,983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485,920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565,885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565,885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204,840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32,195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282,571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327,417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327,417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194,499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226,352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226,352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41,305</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80,653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12,850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96,266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35,627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79,826</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14,187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94,014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94,014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8,078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62,473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145,178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170,150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170,150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85,747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100,394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73,172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20,178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 June 30, 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266,560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311,941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311,941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33,631</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169,630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193,197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193,197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468,588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545,920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545,920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277,267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321,369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321,369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187,518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28,961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221,446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221,446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50,085</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78,653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90,253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(70,525)</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42"/>
        </w:trPr>
        <w:tc>
          <w:tcPr>
            <w:tcW w:w="3780" w:type="dxa"/>
            <w:vAlign w:val="bottom"/>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2017</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18"/>
              <w:spacing w:after="0"/>
              <w:rPr>
                <w:sz w:val="20"/>
                <w:szCs w:val="20"/>
                <w:color w:val="auto"/>
              </w:rPr>
            </w:pPr>
            <w:r>
              <w:rPr>
                <w:rFonts w:ascii="Arial" w:cs="Arial" w:eastAsia="Arial" w:hAnsi="Arial"/>
                <w:sz w:val="14"/>
                <w:szCs w:val="14"/>
                <w:b w:val="1"/>
                <w:bCs w:val="1"/>
                <w:color w:val="auto"/>
                <w:w w:val="92"/>
              </w:rPr>
              <w:t>Company-owned Stores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4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2017</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As of June 30,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14"/>
                <w:szCs w:val="14"/>
                <w:b w:val="1"/>
                <w:bCs w:val="1"/>
                <w:color w:val="auto"/>
                <w:w w:val="93"/>
              </w:rPr>
              <w:t>Three Months Ended June 30, 2016</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14"/>
                <w:szCs w:val="14"/>
                <w:b w:val="1"/>
                <w:bCs w:val="1"/>
                <w:color w:val="auto"/>
                <w:w w:val="91"/>
              </w:rPr>
              <w:t>Company-owned Stores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2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14"/>
                <w:szCs w:val="14"/>
                <w:b w:val="1"/>
                <w:bCs w:val="1"/>
                <w:color w:val="auto"/>
                <w:w w:val="93"/>
              </w:rPr>
              <w:t>Nine Months Ended June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14"/>
                <w:szCs w:val="14"/>
                <w:b w:val="1"/>
                <w:bCs w:val="1"/>
                <w:color w:val="auto"/>
                <w:w w:val="91"/>
              </w:rPr>
              <w:t>Company-owned Stores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2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22"/>
                <w:szCs w:val="22"/>
                <w:color w:val="auto"/>
              </w:rPr>
            </w:pPr>
          </w:p>
        </w:tc>
        <w:tc>
          <w:tcPr>
            <w:tcW w:w="1220" w:type="dxa"/>
            <w:vAlign w:val="bottom"/>
          </w:tcPr>
          <w:p>
            <w:pPr>
              <w:jc w:val="right"/>
              <w:ind w:right="12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22"/>
                <w:szCs w:val="22"/>
                <w:color w:val="auto"/>
              </w:rPr>
            </w:pPr>
          </w:p>
        </w:tc>
      </w:tr>
      <w:tr>
        <w:trPr>
          <w:trHeight w:val="121"/>
        </w:trPr>
        <w:tc>
          <w:tcPr>
            <w:tcW w:w="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As of September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 of June 30,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786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3"/>
              </w:rPr>
              <w:t>Nine Months Ended June 30, 2016</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78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9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ectPr>
          <w:pgSz w:w="11900" w:h="16838" w:orient="portrait"/>
          <w:cols w:equalWidth="0" w:num="1">
            <w:col w:w="11420"/>
          </w:cols>
          <w:pgMar w:left="240" w:top="585" w:right="23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June 30, 2017 and 2016 was 18.0 to 1 and 18.6 to 1, respectively. The approximate average exchange rate for the three months ended June 30, 2017 and 2016 was 18.6 to 1 and 18.1 to 1, respectively. The approximate average exchange rate for the nine months ended June 30, 2017 and 2016 was 19.6 to 1 and 17.6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w:t>
      </w:r>
    </w:p>
    <w:p>
      <w:pPr>
        <w:spacing w:after="0" w:line="11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information provides reconciliations of certain non-GAAP financial measures presented in this press release to the most directly comparable financial measures calculated and presented in accordance with GAAP as of and for the three and nine months ended June 30, 2017.</w:t>
      </w:r>
    </w:p>
    <w:p>
      <w:pPr>
        <w:sectPr>
          <w:pgSz w:w="11900" w:h="16838" w:orient="portrait"/>
          <w:cols w:equalWidth="0" w:num="1">
            <w:col w:w="11400"/>
          </w:cols>
          <w:pgMar w:left="240" w:top="74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Change</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PLO</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PLO</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net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net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PSC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PSC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operations expenses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operations expenses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net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net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PSC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PSC revenue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204.6</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operations expenses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operations expenses (nine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PLO</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PLO</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PSC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PSC revenue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sales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June 30, 2017)</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(three months ended June 30, 2017)</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535"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PSC revenue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PSC revenue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22"/>
        </w:trPr>
        <w:tc>
          <w:tcPr>
            <w:tcW w:w="8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sales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sales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22"/>
        </w:trPr>
        <w:tc>
          <w:tcPr>
            <w:tcW w:w="8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sales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sales(nine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22"/>
        </w:trPr>
        <w:tc>
          <w:tcPr>
            <w:tcW w:w="8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6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(nine months ended June 30, 2017)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56"/>
        </w:trPr>
        <w:tc>
          <w:tcPr>
            <w:tcW w:w="8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(nine months ended June 30, 2017)</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bl>
    <w:p>
      <w:pPr>
        <w:spacing w:after="0" w:line="1" w:lineRule="exact"/>
        <w:rPr>
          <w:sz w:val="20"/>
          <w:szCs w:val="20"/>
          <w:color w:val="auto"/>
        </w:rPr>
      </w:pPr>
    </w:p>
    <w:sectPr>
      <w:pgSz w:w="11900" w:h="16838" w:orient="portrait"/>
      <w:cols w:equalWidth="0" w:num="1">
        <w:col w:w="11420"/>
      </w:cols>
      <w:pgMar w:left="240" w:top="8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2020-01-17T20:53:08Z</dcterms:created>
  <dcterms:modified xsi:type="dcterms:W3CDTF">2020-01-17T20:53:08Z</dcterms:modified>
</cp:coreProperties>
</file>