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d46550e10vq.htm"/>
        <w:bookmarkStart w:id="1" w:name="ksd46550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QUARTERLY REPORT PURSUANT TO SECTION 13 OR 15(d)</w:t>
        <w:br/>
        <w:t>OF THE 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For the Quarterly Period Ended March 31, 2007</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Commission File No. 000-19424</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948"/>
        <w:gridCol w:w="308"/>
        <w:gridCol w:w="4949"/>
      </w:tblGrid>
      <w:tr>
        <w:trPr/>
        <w:tc>
          <w:tcPr>
            <w:tcW w:w="4948"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rPr/>
            </w:pPr>
            <w:r>
              <w:rPr/>
              <w:t> </w:t>
            </w:r>
          </w:p>
        </w:tc>
      </w:tr>
      <w:tr>
        <w:trPr/>
        <w:tc>
          <w:tcPr>
            <w:tcW w:w="4948" w:type="dxa"/>
            <w:tcBorders/>
            <w:shd w:fill="auto" w:val="clear"/>
          </w:tcPr>
          <w:p>
            <w:pPr>
              <w:pStyle w:val="TableContents"/>
              <w:spacing w:before="0" w:after="283"/>
              <w:jc w:val="center"/>
              <w:rPr/>
            </w:pPr>
            <w:r>
              <w:rPr>
                <w:b/>
              </w:rPr>
              <w:t>Delaware</w:t>
            </w:r>
            <w:r>
              <w:rPr/>
              <w:t xml:space="preserve">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74-2540145</w:t>
            </w:r>
          </w:p>
        </w:tc>
      </w:tr>
      <w:tr>
        <w:trPr/>
        <w:tc>
          <w:tcPr>
            <w:tcW w:w="4948" w:type="dxa"/>
            <w:tcBorders/>
            <w:shd w:fill="auto" w:val="clear"/>
          </w:tcPr>
          <w:p>
            <w:pPr>
              <w:pStyle w:val="TableContents"/>
              <w:spacing w:before="0" w:after="283"/>
              <w:jc w:val="center"/>
              <w:rPr/>
            </w:pPr>
            <w:r>
              <w:rPr/>
              <w:t xml:space="preserve">(State or other jurisdiction of incorporation or organization)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1901 Capital Parkway</w:t>
        <w:br/>
        <w:t>Austin, Texas 78746</w:t>
      </w:r>
      <w:r>
        <w:rPr>
          <w:rFonts w:ascii="Times New Roman;Times;serif" w:hAnsi="Times New Roman;Times;serif"/>
          <w:sz w:val="17"/>
        </w:rPr>
        <w:br/>
        <w:t>(Address of principal executive offices)</w:t>
        <w:br/>
        <w:t xml:space="preserve">Registrants telephone number: </w:t>
      </w:r>
      <w:r>
        <w:rPr>
          <w:rFonts w:ascii="Times New Roman;Times;serif" w:hAnsi="Times New Roman;Times;serif"/>
          <w:b/>
          <w:sz w:val="17"/>
        </w:rPr>
        <w:t>(512) 314-3400</w:t>
      </w:r>
    </w:p>
    <w:p>
      <w:pPr>
        <w:pStyle w:val="TextBody"/>
        <w:spacing w:before="320" w:after="283"/>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large accelerated filer, an accelerated filer, or a non-accelerated filer. See definition of accelerated filer and large accelerated filer in Rule 12b-2 of the Exchange Act. (Check one):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Large accelerated filer </w:t>
      </w:r>
      <w:r>
        <w:rPr>
          <w:rFonts w:ascii="Wingdings" w:hAnsi="Wingdings"/>
          <w:sz w:val="17"/>
        </w:rPr>
        <w:t>o</w:t>
      </w:r>
      <w:r>
        <w:rPr>
          <w:rFonts w:ascii="Times New Roman;Times;serif" w:hAnsi="Times New Roman;Times;serif"/>
          <w:sz w:val="17"/>
        </w:rPr>
        <w:t>     Accelerated filer ☑     Non-accelerated filer </w:t>
      </w:r>
      <w:r>
        <w:rPr>
          <w:rFonts w:ascii="Wingdings" w:hAnsi="Wingdings"/>
          <w:sz w:val="17"/>
        </w:rPr>
        <w:t>o</w:t>
      </w:r>
    </w:p>
    <w:p>
      <w:pPr>
        <w:pStyle w:val="TextBody"/>
        <w:spacing w:before="120" w:after="283"/>
        <w:jc w:val="left"/>
        <w:rPr>
          <w:rFonts w:ascii="Times New Roman;Times;serif" w:hAnsi="Times New Roman;Times;serif"/>
          <w:sz w:val="17"/>
        </w:rPr>
      </w:pPr>
      <w:r>
        <w:rPr>
          <w:rFonts w:ascii="Times New Roman;Times;serif" w:hAnsi="Times New Roman;Times;serif"/>
          <w:sz w:val="17"/>
        </w:rPr>
        <w:t>Indicate by check mark whether the registrant is a shell company (as defined in Rule 12b-2 of the Exchange Act). Yes </w:t>
      </w:r>
      <w:r>
        <w:rPr>
          <w:rFonts w:ascii="Wingdings" w:hAnsi="Wingdings"/>
          <w:sz w:val="17"/>
        </w:rPr>
        <w:t>o</w:t>
      </w:r>
      <w:r>
        <w:rPr>
          <w:rFonts w:ascii="Times New Roman;Times;serif" w:hAnsi="Times New Roman;Times;serif"/>
          <w:sz w:val="17"/>
        </w:rPr>
        <w:t xml:space="preserve">     No ☑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APPLICABLE ONLY TO CORPORATE ISSUERS:</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only class of voting securities of the registrant issued and outstanding is the Class B Voting Common Stock, par value $.01 per share, all of which is owned by one record holder who is an affiliate of the registrant. There is no trading market for the Class B Voting Common Stock.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March 31, 2007, 38,277,642 shares of the registrants Class A Non-voting Common Stock, par value $.01 per share and 2,970,171 shares of the registrants Class B Voting Common Stock, par value $.01 per share were outstanding.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bookmarkStart w:id="2" w:name="tocpage"/>
      <w:bookmarkEnd w:id="2"/>
      <w:r>
        <w:rPr>
          <w:rFonts w:ascii="Times New Roman;Times;serif" w:hAnsi="Times New Roman;Times;serif"/>
          <w:b/>
          <w:sz w:val="17"/>
        </w:rPr>
        <w:t>EZCORP, INC.</w:t>
        <w:br/>
        <w:t>INDEX TO FORM 10-Q</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961"/>
        <w:gridCol w:w="509"/>
        <w:gridCol w:w="101"/>
        <w:gridCol w:w="509"/>
        <w:gridCol w:w="101"/>
        <w:gridCol w:w="24"/>
      </w:tblGrid>
      <w:tr>
        <w:trPr/>
        <w:tc>
          <w:tcPr>
            <w:tcW w:w="896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610" w:type="dxa"/>
            <w:gridSpan w:val="2"/>
            <w:tcBorders>
              <w:bottom w:val="single" w:sz="2" w:space="0" w:color="000000"/>
            </w:tcBorders>
            <w:shd w:fill="auto" w:val="clear"/>
            <w:tcMar>
              <w:bottom w:w="28" w:type="dxa"/>
            </w:tcMar>
            <w:vAlign w:val="bottom"/>
          </w:tcPr>
          <w:p>
            <w:pPr>
              <w:pStyle w:val="TableContents"/>
              <w:spacing w:before="0" w:after="283"/>
              <w:jc w:val="center"/>
              <w:rPr/>
            </w:pPr>
            <w:r>
              <w:rPr/>
              <w:t>Page</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hyperlink w:anchor="300">
              <w:r>
                <w:rPr>
                  <w:rStyle w:val="InternetLink"/>
                </w:rPr>
                <w:t>PART I. FINANCIAL INFORMATION</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0"/>
              <w:rPr/>
            </w:pPr>
            <w:hyperlink w:anchor="301">
              <w:r>
                <w:rPr>
                  <w:rStyle w:val="InternetLink"/>
                  <w:i/>
                </w:rPr>
                <w:t>Item 1. Financial Statements (Unaudited)</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0"/>
              <w:rPr/>
            </w:pPr>
            <w:hyperlink w:anchor="302">
              <w:r>
                <w:rPr>
                  <w:rStyle w:val="InternetLink"/>
                </w:rPr>
                <w:t>Condensed Consolidated Balance Sheets as of March 31, 2007, March 31, 2006 and September 30, 2006</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0"/>
              <w:rPr/>
            </w:pPr>
            <w:hyperlink w:anchor="303">
              <w:r>
                <w:rPr>
                  <w:rStyle w:val="InternetLink"/>
                </w:rPr>
                <w:t>Condensed Consolidated Statements of Operations for the Three Months and Six Months Ended March 31, 2007 and 2006</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0"/>
              <w:rPr/>
            </w:pPr>
            <w:hyperlink w:anchor="304">
              <w:r>
                <w:rPr>
                  <w:rStyle w:val="InternetLink"/>
                </w:rPr>
                <w:t>Condensed Consolidated Statements of Cash Flows for the Six Months Ended March 31, 2007 and 2006</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0"/>
              <w:rPr/>
            </w:pPr>
            <w:hyperlink w:anchor="305">
              <w:r>
                <w:rPr>
                  <w:rStyle w:val="InternetLink"/>
                </w:rPr>
                <w:t>Notes to Interim Condensed Consolidated Financial Statements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4</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0"/>
              <w:rPr/>
            </w:pPr>
            <w:hyperlink w:anchor="306">
              <w:r>
                <w:rPr>
                  <w:rStyle w:val="InternetLink"/>
                  <w:i/>
                </w:rPr>
                <w:t>Item 2. Managements Discussion and Analysis of Financial Condition and Results of Operations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13</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0"/>
              <w:rPr/>
            </w:pPr>
            <w:hyperlink w:anchor="307">
              <w:r>
                <w:rPr>
                  <w:rStyle w:val="InternetLink"/>
                  <w:i/>
                </w:rPr>
                <w:t>Item 3. Quantitative and Qualitative Disclosures about Market Risk</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27</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0"/>
              <w:rPr/>
            </w:pPr>
            <w:hyperlink w:anchor="308">
              <w:r>
                <w:rPr>
                  <w:rStyle w:val="InternetLink"/>
                  <w:i/>
                </w:rPr>
                <w:t>Item 4. Controls and Procedures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28</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hyperlink w:anchor="309">
              <w:r>
                <w:rPr>
                  <w:rStyle w:val="InternetLink"/>
                </w:rPr>
                <w:t>PART II. OTHER INFORMATION</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0"/>
              <w:rPr/>
            </w:pPr>
            <w:hyperlink w:anchor="310">
              <w:r>
                <w:rPr>
                  <w:rStyle w:val="InternetLink"/>
                  <w:i/>
                </w:rPr>
                <w:t>Item 1. Legal Proceedings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29</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0"/>
              <w:rPr/>
            </w:pPr>
            <w:hyperlink w:anchor="311">
              <w:r>
                <w:rPr>
                  <w:rStyle w:val="InternetLink"/>
                  <w:i/>
                </w:rPr>
                <w:t>Item 1A. Risk Factors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29</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0"/>
              <w:rPr/>
            </w:pPr>
            <w:hyperlink w:anchor="312">
              <w:r>
                <w:rPr>
                  <w:rStyle w:val="InternetLink"/>
                  <w:i/>
                </w:rPr>
                <w:t>Item 6. Exhibits</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29</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hyperlink w:anchor="313">
              <w:r>
                <w:rPr>
                  <w:rStyle w:val="InternetLink"/>
                </w:rPr>
                <w:t>SIGNATURE</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30</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hyperlink w:anchor="314">
              <w:r>
                <w:rPr>
                  <w:rStyle w:val="InternetLink"/>
                </w:rPr>
                <w:t>EXHIBIT INDEX</w:t>
              </w:r>
            </w:hyperlink>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31</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0" w:right="0" w:hanging="0"/>
              <w:rPr/>
            </w:pPr>
            <w:r>
              <w:rPr/>
              <w:t>CERTIFICATIONS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hyperlink w:anchor="d46550exv31w1.htm">
              <w:r>
                <w:rPr>
                  <w:rStyle w:val="InternetLink"/>
                  <w:sz w:val="20"/>
                </w:rPr>
                <w:t>Certification of CEO Pursuant to Section 302</w:t>
              </w:r>
            </w:hyperlink>
          </w:p>
        </w:tc>
      </w:tr>
      <w:tr>
        <w:trPr/>
        <w:tc>
          <w:tcPr>
            <w:tcW w:w="10205" w:type="dxa"/>
            <w:gridSpan w:val="6"/>
            <w:tcBorders/>
            <w:shd w:fill="auto" w:val="clear"/>
            <w:vAlign w:val="center"/>
          </w:tcPr>
          <w:p>
            <w:pPr>
              <w:pStyle w:val="TableContents"/>
              <w:spacing w:before="0" w:after="283"/>
              <w:rPr/>
            </w:pPr>
            <w:r>
              <w:rPr/>
              <w:t> </w:t>
            </w:r>
            <w:hyperlink w:anchor="d46550exv31w2.htm">
              <w:r>
                <w:rPr>
                  <w:rStyle w:val="InternetLink"/>
                  <w:sz w:val="20"/>
                </w:rPr>
                <w:t>Certification of CFO Pursuant to Section 302</w:t>
              </w:r>
            </w:hyperlink>
          </w:p>
        </w:tc>
      </w:tr>
      <w:tr>
        <w:trPr/>
        <w:tc>
          <w:tcPr>
            <w:tcW w:w="10205" w:type="dxa"/>
            <w:gridSpan w:val="6"/>
            <w:tcBorders/>
            <w:shd w:fill="auto" w:val="clear"/>
            <w:vAlign w:val="center"/>
          </w:tcPr>
          <w:p>
            <w:pPr>
              <w:pStyle w:val="TableContents"/>
              <w:spacing w:before="0" w:after="283"/>
              <w:rPr/>
            </w:pPr>
            <w:r>
              <w:rPr/>
              <w:t> </w:t>
            </w:r>
            <w:hyperlink w:anchor="d46550exv32w1.htm">
              <w:r>
                <w:rPr>
                  <w:rStyle w:val="InternetLink"/>
                  <w:sz w:val="20"/>
                </w:rPr>
                <w:t>Certification of CEO Pursuant to Section 906</w:t>
              </w:r>
            </w:hyperlink>
          </w:p>
        </w:tc>
      </w:tr>
      <w:tr>
        <w:trPr/>
        <w:tc>
          <w:tcPr>
            <w:tcW w:w="10205" w:type="dxa"/>
            <w:gridSpan w:val="6"/>
            <w:tcBorders/>
            <w:shd w:fill="auto" w:val="clear"/>
            <w:vAlign w:val="center"/>
          </w:tcPr>
          <w:p>
            <w:pPr>
              <w:pStyle w:val="TableContents"/>
              <w:spacing w:before="0" w:after="283"/>
              <w:rPr/>
            </w:pPr>
            <w:r>
              <w:rPr/>
              <w:t> </w:t>
            </w:r>
            <w:hyperlink w:anchor="d46550exv32w2.htm">
              <w:r>
                <w:rPr>
                  <w:rStyle w:val="InternetLink"/>
                  <w:sz w:val="20"/>
                </w:rPr>
                <w:t>Certification of CFO Pursuant to Section 906</w:t>
              </w:r>
            </w:hyperlink>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3" w:name="300"/>
      <w:bookmarkEnd w:id="3"/>
      <w:r>
        <w:rPr>
          <w:rFonts w:ascii="Times New Roman;Times;serif" w:hAnsi="Times New Roman;Times;serif"/>
          <w:b/>
          <w:sz w:val="17"/>
        </w:rPr>
        <w:t>PART I</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4" w:name="301"/>
      <w:bookmarkEnd w:id="4"/>
      <w:r>
        <w:rPr>
          <w:rFonts w:ascii="Times New Roman;Times;serif" w:hAnsi="Times New Roman;Times;serif"/>
          <w:b/>
          <w:i/>
          <w:sz w:val="17"/>
        </w:rPr>
        <w:t>Item 1. Financial Statements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bookmarkStart w:id="5" w:name="302"/>
      <w:bookmarkEnd w:id="5"/>
      <w:r>
        <w:rPr>
          <w:rFonts w:ascii="Times New Roman;Times;serif" w:hAnsi="Times New Roman;Times;serif"/>
          <w:sz w:val="17"/>
        </w:rPr>
        <w:t xml:space="preserve">Condensed Consolidated Balance Sheets </w:t>
      </w:r>
    </w:p>
    <w:tbl>
      <w:tblPr>
        <w:tblW w:w="5000" w:type="pct"/>
        <w:jc w:val="center"/>
        <w:tblInd w:w="0" w:type="dxa"/>
        <w:tblCellMar>
          <w:top w:w="0" w:type="dxa"/>
          <w:left w:w="0" w:type="dxa"/>
          <w:bottom w:w="0" w:type="dxa"/>
          <w:right w:w="0" w:type="dxa"/>
        </w:tblCellMar>
      </w:tblPr>
      <w:tblGrid>
        <w:gridCol w:w="4842"/>
        <w:gridCol w:w="351"/>
        <w:gridCol w:w="191"/>
        <w:gridCol w:w="1058"/>
        <w:gridCol w:w="132"/>
        <w:gridCol w:w="351"/>
        <w:gridCol w:w="191"/>
        <w:gridCol w:w="1058"/>
        <w:gridCol w:w="132"/>
        <w:gridCol w:w="351"/>
        <w:gridCol w:w="215"/>
        <w:gridCol w:w="1191"/>
        <w:gridCol w:w="142"/>
      </w:tblGrid>
      <w:tr>
        <w:trPr/>
        <w:tc>
          <w:tcPr>
            <w:tcW w:w="484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jc w:val="center"/>
              <w:rPr/>
            </w:pPr>
            <w:r>
              <w:rPr/>
              <w:t>March 31,</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jc w:val="center"/>
              <w:rPr/>
            </w:pPr>
            <w:r>
              <w:rPr/>
              <w:t>March 31,</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283"/>
              <w:jc w:val="center"/>
              <w:rPr/>
            </w:pPr>
            <w:r>
              <w:rPr/>
              <w:t> </w:t>
            </w:r>
          </w:p>
        </w:tc>
        <w:tc>
          <w:tcPr>
            <w:tcW w:w="142" w:type="dxa"/>
            <w:tcBorders/>
            <w:shd w:fill="auto"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jc w:val="center"/>
              <w:rPr/>
            </w:pPr>
            <w:r>
              <w:rPr/>
              <w:t>2007</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jc w:val="center"/>
              <w:rPr/>
            </w:pPr>
            <w:r>
              <w:rPr/>
              <w:t>2006</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283"/>
              <w:jc w:val="center"/>
              <w:rPr/>
            </w:pPr>
            <w:r>
              <w:rPr/>
              <w:t>September 30,</w:t>
            </w:r>
          </w:p>
        </w:tc>
        <w:tc>
          <w:tcPr>
            <w:tcW w:w="142" w:type="dxa"/>
            <w:tcBorders/>
            <w:shd w:fill="auto"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49" w:type="dxa"/>
            <w:gridSpan w:val="2"/>
            <w:tcBorders>
              <w:bottom w:val="single" w:sz="2" w:space="0" w:color="000000"/>
            </w:tcBorders>
            <w:shd w:fill="auto" w:val="clear"/>
            <w:tcMar>
              <w:bottom w:w="28" w:type="dxa"/>
            </w:tcMar>
            <w:vAlign w:val="bottom"/>
          </w:tcPr>
          <w:p>
            <w:pPr>
              <w:pStyle w:val="TableContents"/>
              <w:spacing w:before="0" w:after="283"/>
              <w:jc w:val="center"/>
              <w:rPr>
                <w:i/>
              </w:rPr>
            </w:pPr>
            <w:r>
              <w:rPr>
                <w:i/>
              </w:rPr>
              <w:t>(Unaudited)</w:t>
            </w:r>
          </w:p>
        </w:tc>
        <w:tc>
          <w:tcPr>
            <w:tcW w:w="132" w:type="dxa"/>
            <w:tcBorders>
              <w:bottom w:val="single" w:sz="2" w:space="0" w:color="000000"/>
            </w:tcBorders>
            <w:shd w:fill="auto" w:val="clear"/>
            <w:tcMar>
              <w:bottom w:w="28" w:type="dxa"/>
            </w:tcMar>
            <w:vAlign w:val="bottom"/>
          </w:tcPr>
          <w:p>
            <w:pPr>
              <w:pStyle w:val="TableContents"/>
              <w:spacing w:before="0" w:after="283"/>
              <w:rPr/>
            </w:pPr>
            <w:r>
              <w:rPr/>
              <w:t> </w:t>
            </w:r>
          </w:p>
        </w:tc>
        <w:tc>
          <w:tcPr>
            <w:tcW w:w="351" w:type="dxa"/>
            <w:tcBorders>
              <w:bottom w:val="single" w:sz="2" w:space="0" w:color="000000"/>
            </w:tcBorders>
            <w:shd w:fill="auto" w:val="clear"/>
            <w:tcMar>
              <w:bottom w:w="28" w:type="dxa"/>
            </w:tcMar>
            <w:vAlign w:val="bottom"/>
          </w:tcPr>
          <w:p>
            <w:pPr>
              <w:pStyle w:val="TableContents"/>
              <w:spacing w:before="0" w:after="283"/>
              <w:rPr/>
            </w:pPr>
            <w:r>
              <w:rPr/>
              <w:t> </w:t>
            </w:r>
          </w:p>
        </w:tc>
        <w:tc>
          <w:tcPr>
            <w:tcW w:w="1249" w:type="dxa"/>
            <w:gridSpan w:val="2"/>
            <w:tcBorders>
              <w:bottom w:val="single" w:sz="2" w:space="0" w:color="000000"/>
            </w:tcBorders>
            <w:shd w:fill="auto" w:val="clear"/>
            <w:tcMar>
              <w:bottom w:w="28" w:type="dxa"/>
            </w:tcMar>
            <w:vAlign w:val="bottom"/>
          </w:tcPr>
          <w:p>
            <w:pPr>
              <w:pStyle w:val="TableContents"/>
              <w:spacing w:before="0" w:after="283"/>
              <w:jc w:val="center"/>
              <w:rPr>
                <w:i/>
              </w:rPr>
            </w:pPr>
            <w:r>
              <w:rPr>
                <w:i/>
              </w:rPr>
              <w:t>(Unaudited)</w:t>
            </w:r>
          </w:p>
        </w:tc>
        <w:tc>
          <w:tcPr>
            <w:tcW w:w="132" w:type="dxa"/>
            <w:tcBorders>
              <w:bottom w:val="single" w:sz="2" w:space="0" w:color="000000"/>
            </w:tcBorders>
            <w:shd w:fill="auto" w:val="clear"/>
            <w:tcMar>
              <w:bottom w:w="28" w:type="dxa"/>
            </w:tcMar>
            <w:vAlign w:val="bottom"/>
          </w:tcPr>
          <w:p>
            <w:pPr>
              <w:pStyle w:val="TableContents"/>
              <w:spacing w:before="0" w:after="283"/>
              <w:rPr/>
            </w:pPr>
            <w:r>
              <w:rPr/>
              <w:t> </w:t>
            </w:r>
          </w:p>
        </w:tc>
        <w:tc>
          <w:tcPr>
            <w:tcW w:w="351" w:type="dxa"/>
            <w:tcBorders>
              <w:bottom w:val="single" w:sz="2" w:space="0" w:color="000000"/>
            </w:tcBorders>
            <w:shd w:fill="auto" w:val="clear"/>
            <w:tcMar>
              <w:bottom w:w="28" w:type="dxa"/>
            </w:tcMar>
            <w:vAlign w:val="bottom"/>
          </w:tcPr>
          <w:p>
            <w:pPr>
              <w:pStyle w:val="TableContents"/>
              <w:spacing w:before="0" w:after="283"/>
              <w:rPr/>
            </w:pPr>
            <w:r>
              <w:rPr/>
              <w:t> </w:t>
            </w:r>
          </w:p>
        </w:tc>
        <w:tc>
          <w:tcPr>
            <w:tcW w:w="140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42" w:type="dxa"/>
            <w:tcBorders/>
            <w:shd w:fill="auto"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4870" w:type="dxa"/>
            <w:gridSpan w:val="10"/>
            <w:tcBorders/>
            <w:shd w:fill="auto" w:val="clear"/>
            <w:vAlign w:val="bottom"/>
          </w:tcPr>
          <w:p>
            <w:pPr>
              <w:pStyle w:val="TableContents"/>
              <w:spacing w:before="0" w:after="283"/>
              <w:jc w:val="center"/>
              <w:rPr>
                <w:i/>
              </w:rPr>
            </w:pPr>
            <w:r>
              <w:rPr>
                <w:i/>
              </w:rPr>
              <w:t>(In thousands)</w:t>
            </w:r>
          </w:p>
        </w:tc>
        <w:tc>
          <w:tcPr>
            <w:tcW w:w="142"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225" w:right="0" w:hanging="225"/>
              <w:rPr/>
            </w:pPr>
            <w:r>
              <w:rPr/>
              <w:t>Assets:</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450" w:right="0" w:hanging="225"/>
              <w:rPr/>
            </w:pPr>
            <w:r>
              <w:rPr/>
              <w:t>Current assets:</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Cash and cash equivalents</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1058" w:type="dxa"/>
            <w:tcBorders/>
            <w:shd w:fill="CCEEFF" w:val="clear"/>
            <w:vAlign w:val="bottom"/>
          </w:tcPr>
          <w:p>
            <w:pPr>
              <w:pStyle w:val="TableContents"/>
              <w:spacing w:before="0" w:after="283"/>
              <w:jc w:val="right"/>
              <w:rPr/>
            </w:pPr>
            <w:r>
              <w:rPr/>
              <w:t>61,605</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1058" w:type="dxa"/>
            <w:tcBorders/>
            <w:shd w:fill="CCEEFF" w:val="clear"/>
            <w:vAlign w:val="bottom"/>
          </w:tcPr>
          <w:p>
            <w:pPr>
              <w:pStyle w:val="TableContents"/>
              <w:spacing w:before="0" w:after="283"/>
              <w:jc w:val="right"/>
              <w:rPr/>
            </w:pPr>
            <w:r>
              <w:rPr/>
              <w:t>26,041</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91" w:type="dxa"/>
            <w:tcBorders/>
            <w:shd w:fill="CCEEFF" w:val="clear"/>
            <w:vAlign w:val="bottom"/>
          </w:tcPr>
          <w:p>
            <w:pPr>
              <w:pStyle w:val="TableContents"/>
              <w:spacing w:before="0" w:after="283"/>
              <w:jc w:val="right"/>
              <w:rPr/>
            </w:pPr>
            <w:r>
              <w:rPr/>
              <w:t>29,939</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Pawn loans</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43,109</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39,044</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50,304</w:t>
            </w:r>
          </w:p>
        </w:tc>
        <w:tc>
          <w:tcPr>
            <w:tcW w:w="142"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Payday loans, net</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3,314</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1,507</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2,443</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Pawn service charges receivable, net</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6,986</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6,598</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8,234</w:t>
            </w:r>
          </w:p>
        </w:tc>
        <w:tc>
          <w:tcPr>
            <w:tcW w:w="142"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Credit service fees receivable, net</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3,718</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2,663</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3,954</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Payday loan fees receivable, net</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616</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250</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426</w:t>
            </w:r>
          </w:p>
        </w:tc>
        <w:tc>
          <w:tcPr>
            <w:tcW w:w="142"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Inventory, net</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28,649</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30,764</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35,616</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Deferred tax asset</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7,150</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10,629</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7,150</w:t>
            </w:r>
          </w:p>
        </w:tc>
        <w:tc>
          <w:tcPr>
            <w:tcW w:w="142"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Federal income taxes receivable</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35</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Prepaid expenses and other assets</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5,373</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4,014</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3,907</w:t>
            </w:r>
          </w:p>
        </w:tc>
        <w:tc>
          <w:tcPr>
            <w:tcW w:w="142" w:type="dxa"/>
            <w:tcBorders/>
            <w:shd w:fill="auto" w:val="clear"/>
            <w:vAlign w:val="bottom"/>
          </w:tcPr>
          <w:p>
            <w:pPr>
              <w:pStyle w:val="TableContents"/>
              <w:spacing w:before="0" w:after="283"/>
              <w:rPr/>
            </w:pPr>
            <w:r>
              <w:rPr/>
              <w:t> </w:t>
            </w:r>
          </w:p>
        </w:tc>
      </w:tr>
      <w:tr>
        <w:trPr/>
        <w:tc>
          <w:tcPr>
            <w:tcW w:w="4842"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900" w:right="0" w:hanging="225"/>
              <w:rPr/>
            </w:pPr>
            <w:r>
              <w:rPr/>
              <w:t>Total current assets</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160,520</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121,510</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142,008</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225" w:right="0" w:hanging="225"/>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450" w:right="0" w:hanging="225"/>
              <w:rPr/>
            </w:pPr>
            <w:r>
              <w:rPr/>
              <w:t>Investment in unconsolidated affiliate</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20,955</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17,614</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19,275</w:t>
            </w:r>
          </w:p>
        </w:tc>
        <w:tc>
          <w:tcPr>
            <w:tcW w:w="142"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450" w:right="0" w:hanging="225"/>
              <w:rPr/>
            </w:pPr>
            <w:r>
              <w:rPr/>
              <w:t>Property and equipment, net</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30,967</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27,124</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29,447</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450" w:right="0" w:hanging="225"/>
              <w:rPr/>
            </w:pPr>
            <w:r>
              <w:rPr/>
              <w:t>Deferred tax asset, non-current</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4,249</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4,012</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3,749</w:t>
            </w:r>
          </w:p>
        </w:tc>
        <w:tc>
          <w:tcPr>
            <w:tcW w:w="142"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450" w:right="0" w:hanging="225"/>
              <w:rPr/>
            </w:pPr>
            <w:r>
              <w:rPr/>
              <w:t>Other assets, net</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3,720</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3,471</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3,379</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842" w:type="dxa"/>
            <w:tcBorders/>
            <w:shd w:fill="auto" w:val="clear"/>
            <w:vAlign w:val="bottom"/>
          </w:tcPr>
          <w:p>
            <w:pPr>
              <w:pStyle w:val="TableContents"/>
              <w:spacing w:before="0" w:after="0"/>
              <w:ind w:left="450" w:right="0" w:hanging="225"/>
              <w:rPr/>
            </w:pPr>
            <w:r>
              <w:rPr/>
              <w:t>Total assets</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1058" w:type="dxa"/>
            <w:tcBorders/>
            <w:shd w:fill="auto" w:val="clear"/>
            <w:vAlign w:val="bottom"/>
          </w:tcPr>
          <w:p>
            <w:pPr>
              <w:pStyle w:val="TableContents"/>
              <w:spacing w:before="0" w:after="283"/>
              <w:jc w:val="right"/>
              <w:rPr/>
            </w:pPr>
            <w:r>
              <w:rPr/>
              <w:t>220,411</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1058" w:type="dxa"/>
            <w:tcBorders/>
            <w:shd w:fill="auto" w:val="clear"/>
            <w:vAlign w:val="bottom"/>
          </w:tcPr>
          <w:p>
            <w:pPr>
              <w:pStyle w:val="TableContents"/>
              <w:spacing w:before="0" w:after="283"/>
              <w:jc w:val="right"/>
              <w:rPr/>
            </w:pPr>
            <w:r>
              <w:rPr/>
              <w:t>173,731</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91" w:type="dxa"/>
            <w:tcBorders/>
            <w:shd w:fill="auto" w:val="clear"/>
            <w:vAlign w:val="bottom"/>
          </w:tcPr>
          <w:p>
            <w:pPr>
              <w:pStyle w:val="TableContents"/>
              <w:spacing w:before="0" w:after="283"/>
              <w:jc w:val="right"/>
              <w:rPr/>
            </w:pPr>
            <w:r>
              <w:rPr/>
              <w:t>197,858</w:t>
            </w:r>
          </w:p>
        </w:tc>
        <w:tc>
          <w:tcPr>
            <w:tcW w:w="142" w:type="dxa"/>
            <w:tcBorders/>
            <w:shd w:fill="auto" w:val="clear"/>
            <w:vAlign w:val="bottom"/>
          </w:tcPr>
          <w:p>
            <w:pPr>
              <w:pStyle w:val="TableContents"/>
              <w:spacing w:before="0" w:after="283"/>
              <w:rPr/>
            </w:pPr>
            <w:r>
              <w:rPr/>
              <w:t> </w:t>
            </w:r>
          </w:p>
        </w:tc>
      </w:tr>
      <w:tr>
        <w:trPr/>
        <w:tc>
          <w:tcPr>
            <w:tcW w:w="4842"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842" w:type="dxa"/>
            <w:tcBorders/>
            <w:shd w:fill="auto" w:val="clear"/>
            <w:vAlign w:val="bottom"/>
          </w:tcPr>
          <w:p>
            <w:pPr>
              <w:pStyle w:val="TableContents"/>
              <w:spacing w:before="0" w:after="0"/>
              <w:ind w:left="225" w:right="0" w:hanging="225"/>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225" w:right="0" w:hanging="225"/>
              <w:rPr/>
            </w:pPr>
            <w:r>
              <w:rPr/>
              <w:t>Liabilities and stockholders equity:</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450" w:right="0" w:hanging="225"/>
              <w:rPr/>
            </w:pPr>
            <w:r>
              <w:rPr/>
              <w:t>Current liabilities:</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Accounts payable and other accrued expenses</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1058" w:type="dxa"/>
            <w:tcBorders/>
            <w:shd w:fill="CCEEFF" w:val="clear"/>
            <w:vAlign w:val="bottom"/>
          </w:tcPr>
          <w:p>
            <w:pPr>
              <w:pStyle w:val="TableContents"/>
              <w:spacing w:before="0" w:after="283"/>
              <w:jc w:val="right"/>
              <w:rPr/>
            </w:pPr>
            <w:r>
              <w:rPr/>
              <w:t>18,594</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1058" w:type="dxa"/>
            <w:tcBorders/>
            <w:shd w:fill="CCEEFF" w:val="clear"/>
            <w:vAlign w:val="bottom"/>
          </w:tcPr>
          <w:p>
            <w:pPr>
              <w:pStyle w:val="TableContents"/>
              <w:spacing w:before="0" w:after="283"/>
              <w:jc w:val="right"/>
              <w:rPr/>
            </w:pPr>
            <w:r>
              <w:rPr/>
              <w:t>16,576</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91" w:type="dxa"/>
            <w:tcBorders/>
            <w:shd w:fill="CCEEFF" w:val="clear"/>
            <w:vAlign w:val="bottom"/>
          </w:tcPr>
          <w:p>
            <w:pPr>
              <w:pStyle w:val="TableContents"/>
              <w:spacing w:before="0" w:after="283"/>
              <w:jc w:val="right"/>
              <w:rPr/>
            </w:pPr>
            <w:r>
              <w:rPr/>
              <w:t>22,579</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Customer layaway deposits</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2,168</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2,147</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1,890</w:t>
            </w:r>
          </w:p>
        </w:tc>
        <w:tc>
          <w:tcPr>
            <w:tcW w:w="142"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Federal income taxes payable</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1,104</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1,035</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842" w:type="dxa"/>
            <w:tcBorders/>
            <w:shd w:fill="auto" w:val="clear"/>
            <w:vAlign w:val="bottom"/>
          </w:tcPr>
          <w:p>
            <w:pPr>
              <w:pStyle w:val="TableContents"/>
              <w:spacing w:before="0" w:after="0"/>
              <w:ind w:left="900" w:right="0" w:hanging="225"/>
              <w:rPr/>
            </w:pPr>
            <w:r>
              <w:rPr/>
              <w:t>Total current liabilities</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21,866</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19,758</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24,469</w:t>
            </w:r>
          </w:p>
        </w:tc>
        <w:tc>
          <w:tcPr>
            <w:tcW w:w="142" w:type="dxa"/>
            <w:tcBorders/>
            <w:shd w:fill="auto"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225" w:right="0" w:hanging="225"/>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450" w:right="0" w:hanging="225"/>
              <w:rPr/>
            </w:pPr>
            <w:r>
              <w:rPr/>
              <w:t>Deferred gains and other long-term liabilities</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3,067</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3,430</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3,249</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450" w:right="0" w:hanging="225"/>
              <w:rPr/>
            </w:pPr>
            <w:r>
              <w:rPr/>
              <w:t>Commitments and contingencies Stockholders equity:</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Preferred Stock, par value $.01 per share; Authorized 5 million shares; none issued and outstanding</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Class A Non-voting Common Stock, par value $.01 per share; Authorized 50 million shares; 38,304,741 issued and 38,277,642 outstanding at March 31, 2007; 36,626,154 issued and 36,599,055 outstanding at March 31, 2006; 37,542,240 issued and 37,515,141 outstanding at September 30, 2006</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383</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363</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375</w:t>
            </w:r>
          </w:p>
        </w:tc>
        <w:tc>
          <w:tcPr>
            <w:tcW w:w="142"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Class B Voting Common Stock, convertible, par value $.01 per share; 3 million shares authorized; 2,970,171 issued and outstanding</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30</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30</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30</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Additional paid-in capital</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128,916</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120,547</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124,572</w:t>
            </w:r>
          </w:p>
        </w:tc>
        <w:tc>
          <w:tcPr>
            <w:tcW w:w="142"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Retained earnings</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63,930</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29,197</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43,973</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842" w:type="dxa"/>
            <w:tcBorders/>
            <w:shd w:fill="auto" w:val="clear"/>
            <w:vAlign w:val="bottom"/>
          </w:tcPr>
          <w:p>
            <w:pPr>
              <w:pStyle w:val="TableContents"/>
              <w:spacing w:before="0" w:after="0"/>
              <w:ind w:left="225" w:right="0" w:hanging="225"/>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193,259</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150,137</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168,950</w:t>
            </w:r>
          </w:p>
        </w:tc>
        <w:tc>
          <w:tcPr>
            <w:tcW w:w="142"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Treasury stock, at cost (27,099 shares)</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(35</w:t>
            </w:r>
          </w:p>
        </w:tc>
        <w:tc>
          <w:tcPr>
            <w:tcW w:w="132" w:type="dxa"/>
            <w:tcBorders/>
            <w:shd w:fill="CCEEFF" w:val="clear"/>
            <w:vAlign w:val="bottom"/>
          </w:tcPr>
          <w:p>
            <w:pPr>
              <w:pStyle w:val="TableContents"/>
              <w:spacing w:before="0" w:after="283"/>
              <w:rPr/>
            </w:pPr>
            <w:r>
              <w:rPr/>
              <w:t>)</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(35</w:t>
            </w:r>
          </w:p>
        </w:tc>
        <w:tc>
          <w:tcPr>
            <w:tcW w:w="132" w:type="dxa"/>
            <w:tcBorders/>
            <w:shd w:fill="CCEEFF" w:val="clear"/>
            <w:vAlign w:val="bottom"/>
          </w:tcPr>
          <w:p>
            <w:pPr>
              <w:pStyle w:val="TableContents"/>
              <w:spacing w:before="0" w:after="283"/>
              <w:rPr/>
            </w:pPr>
            <w:r>
              <w:rPr/>
              <w:t>)</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191" w:type="dxa"/>
            <w:tcBorders/>
            <w:shd w:fill="CCEEFF" w:val="clear"/>
            <w:vAlign w:val="bottom"/>
          </w:tcPr>
          <w:p>
            <w:pPr>
              <w:pStyle w:val="TableContents"/>
              <w:spacing w:before="0" w:after="283"/>
              <w:jc w:val="right"/>
              <w:rPr/>
            </w:pPr>
            <w:r>
              <w:rPr/>
              <w:t>(35</w:t>
            </w:r>
          </w:p>
        </w:tc>
        <w:tc>
          <w:tcPr>
            <w:tcW w:w="142" w:type="dxa"/>
            <w:tcBorders/>
            <w:shd w:fill="CCEEFF" w:val="clear"/>
            <w:vAlign w:val="bottom"/>
          </w:tcPr>
          <w:p>
            <w:pPr>
              <w:pStyle w:val="TableContents"/>
              <w:spacing w:before="0" w:after="283"/>
              <w:rPr/>
            </w:pPr>
            <w:r>
              <w:rPr/>
              <w:t>)</w:t>
            </w:r>
          </w:p>
        </w:tc>
      </w:tr>
      <w:tr>
        <w:trPr/>
        <w:tc>
          <w:tcPr>
            <w:tcW w:w="4842" w:type="dxa"/>
            <w:tcBorders/>
            <w:shd w:fill="auto" w:val="clear"/>
            <w:vAlign w:val="bottom"/>
          </w:tcPr>
          <w:p>
            <w:pPr>
              <w:pStyle w:val="TableContents"/>
              <w:spacing w:before="0" w:after="0"/>
              <w:ind w:left="675" w:right="0" w:hanging="225"/>
              <w:rPr/>
            </w:pPr>
            <w:r>
              <w:rPr/>
              <w:t>Accumulated other comprehensive income</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2,254</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441</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1,225</w:t>
            </w:r>
          </w:p>
        </w:tc>
        <w:tc>
          <w:tcPr>
            <w:tcW w:w="142" w:type="dxa"/>
            <w:tcBorders/>
            <w:shd w:fill="auto" w:val="clear"/>
            <w:vAlign w:val="bottom"/>
          </w:tcPr>
          <w:p>
            <w:pPr>
              <w:pStyle w:val="TableContents"/>
              <w:spacing w:before="0" w:after="283"/>
              <w:rPr/>
            </w:pPr>
            <w:r>
              <w:rPr/>
              <w:t> </w:t>
            </w:r>
          </w:p>
        </w:tc>
      </w:tr>
      <w:tr>
        <w:trPr/>
        <w:tc>
          <w:tcPr>
            <w:tcW w:w="4842"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450" w:right="0" w:hanging="225"/>
              <w:rPr/>
            </w:pPr>
            <w:r>
              <w:rPr/>
              <w:t>Total stockholders equity</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195,478</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150,543</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170,140</w:t>
            </w:r>
          </w:p>
        </w:tc>
        <w:tc>
          <w:tcPr>
            <w:tcW w:w="142" w:type="dxa"/>
            <w:tcBorders/>
            <w:shd w:fill="CCEEFF" w:val="clear"/>
            <w:vAlign w:val="bottom"/>
          </w:tcPr>
          <w:p>
            <w:pPr>
              <w:pStyle w:val="TableContents"/>
              <w:spacing w:before="0" w:after="283"/>
              <w:rPr/>
            </w:pPr>
            <w:r>
              <w:rPr/>
              <w:t> </w:t>
            </w:r>
          </w:p>
        </w:tc>
      </w:tr>
      <w:tr>
        <w:trPr/>
        <w:tc>
          <w:tcPr>
            <w:tcW w:w="4842"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842" w:type="dxa"/>
            <w:tcBorders/>
            <w:shd w:fill="auto" w:val="clear"/>
            <w:vAlign w:val="bottom"/>
          </w:tcPr>
          <w:p>
            <w:pPr>
              <w:pStyle w:val="TableContents"/>
              <w:spacing w:before="0" w:after="0"/>
              <w:ind w:left="450" w:right="0" w:hanging="225"/>
              <w:rPr/>
            </w:pPr>
            <w:r>
              <w:rPr/>
              <w:t>Total liabilities and stockholders equity</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1058" w:type="dxa"/>
            <w:tcBorders/>
            <w:shd w:fill="auto" w:val="clear"/>
            <w:vAlign w:val="bottom"/>
          </w:tcPr>
          <w:p>
            <w:pPr>
              <w:pStyle w:val="TableContents"/>
              <w:spacing w:before="0" w:after="283"/>
              <w:jc w:val="right"/>
              <w:rPr/>
            </w:pPr>
            <w:r>
              <w:rPr/>
              <w:t>220,411</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1058" w:type="dxa"/>
            <w:tcBorders/>
            <w:shd w:fill="auto" w:val="clear"/>
            <w:vAlign w:val="bottom"/>
          </w:tcPr>
          <w:p>
            <w:pPr>
              <w:pStyle w:val="TableContents"/>
              <w:spacing w:before="0" w:after="283"/>
              <w:jc w:val="right"/>
              <w:rPr/>
            </w:pPr>
            <w:r>
              <w:rPr/>
              <w:t>173,731</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91" w:type="dxa"/>
            <w:tcBorders/>
            <w:shd w:fill="auto" w:val="clear"/>
            <w:vAlign w:val="bottom"/>
          </w:tcPr>
          <w:p>
            <w:pPr>
              <w:pStyle w:val="TableContents"/>
              <w:spacing w:before="0" w:after="283"/>
              <w:jc w:val="right"/>
              <w:rPr/>
            </w:pPr>
            <w:r>
              <w:rPr/>
              <w:t>197,858</w:t>
            </w:r>
          </w:p>
        </w:tc>
        <w:tc>
          <w:tcPr>
            <w:tcW w:w="142" w:type="dxa"/>
            <w:tcBorders/>
            <w:shd w:fill="auto" w:val="clear"/>
            <w:vAlign w:val="bottom"/>
          </w:tcPr>
          <w:p>
            <w:pPr>
              <w:pStyle w:val="TableContents"/>
              <w:spacing w:before="0" w:after="283"/>
              <w:rPr/>
            </w:pPr>
            <w:r>
              <w:rPr/>
              <w:t> </w:t>
            </w:r>
          </w:p>
        </w:tc>
      </w:tr>
      <w:tr>
        <w:trPr/>
        <w:tc>
          <w:tcPr>
            <w:tcW w:w="4842"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See Notes to Interim Condensed Consolidated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6" w:name="303"/>
      <w:bookmarkEnd w:id="6"/>
      <w:r>
        <w:rPr>
          <w:rFonts w:ascii="Times New Roman;Times;serif" w:hAnsi="Times New Roman;Times;serif"/>
          <w:sz w:val="17"/>
        </w:rPr>
        <w:t xml:space="preserve">Condensed Consolidated Statements of Operations (Unaudited) </w:t>
      </w:r>
    </w:p>
    <w:tbl>
      <w:tblPr>
        <w:tblW w:w="5000" w:type="pct"/>
        <w:jc w:val="center"/>
        <w:tblInd w:w="0" w:type="dxa"/>
        <w:tblCellMar>
          <w:top w:w="0" w:type="dxa"/>
          <w:left w:w="0" w:type="dxa"/>
          <w:bottom w:w="0" w:type="dxa"/>
          <w:right w:w="0" w:type="dxa"/>
        </w:tblCellMar>
      </w:tblPr>
      <w:tblGrid>
        <w:gridCol w:w="3437"/>
        <w:gridCol w:w="376"/>
        <w:gridCol w:w="102"/>
        <w:gridCol w:w="376"/>
        <w:gridCol w:w="102"/>
        <w:gridCol w:w="376"/>
        <w:gridCol w:w="159"/>
        <w:gridCol w:w="786"/>
        <w:gridCol w:w="130"/>
        <w:gridCol w:w="380"/>
        <w:gridCol w:w="159"/>
        <w:gridCol w:w="787"/>
        <w:gridCol w:w="123"/>
        <w:gridCol w:w="375"/>
        <w:gridCol w:w="149"/>
        <w:gridCol w:w="804"/>
        <w:gridCol w:w="123"/>
        <w:gridCol w:w="376"/>
        <w:gridCol w:w="149"/>
        <w:gridCol w:w="804"/>
        <w:gridCol w:w="132"/>
      </w:tblGrid>
      <w:tr>
        <w:trPr/>
        <w:tc>
          <w:tcPr>
            <w:tcW w:w="3437"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2401" w:type="dxa"/>
            <w:gridSpan w:val="6"/>
            <w:tcBorders/>
            <w:shd w:fill="auto" w:val="clear"/>
            <w:vAlign w:val="bottom"/>
          </w:tcPr>
          <w:p>
            <w:pPr>
              <w:pStyle w:val="TableContents"/>
              <w:spacing w:before="0" w:after="283"/>
              <w:jc w:val="center"/>
              <w:rPr/>
            </w:pPr>
            <w:r>
              <w:rPr/>
              <w:t>Three Months Ended</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405" w:type="dxa"/>
            <w:gridSpan w:val="6"/>
            <w:tcBorders/>
            <w:shd w:fill="auto" w:val="clear"/>
            <w:vAlign w:val="bottom"/>
          </w:tcPr>
          <w:p>
            <w:pPr>
              <w:pStyle w:val="TableContents"/>
              <w:spacing w:before="0" w:after="283"/>
              <w:jc w:val="center"/>
              <w:rPr/>
            </w:pPr>
            <w:r>
              <w:rPr/>
              <w:t>Six Months Ended</w:t>
            </w:r>
          </w:p>
        </w:tc>
        <w:tc>
          <w:tcPr>
            <w:tcW w:w="132" w:type="dxa"/>
            <w:tcBorders/>
            <w:shd w:fill="auto"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2401"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123" w:type="dxa"/>
            <w:tcBorders>
              <w:bottom w:val="single" w:sz="2" w:space="0" w:color="000000"/>
            </w:tcBorders>
            <w:shd w:fill="auto" w:val="clear"/>
            <w:tcMar>
              <w:bottom w:w="28" w:type="dxa"/>
            </w:tcMar>
            <w:vAlign w:val="bottom"/>
          </w:tcPr>
          <w:p>
            <w:pPr>
              <w:pStyle w:val="TableContents"/>
              <w:spacing w:before="0" w:after="283"/>
              <w:rPr/>
            </w:pPr>
            <w:r>
              <w:rPr/>
              <w:t> </w:t>
            </w:r>
          </w:p>
        </w:tc>
        <w:tc>
          <w:tcPr>
            <w:tcW w:w="375" w:type="dxa"/>
            <w:tcBorders>
              <w:bottom w:val="single" w:sz="2" w:space="0" w:color="000000"/>
            </w:tcBorders>
            <w:shd w:fill="auto" w:val="clear"/>
            <w:tcMar>
              <w:bottom w:w="28" w:type="dxa"/>
            </w:tcMar>
            <w:vAlign w:val="bottom"/>
          </w:tcPr>
          <w:p>
            <w:pPr>
              <w:pStyle w:val="TableContents"/>
              <w:spacing w:before="0" w:after="283"/>
              <w:rPr/>
            </w:pPr>
            <w:r>
              <w:rPr/>
              <w:t> </w:t>
            </w:r>
          </w:p>
        </w:tc>
        <w:tc>
          <w:tcPr>
            <w:tcW w:w="2405"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132" w:type="dxa"/>
            <w:tcBorders/>
            <w:shd w:fill="auto"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94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30" w:type="dxa"/>
            <w:tcBorders>
              <w:bottom w:val="single" w:sz="2" w:space="0" w:color="000000"/>
            </w:tcBorders>
            <w:shd w:fill="auto" w:val="clear"/>
            <w:tcMar>
              <w:bottom w:w="28" w:type="dxa"/>
            </w:tcMar>
            <w:vAlign w:val="bottom"/>
          </w:tcPr>
          <w:p>
            <w:pPr>
              <w:pStyle w:val="TableContents"/>
              <w:spacing w:before="0" w:after="283"/>
              <w:rPr/>
            </w:pPr>
            <w:r>
              <w:rPr/>
              <w:t> </w:t>
            </w:r>
          </w:p>
        </w:tc>
        <w:tc>
          <w:tcPr>
            <w:tcW w:w="380" w:type="dxa"/>
            <w:tcBorders>
              <w:bottom w:val="single" w:sz="2" w:space="0" w:color="000000"/>
            </w:tcBorders>
            <w:shd w:fill="auto" w:val="clear"/>
            <w:tcMar>
              <w:bottom w:w="28" w:type="dxa"/>
            </w:tcMar>
            <w:vAlign w:val="bottom"/>
          </w:tcPr>
          <w:p>
            <w:pPr>
              <w:pStyle w:val="TableContents"/>
              <w:spacing w:before="0" w:after="283"/>
              <w:rPr/>
            </w:pPr>
            <w:r>
              <w:rPr/>
              <w:t> </w:t>
            </w:r>
          </w:p>
        </w:tc>
        <w:tc>
          <w:tcPr>
            <w:tcW w:w="94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23" w:type="dxa"/>
            <w:tcBorders>
              <w:bottom w:val="single" w:sz="2" w:space="0" w:color="000000"/>
            </w:tcBorders>
            <w:shd w:fill="auto" w:val="clear"/>
            <w:tcMar>
              <w:bottom w:w="28" w:type="dxa"/>
            </w:tcMar>
            <w:vAlign w:val="bottom"/>
          </w:tcPr>
          <w:p>
            <w:pPr>
              <w:pStyle w:val="TableContents"/>
              <w:spacing w:before="0" w:after="283"/>
              <w:rPr/>
            </w:pPr>
            <w:r>
              <w:rPr/>
              <w:t> </w:t>
            </w:r>
          </w:p>
        </w:tc>
        <w:tc>
          <w:tcPr>
            <w:tcW w:w="375" w:type="dxa"/>
            <w:tcBorders>
              <w:bottom w:val="single" w:sz="2" w:space="0" w:color="000000"/>
            </w:tcBorders>
            <w:shd w:fill="auto" w:val="clear"/>
            <w:tcMar>
              <w:bottom w:w="28" w:type="dxa"/>
            </w:tcMar>
            <w:vAlign w:val="bottom"/>
          </w:tcPr>
          <w:p>
            <w:pPr>
              <w:pStyle w:val="TableContents"/>
              <w:spacing w:before="0" w:after="283"/>
              <w:rPr/>
            </w:pPr>
            <w:r>
              <w:rPr/>
              <w:t> </w:t>
            </w:r>
          </w:p>
        </w:tc>
        <w:tc>
          <w:tcPr>
            <w:tcW w:w="95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23" w:type="dxa"/>
            <w:tcBorders>
              <w:bottom w:val="single" w:sz="2" w:space="0" w:color="000000"/>
            </w:tcBorders>
            <w:shd w:fill="auto" w:val="clear"/>
            <w:tcMar>
              <w:bottom w:w="28" w:type="dxa"/>
            </w:tcMar>
            <w:vAlign w:val="bottom"/>
          </w:tcPr>
          <w:p>
            <w:pPr>
              <w:pStyle w:val="TableContents"/>
              <w:spacing w:before="0" w:after="283"/>
              <w:rPr/>
            </w:pPr>
            <w:r>
              <w:rPr/>
              <w:t> </w:t>
            </w:r>
          </w:p>
        </w:tc>
        <w:tc>
          <w:tcPr>
            <w:tcW w:w="376" w:type="dxa"/>
            <w:tcBorders>
              <w:bottom w:val="single" w:sz="2" w:space="0" w:color="000000"/>
            </w:tcBorders>
            <w:shd w:fill="auto" w:val="clear"/>
            <w:tcMar>
              <w:bottom w:w="28" w:type="dxa"/>
            </w:tcMar>
            <w:vAlign w:val="bottom"/>
          </w:tcPr>
          <w:p>
            <w:pPr>
              <w:pStyle w:val="TableContents"/>
              <w:spacing w:before="0" w:after="283"/>
              <w:rPr/>
            </w:pPr>
            <w:r>
              <w:rPr/>
              <w:t> </w:t>
            </w:r>
          </w:p>
        </w:tc>
        <w:tc>
          <w:tcPr>
            <w:tcW w:w="95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32" w:type="dxa"/>
            <w:tcBorders/>
            <w:shd w:fill="auto"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5304" w:type="dxa"/>
            <w:gridSpan w:val="14"/>
            <w:tcBorders/>
            <w:shd w:fill="auto" w:val="clear"/>
            <w:vAlign w:val="bottom"/>
          </w:tcPr>
          <w:p>
            <w:pPr>
              <w:pStyle w:val="TableContents"/>
              <w:spacing w:before="0" w:after="283"/>
              <w:jc w:val="center"/>
              <w:rPr>
                <w:i/>
              </w:rPr>
            </w:pPr>
            <w:r>
              <w:rPr>
                <w:i/>
              </w:rPr>
              <w:t>(In thousands, except per share amounts)</w:t>
            </w:r>
          </w:p>
        </w:tc>
        <w:tc>
          <w:tcPr>
            <w:tcW w:w="132" w:type="dxa"/>
            <w:tcBorders/>
            <w:shd w:fill="auto" w:val="clear"/>
            <w:vAlign w:val="bottom"/>
          </w:tcPr>
          <w:p>
            <w:pPr>
              <w:pStyle w:val="TableContents"/>
              <w:spacing w:before="0" w:after="283"/>
              <w:rPr/>
            </w:pPr>
            <w:r>
              <w:rPr/>
              <w:t> </w:t>
            </w:r>
          </w:p>
        </w:tc>
      </w:tr>
      <w:tr>
        <w:trPr/>
        <w:tc>
          <w:tcPr>
            <w:tcW w:w="3437" w:type="dxa"/>
            <w:tcBorders/>
            <w:shd w:fill="CCEEFF" w:val="clear"/>
            <w:vAlign w:val="bottom"/>
          </w:tcPr>
          <w:p>
            <w:pPr>
              <w:pStyle w:val="TableContents"/>
              <w:spacing w:before="0" w:after="0"/>
              <w:ind w:left="225" w:right="0" w:hanging="225"/>
              <w:rPr/>
            </w:pPr>
            <w:r>
              <w:rPr/>
              <w:t>Revenues:</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0"/>
              <w:ind w:left="675" w:right="0" w:hanging="225"/>
              <w:rPr/>
            </w:pPr>
            <w:r>
              <w:rPr/>
              <w:t>Sales</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786" w:type="dxa"/>
            <w:tcBorders/>
            <w:shd w:fill="auto" w:val="clear"/>
            <w:vAlign w:val="bottom"/>
          </w:tcPr>
          <w:p>
            <w:pPr>
              <w:pStyle w:val="TableContents"/>
              <w:spacing w:before="0" w:after="283"/>
              <w:jc w:val="right"/>
              <w:rPr/>
            </w:pPr>
            <w:r>
              <w:rPr/>
              <w:t>50,032</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47,605</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99,012</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89,958</w:t>
            </w:r>
          </w:p>
        </w:tc>
        <w:tc>
          <w:tcPr>
            <w:tcW w:w="132" w:type="dxa"/>
            <w:tcBorders/>
            <w:shd w:fill="auto" w:val="clear"/>
            <w:vAlign w:val="bottom"/>
          </w:tcPr>
          <w:p>
            <w:pPr>
              <w:pStyle w:val="TableContents"/>
              <w:spacing w:before="0" w:after="283"/>
              <w:rPr/>
            </w:pPr>
            <w:r>
              <w:rPr/>
              <w:t> </w:t>
            </w:r>
          </w:p>
        </w:tc>
      </w:tr>
      <w:tr>
        <w:trPr/>
        <w:tc>
          <w:tcPr>
            <w:tcW w:w="3437" w:type="dxa"/>
            <w:tcBorders/>
            <w:shd w:fill="CCEEFF" w:val="clear"/>
            <w:vAlign w:val="bottom"/>
          </w:tcPr>
          <w:p>
            <w:pPr>
              <w:pStyle w:val="TableContents"/>
              <w:spacing w:before="0" w:after="0"/>
              <w:ind w:left="675" w:right="0" w:hanging="225"/>
              <w:rPr/>
            </w:pPr>
            <w:r>
              <w:rPr/>
              <w:t>Pawn service charges</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16,556</w:t>
            </w:r>
          </w:p>
        </w:tc>
        <w:tc>
          <w:tcPr>
            <w:tcW w:w="1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15,453</w:t>
            </w:r>
          </w:p>
        </w:tc>
        <w:tc>
          <w:tcPr>
            <w:tcW w:w="12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34,518</w:t>
            </w:r>
          </w:p>
        </w:tc>
        <w:tc>
          <w:tcPr>
            <w:tcW w:w="12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31,967</w:t>
            </w:r>
          </w:p>
        </w:tc>
        <w:tc>
          <w:tcPr>
            <w:tcW w:w="132" w:type="dxa"/>
            <w:tcBorders/>
            <w:shd w:fill="CCEEFF"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0"/>
              <w:ind w:left="675" w:right="0" w:hanging="225"/>
              <w:rPr/>
            </w:pPr>
            <w:r>
              <w:rPr/>
              <w:t>Credit service fees</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20,041</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14,451</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42,068</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29,873</w:t>
            </w:r>
          </w:p>
        </w:tc>
        <w:tc>
          <w:tcPr>
            <w:tcW w:w="132" w:type="dxa"/>
            <w:tcBorders/>
            <w:shd w:fill="auto" w:val="clear"/>
            <w:vAlign w:val="bottom"/>
          </w:tcPr>
          <w:p>
            <w:pPr>
              <w:pStyle w:val="TableContents"/>
              <w:spacing w:before="0" w:after="283"/>
              <w:rPr/>
            </w:pPr>
            <w:r>
              <w:rPr/>
              <w:t> </w:t>
            </w:r>
          </w:p>
        </w:tc>
      </w:tr>
      <w:tr>
        <w:trPr/>
        <w:tc>
          <w:tcPr>
            <w:tcW w:w="3437" w:type="dxa"/>
            <w:tcBorders/>
            <w:shd w:fill="CCEEFF" w:val="clear"/>
            <w:vAlign w:val="bottom"/>
          </w:tcPr>
          <w:p>
            <w:pPr>
              <w:pStyle w:val="TableContents"/>
              <w:spacing w:before="0" w:after="0"/>
              <w:ind w:left="675" w:right="0" w:hanging="225"/>
              <w:rPr/>
            </w:pPr>
            <w:r>
              <w:rPr/>
              <w:t>Payday loan fees</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2,672</w:t>
            </w:r>
          </w:p>
        </w:tc>
        <w:tc>
          <w:tcPr>
            <w:tcW w:w="1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1,103</w:t>
            </w:r>
          </w:p>
        </w:tc>
        <w:tc>
          <w:tcPr>
            <w:tcW w:w="12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5,040</w:t>
            </w:r>
          </w:p>
        </w:tc>
        <w:tc>
          <w:tcPr>
            <w:tcW w:w="12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2,255</w:t>
            </w:r>
          </w:p>
        </w:tc>
        <w:tc>
          <w:tcPr>
            <w:tcW w:w="132" w:type="dxa"/>
            <w:tcBorders/>
            <w:shd w:fill="CCEEFF"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0"/>
              <w:ind w:left="675" w:right="0" w:hanging="225"/>
              <w:rPr/>
            </w:pPr>
            <w:r>
              <w:rPr/>
              <w:t>Other</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342</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329</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692</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658</w:t>
            </w:r>
          </w:p>
        </w:tc>
        <w:tc>
          <w:tcPr>
            <w:tcW w:w="132" w:type="dxa"/>
            <w:tcBorders/>
            <w:shd w:fill="auto" w:val="clear"/>
            <w:vAlign w:val="bottom"/>
          </w:tcPr>
          <w:p>
            <w:pPr>
              <w:pStyle w:val="TableContents"/>
              <w:spacing w:before="0" w:after="283"/>
              <w:rPr/>
            </w:pPr>
            <w:r>
              <w:rPr/>
              <w:t> </w:t>
            </w:r>
          </w:p>
        </w:tc>
      </w:tr>
      <w:tr>
        <w:trPr/>
        <w:tc>
          <w:tcPr>
            <w:tcW w:w="3437" w:type="dxa"/>
            <w:tcBorders/>
            <w:shd w:fill="auto" w:val="clear"/>
            <w:vAlign w:val="center"/>
          </w:tcPr>
          <w:p>
            <w:pPr>
              <w:pStyle w:val="TableContents"/>
              <w:spacing w:before="0" w:after="0"/>
              <w:ind w:left="225" w:right="0" w:hanging="225"/>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437" w:type="dxa"/>
            <w:tcBorders/>
            <w:shd w:fill="CCEEFF" w:val="clear"/>
            <w:vAlign w:val="bottom"/>
          </w:tcPr>
          <w:p>
            <w:pPr>
              <w:pStyle w:val="TableContents"/>
              <w:spacing w:before="0" w:after="0"/>
              <w:ind w:left="900" w:right="0" w:hanging="225"/>
              <w:rPr/>
            </w:pPr>
            <w:r>
              <w:rPr/>
              <w:t>Total revenues</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89,643</w:t>
            </w:r>
          </w:p>
        </w:tc>
        <w:tc>
          <w:tcPr>
            <w:tcW w:w="1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78,941</w:t>
            </w:r>
          </w:p>
        </w:tc>
        <w:tc>
          <w:tcPr>
            <w:tcW w:w="12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181,330</w:t>
            </w:r>
          </w:p>
        </w:tc>
        <w:tc>
          <w:tcPr>
            <w:tcW w:w="12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154,711</w:t>
            </w:r>
          </w:p>
        </w:tc>
        <w:tc>
          <w:tcPr>
            <w:tcW w:w="132" w:type="dxa"/>
            <w:tcBorders/>
            <w:shd w:fill="CCEEFF"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0"/>
              <w:ind w:left="225" w:right="0" w:hanging="225"/>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0"/>
              <w:ind w:left="225" w:right="0" w:hanging="225"/>
              <w:rPr/>
            </w:pPr>
            <w:r>
              <w:rPr/>
              <w:t>Cost of goods sold</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30,374</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28,337</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60,197</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53,998</w:t>
            </w:r>
          </w:p>
        </w:tc>
        <w:tc>
          <w:tcPr>
            <w:tcW w:w="132" w:type="dxa"/>
            <w:tcBorders/>
            <w:shd w:fill="auto" w:val="clear"/>
            <w:vAlign w:val="bottom"/>
          </w:tcPr>
          <w:p>
            <w:pPr>
              <w:pStyle w:val="TableContents"/>
              <w:spacing w:before="0" w:after="283"/>
              <w:rPr/>
            </w:pPr>
            <w:r>
              <w:rPr/>
              <w:t> </w:t>
            </w:r>
          </w:p>
        </w:tc>
      </w:tr>
      <w:tr>
        <w:trPr/>
        <w:tc>
          <w:tcPr>
            <w:tcW w:w="3437" w:type="dxa"/>
            <w:tcBorders/>
            <w:shd w:fill="auto" w:val="clear"/>
            <w:vAlign w:val="center"/>
          </w:tcPr>
          <w:p>
            <w:pPr>
              <w:pStyle w:val="TableContents"/>
              <w:spacing w:before="0" w:after="0"/>
              <w:ind w:left="225" w:right="0" w:hanging="225"/>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437" w:type="dxa"/>
            <w:tcBorders/>
            <w:shd w:fill="CCEEFF" w:val="clear"/>
            <w:vAlign w:val="bottom"/>
          </w:tcPr>
          <w:p>
            <w:pPr>
              <w:pStyle w:val="TableContents"/>
              <w:spacing w:before="0" w:after="0"/>
              <w:ind w:left="900" w:right="0" w:hanging="225"/>
              <w:rPr/>
            </w:pPr>
            <w:r>
              <w:rPr/>
              <w:t>Net revenues</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59,269</w:t>
            </w:r>
          </w:p>
        </w:tc>
        <w:tc>
          <w:tcPr>
            <w:tcW w:w="1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50,604</w:t>
            </w:r>
          </w:p>
        </w:tc>
        <w:tc>
          <w:tcPr>
            <w:tcW w:w="12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121,133</w:t>
            </w:r>
          </w:p>
        </w:tc>
        <w:tc>
          <w:tcPr>
            <w:tcW w:w="12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100,713</w:t>
            </w:r>
          </w:p>
        </w:tc>
        <w:tc>
          <w:tcPr>
            <w:tcW w:w="132" w:type="dxa"/>
            <w:tcBorders/>
            <w:shd w:fill="CCEEFF"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0"/>
              <w:ind w:left="225" w:right="0" w:hanging="225"/>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0"/>
              <w:ind w:left="225" w:right="0" w:hanging="225"/>
              <w:rPr/>
            </w:pPr>
            <w:r>
              <w:rPr/>
              <w:t>Operating expenses:</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437" w:type="dxa"/>
            <w:tcBorders/>
            <w:shd w:fill="CCEEFF" w:val="clear"/>
            <w:vAlign w:val="bottom"/>
          </w:tcPr>
          <w:p>
            <w:pPr>
              <w:pStyle w:val="TableContents"/>
              <w:spacing w:before="0" w:after="0"/>
              <w:ind w:left="675" w:right="0" w:hanging="225"/>
              <w:rPr/>
            </w:pPr>
            <w:r>
              <w:rPr/>
              <w:t>Operations</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31,104</w:t>
            </w:r>
          </w:p>
        </w:tc>
        <w:tc>
          <w:tcPr>
            <w:tcW w:w="1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28,076</w:t>
            </w:r>
          </w:p>
        </w:tc>
        <w:tc>
          <w:tcPr>
            <w:tcW w:w="12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62,492</w:t>
            </w:r>
          </w:p>
        </w:tc>
        <w:tc>
          <w:tcPr>
            <w:tcW w:w="12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54,551</w:t>
            </w:r>
          </w:p>
        </w:tc>
        <w:tc>
          <w:tcPr>
            <w:tcW w:w="132" w:type="dxa"/>
            <w:tcBorders/>
            <w:shd w:fill="CCEEFF"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0"/>
              <w:ind w:left="675" w:right="0" w:hanging="225"/>
              <w:rPr/>
            </w:pPr>
            <w:r>
              <w:rPr/>
              <w:t>Credit service bad debt</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2,402</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1,873</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7,606</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5,643</w:t>
            </w:r>
          </w:p>
        </w:tc>
        <w:tc>
          <w:tcPr>
            <w:tcW w:w="132" w:type="dxa"/>
            <w:tcBorders/>
            <w:shd w:fill="auto" w:val="clear"/>
            <w:vAlign w:val="bottom"/>
          </w:tcPr>
          <w:p>
            <w:pPr>
              <w:pStyle w:val="TableContents"/>
              <w:spacing w:before="0" w:after="283"/>
              <w:rPr/>
            </w:pPr>
            <w:r>
              <w:rPr/>
              <w:t> </w:t>
            </w:r>
          </w:p>
        </w:tc>
      </w:tr>
      <w:tr>
        <w:trPr/>
        <w:tc>
          <w:tcPr>
            <w:tcW w:w="3437" w:type="dxa"/>
            <w:tcBorders/>
            <w:shd w:fill="CCEEFF" w:val="clear"/>
            <w:vAlign w:val="bottom"/>
          </w:tcPr>
          <w:p>
            <w:pPr>
              <w:pStyle w:val="TableContents"/>
              <w:spacing w:before="0" w:after="0"/>
              <w:ind w:left="675" w:right="0" w:hanging="225"/>
              <w:rPr/>
            </w:pPr>
            <w:r>
              <w:rPr/>
              <w:t>Payday loan bad debt</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514</w:t>
            </w:r>
          </w:p>
        </w:tc>
        <w:tc>
          <w:tcPr>
            <w:tcW w:w="1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284</w:t>
            </w:r>
          </w:p>
        </w:tc>
        <w:tc>
          <w:tcPr>
            <w:tcW w:w="12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1,338</w:t>
            </w:r>
          </w:p>
        </w:tc>
        <w:tc>
          <w:tcPr>
            <w:tcW w:w="12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888</w:t>
            </w:r>
          </w:p>
        </w:tc>
        <w:tc>
          <w:tcPr>
            <w:tcW w:w="132" w:type="dxa"/>
            <w:tcBorders/>
            <w:shd w:fill="CCEEFF"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0"/>
              <w:ind w:left="675" w:right="0" w:hanging="225"/>
              <w:rPr/>
            </w:pPr>
            <w:r>
              <w:rPr/>
              <w:t>Administrative</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7,968</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6,695</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15,495</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13,517</w:t>
            </w:r>
          </w:p>
        </w:tc>
        <w:tc>
          <w:tcPr>
            <w:tcW w:w="132" w:type="dxa"/>
            <w:tcBorders/>
            <w:shd w:fill="auto" w:val="clear"/>
            <w:vAlign w:val="bottom"/>
          </w:tcPr>
          <w:p>
            <w:pPr>
              <w:pStyle w:val="TableContents"/>
              <w:spacing w:before="0" w:after="283"/>
              <w:rPr/>
            </w:pPr>
            <w:r>
              <w:rPr/>
              <w:t> </w:t>
            </w:r>
          </w:p>
        </w:tc>
      </w:tr>
      <w:tr>
        <w:trPr/>
        <w:tc>
          <w:tcPr>
            <w:tcW w:w="3437" w:type="dxa"/>
            <w:tcBorders/>
            <w:shd w:fill="CCEEFF" w:val="clear"/>
            <w:vAlign w:val="bottom"/>
          </w:tcPr>
          <w:p>
            <w:pPr>
              <w:pStyle w:val="TableContents"/>
              <w:spacing w:before="0" w:after="0"/>
              <w:ind w:left="675" w:right="0" w:hanging="225"/>
              <w:rPr/>
            </w:pPr>
            <w:r>
              <w:rPr/>
              <w:t>Depreciation and amortization</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2,401</w:t>
            </w:r>
          </w:p>
        </w:tc>
        <w:tc>
          <w:tcPr>
            <w:tcW w:w="1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2,136</w:t>
            </w:r>
          </w:p>
        </w:tc>
        <w:tc>
          <w:tcPr>
            <w:tcW w:w="12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4,699</w:t>
            </w:r>
          </w:p>
        </w:tc>
        <w:tc>
          <w:tcPr>
            <w:tcW w:w="12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4,259</w:t>
            </w:r>
          </w:p>
        </w:tc>
        <w:tc>
          <w:tcPr>
            <w:tcW w:w="132" w:type="dxa"/>
            <w:tcBorders/>
            <w:shd w:fill="CCEEFF" w:val="clear"/>
            <w:vAlign w:val="bottom"/>
          </w:tcPr>
          <w:p>
            <w:pPr>
              <w:pStyle w:val="TableContents"/>
              <w:spacing w:before="0" w:after="283"/>
              <w:rPr/>
            </w:pPr>
            <w:r>
              <w:rPr/>
              <w:t> </w:t>
            </w:r>
          </w:p>
        </w:tc>
      </w:tr>
      <w:tr>
        <w:trPr/>
        <w:tc>
          <w:tcPr>
            <w:tcW w:w="3437" w:type="dxa"/>
            <w:tcBorders/>
            <w:shd w:fill="auto" w:val="clear"/>
            <w:vAlign w:val="center"/>
          </w:tcPr>
          <w:p>
            <w:pPr>
              <w:pStyle w:val="TableContents"/>
              <w:spacing w:before="0" w:after="0"/>
              <w:ind w:left="225" w:right="0" w:hanging="225"/>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437" w:type="dxa"/>
            <w:tcBorders/>
            <w:shd w:fill="auto" w:val="clear"/>
            <w:vAlign w:val="bottom"/>
          </w:tcPr>
          <w:p>
            <w:pPr>
              <w:pStyle w:val="TableContents"/>
              <w:spacing w:before="0" w:after="0"/>
              <w:ind w:left="900" w:right="0" w:hanging="225"/>
              <w:rPr/>
            </w:pPr>
            <w:r>
              <w:rPr/>
              <w:t>Total operating expenses</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44,389</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39,064</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91,630</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78,858</w:t>
            </w:r>
          </w:p>
        </w:tc>
        <w:tc>
          <w:tcPr>
            <w:tcW w:w="132" w:type="dxa"/>
            <w:tcBorders/>
            <w:shd w:fill="auto" w:val="clear"/>
            <w:vAlign w:val="bottom"/>
          </w:tcPr>
          <w:p>
            <w:pPr>
              <w:pStyle w:val="TableContents"/>
              <w:spacing w:before="0" w:after="283"/>
              <w:rPr/>
            </w:pPr>
            <w:r>
              <w:rPr/>
              <w:t> </w:t>
            </w:r>
          </w:p>
        </w:tc>
      </w:tr>
      <w:tr>
        <w:trPr/>
        <w:tc>
          <w:tcPr>
            <w:tcW w:w="3437" w:type="dxa"/>
            <w:tcBorders/>
            <w:shd w:fill="auto" w:val="clear"/>
            <w:vAlign w:val="center"/>
          </w:tcPr>
          <w:p>
            <w:pPr>
              <w:pStyle w:val="TableContents"/>
              <w:spacing w:before="0" w:after="0"/>
              <w:ind w:left="225" w:right="0" w:hanging="225"/>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437" w:type="dxa"/>
            <w:tcBorders/>
            <w:shd w:fill="auto" w:val="clear"/>
            <w:vAlign w:val="bottom"/>
          </w:tcPr>
          <w:p>
            <w:pPr>
              <w:pStyle w:val="TableContents"/>
              <w:spacing w:before="0" w:after="0"/>
              <w:ind w:left="225" w:right="0" w:hanging="225"/>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437" w:type="dxa"/>
            <w:tcBorders/>
            <w:shd w:fill="CCEEFF" w:val="clear"/>
            <w:vAlign w:val="bottom"/>
          </w:tcPr>
          <w:p>
            <w:pPr>
              <w:pStyle w:val="TableContents"/>
              <w:spacing w:before="0" w:after="0"/>
              <w:ind w:left="225" w:right="0" w:hanging="225"/>
              <w:rPr/>
            </w:pPr>
            <w:r>
              <w:rPr/>
              <w:t>Operating income</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14,880</w:t>
            </w:r>
          </w:p>
        </w:tc>
        <w:tc>
          <w:tcPr>
            <w:tcW w:w="1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11,540</w:t>
            </w:r>
          </w:p>
        </w:tc>
        <w:tc>
          <w:tcPr>
            <w:tcW w:w="12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29,503</w:t>
            </w:r>
          </w:p>
        </w:tc>
        <w:tc>
          <w:tcPr>
            <w:tcW w:w="12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21,855</w:t>
            </w:r>
          </w:p>
        </w:tc>
        <w:tc>
          <w:tcPr>
            <w:tcW w:w="132" w:type="dxa"/>
            <w:tcBorders/>
            <w:shd w:fill="CCEEFF"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0"/>
              <w:ind w:left="225" w:right="0" w:hanging="225"/>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0"/>
              <w:ind w:left="225" w:right="0" w:hanging="225"/>
              <w:rPr/>
            </w:pPr>
            <w:r>
              <w:rPr/>
              <w:t>Interest income</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786" w:type="dxa"/>
            <w:tcBorders/>
            <w:shd w:fill="auto" w:val="clear"/>
            <w:vAlign w:val="bottom"/>
          </w:tcPr>
          <w:p>
            <w:pPr>
              <w:pStyle w:val="TableContents"/>
              <w:spacing w:before="0" w:after="283"/>
              <w:jc w:val="right"/>
              <w:rPr/>
            </w:pPr>
            <w:r>
              <w:rPr/>
              <w:t>(567</w:t>
            </w:r>
          </w:p>
        </w:tc>
        <w:tc>
          <w:tcPr>
            <w:tcW w:w="130" w:type="dxa"/>
            <w:tcBorders/>
            <w:shd w:fill="auto" w:val="clear"/>
            <w:vAlign w:val="bottom"/>
          </w:tcPr>
          <w:p>
            <w:pPr>
              <w:pStyle w:val="TableContents"/>
              <w:spacing w:before="0" w:after="283"/>
              <w:rPr/>
            </w:pPr>
            <w:r>
              <w:rPr/>
              <w:t>)</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787" w:type="dxa"/>
            <w:tcBorders/>
            <w:shd w:fill="auto" w:val="clear"/>
            <w:vAlign w:val="bottom"/>
          </w:tcPr>
          <w:p>
            <w:pPr>
              <w:pStyle w:val="TableContents"/>
              <w:spacing w:before="0" w:after="283"/>
              <w:jc w:val="right"/>
              <w:rPr/>
            </w:pPr>
            <w:r>
              <w:rPr/>
              <w:t>(90</w:t>
            </w:r>
          </w:p>
        </w:tc>
        <w:tc>
          <w:tcPr>
            <w:tcW w:w="123" w:type="dxa"/>
            <w:tcBorders/>
            <w:shd w:fill="auto" w:val="clear"/>
            <w:vAlign w:val="bottom"/>
          </w:tcPr>
          <w:p>
            <w:pPr>
              <w:pStyle w:val="TableContents"/>
              <w:spacing w:before="0" w:after="283"/>
              <w:rPr/>
            </w:pPr>
            <w:r>
              <w:rPr/>
              <w:t>)</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283"/>
              <w:jc w:val="right"/>
              <w:rPr/>
            </w:pPr>
            <w:r>
              <w:rPr/>
              <w:t>(881</w:t>
            </w:r>
          </w:p>
        </w:tc>
        <w:tc>
          <w:tcPr>
            <w:tcW w:w="123" w:type="dxa"/>
            <w:tcBorders/>
            <w:shd w:fill="auto" w:val="clear"/>
            <w:vAlign w:val="bottom"/>
          </w:tcPr>
          <w:p>
            <w:pPr>
              <w:pStyle w:val="TableContents"/>
              <w:spacing w:before="0" w:after="283"/>
              <w:rPr/>
            </w:pPr>
            <w:r>
              <w:rPr/>
              <w:t>)</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283"/>
              <w:jc w:val="right"/>
              <w:rPr/>
            </w:pPr>
            <w:r>
              <w:rPr/>
              <w:t>(90</w:t>
            </w:r>
          </w:p>
        </w:tc>
        <w:tc>
          <w:tcPr>
            <w:tcW w:w="132" w:type="dxa"/>
            <w:tcBorders/>
            <w:shd w:fill="auto" w:val="clear"/>
            <w:vAlign w:val="bottom"/>
          </w:tcPr>
          <w:p>
            <w:pPr>
              <w:pStyle w:val="TableContents"/>
              <w:spacing w:before="0" w:after="283"/>
              <w:rPr/>
            </w:pPr>
            <w:r>
              <w:rPr/>
              <w:t>)</w:t>
            </w:r>
          </w:p>
        </w:tc>
      </w:tr>
      <w:tr>
        <w:trPr/>
        <w:tc>
          <w:tcPr>
            <w:tcW w:w="3437" w:type="dxa"/>
            <w:tcBorders/>
            <w:shd w:fill="CCEEFF" w:val="clear"/>
            <w:vAlign w:val="bottom"/>
          </w:tcPr>
          <w:p>
            <w:pPr>
              <w:pStyle w:val="TableContents"/>
              <w:spacing w:before="0" w:after="0"/>
              <w:ind w:left="225" w:right="0" w:hanging="225"/>
              <w:rPr/>
            </w:pPr>
            <w:r>
              <w:rPr/>
              <w:t>Interest expense</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83</w:t>
            </w:r>
          </w:p>
        </w:tc>
        <w:tc>
          <w:tcPr>
            <w:tcW w:w="1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131</w:t>
            </w:r>
          </w:p>
        </w:tc>
        <w:tc>
          <w:tcPr>
            <w:tcW w:w="12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147</w:t>
            </w:r>
          </w:p>
        </w:tc>
        <w:tc>
          <w:tcPr>
            <w:tcW w:w="12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353</w:t>
            </w:r>
          </w:p>
        </w:tc>
        <w:tc>
          <w:tcPr>
            <w:tcW w:w="132" w:type="dxa"/>
            <w:tcBorders/>
            <w:shd w:fill="CCEEFF"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0"/>
              <w:ind w:left="225" w:right="0" w:hanging="225"/>
              <w:rPr/>
            </w:pPr>
            <w:r>
              <w:rPr/>
              <w:t>Equity in net income of unconsolidated affiliate</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786" w:type="dxa"/>
            <w:tcBorders/>
            <w:shd w:fill="auto" w:val="clear"/>
            <w:vAlign w:val="bottom"/>
          </w:tcPr>
          <w:p>
            <w:pPr>
              <w:pStyle w:val="TableContents"/>
              <w:spacing w:before="0" w:after="283"/>
              <w:jc w:val="right"/>
              <w:rPr/>
            </w:pPr>
            <w:r>
              <w:rPr/>
              <w:t>(820</w:t>
            </w:r>
          </w:p>
        </w:tc>
        <w:tc>
          <w:tcPr>
            <w:tcW w:w="130" w:type="dxa"/>
            <w:tcBorders/>
            <w:shd w:fill="auto" w:val="clear"/>
            <w:vAlign w:val="bottom"/>
          </w:tcPr>
          <w:p>
            <w:pPr>
              <w:pStyle w:val="TableContents"/>
              <w:spacing w:before="0" w:after="283"/>
              <w:rPr/>
            </w:pPr>
            <w:r>
              <w:rPr/>
              <w:t>)</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787" w:type="dxa"/>
            <w:tcBorders/>
            <w:shd w:fill="auto" w:val="clear"/>
            <w:vAlign w:val="bottom"/>
          </w:tcPr>
          <w:p>
            <w:pPr>
              <w:pStyle w:val="TableContents"/>
              <w:spacing w:before="0" w:after="283"/>
              <w:jc w:val="right"/>
              <w:rPr/>
            </w:pPr>
            <w:r>
              <w:rPr/>
              <w:t>(673</w:t>
            </w:r>
          </w:p>
        </w:tc>
        <w:tc>
          <w:tcPr>
            <w:tcW w:w="123" w:type="dxa"/>
            <w:tcBorders/>
            <w:shd w:fill="auto" w:val="clear"/>
            <w:vAlign w:val="bottom"/>
          </w:tcPr>
          <w:p>
            <w:pPr>
              <w:pStyle w:val="TableContents"/>
              <w:spacing w:before="0" w:after="283"/>
              <w:rPr/>
            </w:pPr>
            <w:r>
              <w:rPr/>
              <w:t>)</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283"/>
              <w:jc w:val="right"/>
              <w:rPr/>
            </w:pPr>
            <w:r>
              <w:rPr/>
              <w:t>(1,465</w:t>
            </w:r>
          </w:p>
        </w:tc>
        <w:tc>
          <w:tcPr>
            <w:tcW w:w="123" w:type="dxa"/>
            <w:tcBorders/>
            <w:shd w:fill="auto" w:val="clear"/>
            <w:vAlign w:val="bottom"/>
          </w:tcPr>
          <w:p>
            <w:pPr>
              <w:pStyle w:val="TableContents"/>
              <w:spacing w:before="0" w:after="283"/>
              <w:rPr/>
            </w:pPr>
            <w:r>
              <w:rPr/>
              <w:t>)</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283"/>
              <w:jc w:val="right"/>
              <w:rPr/>
            </w:pPr>
            <w:r>
              <w:rPr/>
              <w:t>(1,188</w:t>
            </w:r>
          </w:p>
        </w:tc>
        <w:tc>
          <w:tcPr>
            <w:tcW w:w="132" w:type="dxa"/>
            <w:tcBorders/>
            <w:shd w:fill="auto" w:val="clear"/>
            <w:vAlign w:val="bottom"/>
          </w:tcPr>
          <w:p>
            <w:pPr>
              <w:pStyle w:val="TableContents"/>
              <w:spacing w:before="0" w:after="283"/>
              <w:rPr/>
            </w:pPr>
            <w:r>
              <w:rPr/>
              <w:t>)</w:t>
            </w:r>
          </w:p>
        </w:tc>
      </w:tr>
      <w:tr>
        <w:trPr/>
        <w:tc>
          <w:tcPr>
            <w:tcW w:w="3437" w:type="dxa"/>
            <w:tcBorders/>
            <w:shd w:fill="CCEEFF" w:val="clear"/>
            <w:vAlign w:val="bottom"/>
          </w:tcPr>
          <w:p>
            <w:pPr>
              <w:pStyle w:val="TableContents"/>
              <w:spacing w:before="0" w:after="0"/>
              <w:ind w:left="225" w:right="0" w:hanging="225"/>
              <w:rPr/>
            </w:pPr>
            <w:r>
              <w:rPr/>
              <w:t>Loss on sale / disposal of assets</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23</w:t>
            </w:r>
          </w:p>
        </w:tc>
        <w:tc>
          <w:tcPr>
            <w:tcW w:w="12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24</w:t>
            </w:r>
          </w:p>
        </w:tc>
        <w:tc>
          <w:tcPr>
            <w:tcW w:w="12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8</w:t>
            </w:r>
          </w:p>
        </w:tc>
        <w:tc>
          <w:tcPr>
            <w:tcW w:w="132" w:type="dxa"/>
            <w:tcBorders/>
            <w:shd w:fill="CCEEFF" w:val="clear"/>
            <w:vAlign w:val="bottom"/>
          </w:tcPr>
          <w:p>
            <w:pPr>
              <w:pStyle w:val="TableContents"/>
              <w:spacing w:before="0" w:after="283"/>
              <w:rPr/>
            </w:pPr>
            <w:r>
              <w:rPr/>
              <w:t> </w:t>
            </w:r>
          </w:p>
        </w:tc>
      </w:tr>
      <w:tr>
        <w:trPr/>
        <w:tc>
          <w:tcPr>
            <w:tcW w:w="3437" w:type="dxa"/>
            <w:tcBorders/>
            <w:shd w:fill="auto" w:val="clear"/>
            <w:vAlign w:val="center"/>
          </w:tcPr>
          <w:p>
            <w:pPr>
              <w:pStyle w:val="TableContents"/>
              <w:spacing w:before="0" w:after="0"/>
              <w:ind w:left="225" w:right="0" w:hanging="225"/>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437" w:type="dxa"/>
            <w:tcBorders/>
            <w:shd w:fill="auto" w:val="clear"/>
            <w:vAlign w:val="bottom"/>
          </w:tcPr>
          <w:p>
            <w:pPr>
              <w:pStyle w:val="TableContents"/>
              <w:spacing w:before="0" w:after="0"/>
              <w:ind w:left="225" w:right="0" w:hanging="225"/>
              <w:rPr/>
            </w:pPr>
            <w:r>
              <w:rPr/>
              <w:t>Income before income taxes</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16,184</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12,149</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31,678</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22,772</w:t>
            </w:r>
          </w:p>
        </w:tc>
        <w:tc>
          <w:tcPr>
            <w:tcW w:w="132" w:type="dxa"/>
            <w:tcBorders/>
            <w:shd w:fill="auto" w:val="clear"/>
            <w:vAlign w:val="bottom"/>
          </w:tcPr>
          <w:p>
            <w:pPr>
              <w:pStyle w:val="TableContents"/>
              <w:spacing w:before="0" w:after="283"/>
              <w:rPr/>
            </w:pPr>
            <w:r>
              <w:rPr/>
              <w:t> </w:t>
            </w:r>
          </w:p>
        </w:tc>
      </w:tr>
      <w:tr>
        <w:trPr/>
        <w:tc>
          <w:tcPr>
            <w:tcW w:w="3437" w:type="dxa"/>
            <w:tcBorders/>
            <w:shd w:fill="CCEEFF" w:val="clear"/>
            <w:vAlign w:val="bottom"/>
          </w:tcPr>
          <w:p>
            <w:pPr>
              <w:pStyle w:val="TableContents"/>
              <w:spacing w:before="0" w:after="0"/>
              <w:ind w:left="225" w:right="0" w:hanging="225"/>
              <w:rPr/>
            </w:pPr>
            <w:r>
              <w:rPr/>
              <w:t>Income tax expense</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5,988</w:t>
            </w:r>
          </w:p>
        </w:tc>
        <w:tc>
          <w:tcPr>
            <w:tcW w:w="1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4,422</w:t>
            </w:r>
          </w:p>
        </w:tc>
        <w:tc>
          <w:tcPr>
            <w:tcW w:w="12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11,721</w:t>
            </w:r>
          </w:p>
        </w:tc>
        <w:tc>
          <w:tcPr>
            <w:tcW w:w="12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8,289</w:t>
            </w:r>
          </w:p>
        </w:tc>
        <w:tc>
          <w:tcPr>
            <w:tcW w:w="132" w:type="dxa"/>
            <w:tcBorders/>
            <w:shd w:fill="CCEEFF" w:val="clear"/>
            <w:vAlign w:val="bottom"/>
          </w:tcPr>
          <w:p>
            <w:pPr>
              <w:pStyle w:val="TableContents"/>
              <w:spacing w:before="0" w:after="283"/>
              <w:rPr/>
            </w:pPr>
            <w:r>
              <w:rPr/>
              <w:t> </w:t>
            </w:r>
          </w:p>
        </w:tc>
      </w:tr>
      <w:tr>
        <w:trPr/>
        <w:tc>
          <w:tcPr>
            <w:tcW w:w="3437" w:type="dxa"/>
            <w:tcBorders/>
            <w:shd w:fill="auto" w:val="clear"/>
            <w:vAlign w:val="center"/>
          </w:tcPr>
          <w:p>
            <w:pPr>
              <w:pStyle w:val="TableContents"/>
              <w:spacing w:before="0" w:after="0"/>
              <w:ind w:left="225" w:right="0" w:hanging="225"/>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437" w:type="dxa"/>
            <w:tcBorders/>
            <w:shd w:fill="auto" w:val="clear"/>
            <w:vAlign w:val="bottom"/>
          </w:tcPr>
          <w:p>
            <w:pPr>
              <w:pStyle w:val="TableContents"/>
              <w:spacing w:before="0" w:after="0"/>
              <w:ind w:left="225" w:right="0" w:hanging="225"/>
              <w:rPr/>
            </w:pPr>
            <w:r>
              <w:rPr/>
              <w:t>Net income</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786" w:type="dxa"/>
            <w:tcBorders/>
            <w:shd w:fill="auto" w:val="clear"/>
            <w:vAlign w:val="bottom"/>
          </w:tcPr>
          <w:p>
            <w:pPr>
              <w:pStyle w:val="TableContents"/>
              <w:spacing w:before="0" w:after="283"/>
              <w:jc w:val="right"/>
              <w:rPr/>
            </w:pPr>
            <w:r>
              <w:rPr/>
              <w:t>10,196</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7,727</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19,957</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14,483</w:t>
            </w:r>
          </w:p>
        </w:tc>
        <w:tc>
          <w:tcPr>
            <w:tcW w:w="132" w:type="dxa"/>
            <w:tcBorders/>
            <w:shd w:fill="auto" w:val="clear"/>
            <w:vAlign w:val="bottom"/>
          </w:tcPr>
          <w:p>
            <w:pPr>
              <w:pStyle w:val="TableContents"/>
              <w:spacing w:before="0" w:after="283"/>
              <w:rPr/>
            </w:pPr>
            <w:r>
              <w:rPr/>
              <w:t> </w:t>
            </w:r>
          </w:p>
        </w:tc>
      </w:tr>
      <w:tr>
        <w:trPr/>
        <w:tc>
          <w:tcPr>
            <w:tcW w:w="3437" w:type="dxa"/>
            <w:tcBorders/>
            <w:shd w:fill="auto" w:val="clear"/>
            <w:vAlign w:val="center"/>
          </w:tcPr>
          <w:p>
            <w:pPr>
              <w:pStyle w:val="TableContents"/>
              <w:spacing w:before="0" w:after="0"/>
              <w:ind w:left="225" w:right="0" w:hanging="225"/>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437" w:type="dxa"/>
            <w:tcBorders/>
            <w:shd w:fill="auto" w:val="clear"/>
            <w:vAlign w:val="bottom"/>
          </w:tcPr>
          <w:p>
            <w:pPr>
              <w:pStyle w:val="TableContents"/>
              <w:spacing w:before="0" w:after="0"/>
              <w:ind w:left="225" w:right="0" w:hanging="225"/>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437" w:type="dxa"/>
            <w:tcBorders/>
            <w:shd w:fill="CCEEFF" w:val="clear"/>
            <w:vAlign w:val="bottom"/>
          </w:tcPr>
          <w:p>
            <w:pPr>
              <w:pStyle w:val="TableContents"/>
              <w:spacing w:before="0" w:after="0"/>
              <w:ind w:left="225" w:right="0" w:hanging="225"/>
              <w:rPr/>
            </w:pPr>
            <w:r>
              <w:rPr/>
              <w:t>Net income per common share:</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0"/>
              <w:ind w:left="450" w:right="0" w:hanging="225"/>
              <w:rPr/>
            </w:pPr>
            <w:r>
              <w:rPr/>
              <w:t>Basic</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786" w:type="dxa"/>
            <w:tcBorders/>
            <w:shd w:fill="auto" w:val="clear"/>
            <w:vAlign w:val="bottom"/>
          </w:tcPr>
          <w:p>
            <w:pPr>
              <w:pStyle w:val="TableContents"/>
              <w:spacing w:before="0" w:after="283"/>
              <w:jc w:val="right"/>
              <w:rPr/>
            </w:pPr>
            <w:r>
              <w:rPr/>
              <w:t>0.25</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0.20</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0.49</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0.37</w:t>
            </w:r>
          </w:p>
        </w:tc>
        <w:tc>
          <w:tcPr>
            <w:tcW w:w="132" w:type="dxa"/>
            <w:tcBorders/>
            <w:shd w:fill="auto" w:val="clear"/>
            <w:vAlign w:val="bottom"/>
          </w:tcPr>
          <w:p>
            <w:pPr>
              <w:pStyle w:val="TableContents"/>
              <w:spacing w:before="0" w:after="283"/>
              <w:rPr/>
            </w:pPr>
            <w:r>
              <w:rPr/>
              <w:t> </w:t>
            </w:r>
          </w:p>
        </w:tc>
      </w:tr>
      <w:tr>
        <w:trPr/>
        <w:tc>
          <w:tcPr>
            <w:tcW w:w="3437" w:type="dxa"/>
            <w:tcBorders/>
            <w:shd w:fill="auto" w:val="clear"/>
            <w:vAlign w:val="center"/>
          </w:tcPr>
          <w:p>
            <w:pPr>
              <w:pStyle w:val="TableContents"/>
              <w:spacing w:before="0" w:after="0"/>
              <w:ind w:left="225" w:right="0" w:hanging="225"/>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437" w:type="dxa"/>
            <w:tcBorders/>
            <w:shd w:fill="CCEEFF" w:val="clear"/>
            <w:vAlign w:val="bottom"/>
          </w:tcPr>
          <w:p>
            <w:pPr>
              <w:pStyle w:val="TableContents"/>
              <w:spacing w:before="0" w:after="0"/>
              <w:ind w:left="450" w:right="0" w:hanging="225"/>
              <w:rPr/>
            </w:pPr>
            <w:r>
              <w:rPr/>
              <w:t>Diluted</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786" w:type="dxa"/>
            <w:tcBorders/>
            <w:shd w:fill="CCEEFF" w:val="clear"/>
            <w:vAlign w:val="bottom"/>
          </w:tcPr>
          <w:p>
            <w:pPr>
              <w:pStyle w:val="TableContents"/>
              <w:spacing w:before="0" w:after="283"/>
              <w:jc w:val="right"/>
              <w:rPr/>
            </w:pPr>
            <w:r>
              <w:rPr/>
              <w:t>0.23</w:t>
            </w:r>
          </w:p>
        </w:tc>
        <w:tc>
          <w:tcPr>
            <w:tcW w:w="1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0.19</w:t>
            </w:r>
          </w:p>
        </w:tc>
        <w:tc>
          <w:tcPr>
            <w:tcW w:w="12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w:t>
            </w:r>
          </w:p>
        </w:tc>
        <w:tc>
          <w:tcPr>
            <w:tcW w:w="804" w:type="dxa"/>
            <w:tcBorders/>
            <w:shd w:fill="CCEEFF" w:val="clear"/>
            <w:vAlign w:val="bottom"/>
          </w:tcPr>
          <w:p>
            <w:pPr>
              <w:pStyle w:val="TableContents"/>
              <w:spacing w:before="0" w:after="283"/>
              <w:jc w:val="right"/>
              <w:rPr/>
            </w:pPr>
            <w:r>
              <w:rPr/>
              <w:t>0.46</w:t>
            </w:r>
          </w:p>
        </w:tc>
        <w:tc>
          <w:tcPr>
            <w:tcW w:w="12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w:t>
            </w:r>
          </w:p>
        </w:tc>
        <w:tc>
          <w:tcPr>
            <w:tcW w:w="804" w:type="dxa"/>
            <w:tcBorders/>
            <w:shd w:fill="CCEEFF" w:val="clear"/>
            <w:vAlign w:val="bottom"/>
          </w:tcPr>
          <w:p>
            <w:pPr>
              <w:pStyle w:val="TableContents"/>
              <w:spacing w:before="0" w:after="283"/>
              <w:jc w:val="right"/>
              <w:rPr/>
            </w:pPr>
            <w:r>
              <w:rPr/>
              <w:t>0.35</w:t>
            </w:r>
          </w:p>
        </w:tc>
        <w:tc>
          <w:tcPr>
            <w:tcW w:w="132" w:type="dxa"/>
            <w:tcBorders/>
            <w:shd w:fill="CCEEFF" w:val="clear"/>
            <w:vAlign w:val="bottom"/>
          </w:tcPr>
          <w:p>
            <w:pPr>
              <w:pStyle w:val="TableContents"/>
              <w:spacing w:before="0" w:after="283"/>
              <w:rPr/>
            </w:pPr>
            <w:r>
              <w:rPr/>
              <w:t> </w:t>
            </w:r>
          </w:p>
        </w:tc>
      </w:tr>
      <w:tr>
        <w:trPr/>
        <w:tc>
          <w:tcPr>
            <w:tcW w:w="3437" w:type="dxa"/>
            <w:tcBorders/>
            <w:shd w:fill="auto" w:val="clear"/>
            <w:vAlign w:val="center"/>
          </w:tcPr>
          <w:p>
            <w:pPr>
              <w:pStyle w:val="TableContents"/>
              <w:spacing w:before="0" w:after="0"/>
              <w:ind w:left="225" w:right="0" w:hanging="225"/>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437" w:type="dxa"/>
            <w:tcBorders/>
            <w:shd w:fill="auto" w:val="clear"/>
            <w:vAlign w:val="bottom"/>
          </w:tcPr>
          <w:p>
            <w:pPr>
              <w:pStyle w:val="TableContents"/>
              <w:spacing w:before="0" w:after="0"/>
              <w:ind w:left="225" w:right="0" w:hanging="225"/>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0"/>
              <w:ind w:left="225" w:right="0" w:hanging="225"/>
              <w:rPr/>
            </w:pPr>
            <w:r>
              <w:rPr/>
              <w:t>Weighted average shares outstanding:</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437" w:type="dxa"/>
            <w:tcBorders/>
            <w:shd w:fill="CCEEFF" w:val="clear"/>
            <w:vAlign w:val="bottom"/>
          </w:tcPr>
          <w:p>
            <w:pPr>
              <w:pStyle w:val="TableContents"/>
              <w:spacing w:before="0" w:after="0"/>
              <w:ind w:left="450" w:right="0" w:hanging="225"/>
              <w:rPr/>
            </w:pPr>
            <w:r>
              <w:rPr/>
              <w:t>Basic</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41,002</w:t>
            </w:r>
          </w:p>
        </w:tc>
        <w:tc>
          <w:tcPr>
            <w:tcW w:w="13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39,202</w:t>
            </w:r>
          </w:p>
        </w:tc>
        <w:tc>
          <w:tcPr>
            <w:tcW w:w="12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40,773</w:t>
            </w:r>
          </w:p>
        </w:tc>
        <w:tc>
          <w:tcPr>
            <w:tcW w:w="12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38,932</w:t>
            </w:r>
          </w:p>
        </w:tc>
        <w:tc>
          <w:tcPr>
            <w:tcW w:w="132" w:type="dxa"/>
            <w:tcBorders/>
            <w:shd w:fill="CCEEFF" w:val="clear"/>
            <w:vAlign w:val="bottom"/>
          </w:tcPr>
          <w:p>
            <w:pPr>
              <w:pStyle w:val="TableContents"/>
              <w:spacing w:before="0" w:after="283"/>
              <w:rPr/>
            </w:pPr>
            <w:r>
              <w:rPr/>
              <w:t> </w:t>
            </w:r>
          </w:p>
        </w:tc>
      </w:tr>
      <w:tr>
        <w:trPr/>
        <w:tc>
          <w:tcPr>
            <w:tcW w:w="3437" w:type="dxa"/>
            <w:tcBorders/>
            <w:shd w:fill="auto" w:val="clear"/>
            <w:vAlign w:val="bottom"/>
          </w:tcPr>
          <w:p>
            <w:pPr>
              <w:pStyle w:val="TableContents"/>
              <w:spacing w:before="0" w:after="0"/>
              <w:ind w:left="450" w:right="0" w:hanging="225"/>
              <w:rPr/>
            </w:pPr>
            <w:r>
              <w:rPr/>
              <w:t>Diluted</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43,445</w:t>
            </w:r>
          </w:p>
        </w:tc>
        <w:tc>
          <w:tcPr>
            <w:tcW w:w="13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41,514</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43,347</w:t>
            </w:r>
          </w:p>
        </w:tc>
        <w:tc>
          <w:tcPr>
            <w:tcW w:w="12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40,937</w:t>
            </w:r>
          </w:p>
        </w:tc>
        <w:tc>
          <w:tcPr>
            <w:tcW w:w="132"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See Notes to Interim Condensed Consolidated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7" w:name="304"/>
      <w:bookmarkEnd w:id="7"/>
      <w:r>
        <w:rPr>
          <w:rFonts w:ascii="Times New Roman;Times;serif" w:hAnsi="Times New Roman;Times;serif"/>
          <w:sz w:val="17"/>
        </w:rPr>
        <w:t xml:space="preserve">Condensed Consolidated Statements of Cash Flows (Unaudited) </w:t>
      </w:r>
    </w:p>
    <w:tbl>
      <w:tblPr>
        <w:tblW w:w="5000" w:type="pct"/>
        <w:jc w:val="center"/>
        <w:tblInd w:w="0" w:type="dxa"/>
        <w:tblCellMar>
          <w:top w:w="0" w:type="dxa"/>
          <w:left w:w="0" w:type="dxa"/>
          <w:bottom w:w="0" w:type="dxa"/>
          <w:right w:w="0" w:type="dxa"/>
        </w:tblCellMar>
      </w:tblPr>
      <w:tblGrid>
        <w:gridCol w:w="7171"/>
        <w:gridCol w:w="462"/>
        <w:gridCol w:w="149"/>
        <w:gridCol w:w="774"/>
        <w:gridCol w:w="129"/>
        <w:gridCol w:w="462"/>
        <w:gridCol w:w="149"/>
        <w:gridCol w:w="774"/>
        <w:gridCol w:w="135"/>
      </w:tblGrid>
      <w:tr>
        <w:trPr/>
        <w:tc>
          <w:tcPr>
            <w:tcW w:w="7171"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2437" w:type="dxa"/>
            <w:gridSpan w:val="6"/>
            <w:tcBorders/>
            <w:shd w:fill="auto" w:val="clear"/>
            <w:vAlign w:val="bottom"/>
          </w:tcPr>
          <w:p>
            <w:pPr>
              <w:pStyle w:val="TableContents"/>
              <w:spacing w:before="0" w:after="283"/>
              <w:jc w:val="center"/>
              <w:rPr/>
            </w:pPr>
            <w:r>
              <w:rPr/>
              <w:t>Six Months Ended</w:t>
            </w:r>
          </w:p>
        </w:tc>
        <w:tc>
          <w:tcPr>
            <w:tcW w:w="135" w:type="dxa"/>
            <w:tcBorders/>
            <w:shd w:fill="auto"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2437"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135" w:type="dxa"/>
            <w:tcBorders/>
            <w:shd w:fill="auto"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92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29" w:type="dxa"/>
            <w:tcBorders>
              <w:bottom w:val="single" w:sz="2" w:space="0" w:color="000000"/>
            </w:tcBorders>
            <w:shd w:fill="auto" w:val="clear"/>
            <w:tcMar>
              <w:bottom w:w="28" w:type="dxa"/>
            </w:tcMar>
            <w:vAlign w:val="bottom"/>
          </w:tcPr>
          <w:p>
            <w:pPr>
              <w:pStyle w:val="TableContents"/>
              <w:spacing w:before="0" w:after="283"/>
              <w:rPr/>
            </w:pPr>
            <w:r>
              <w:rPr/>
              <w:t> </w:t>
            </w:r>
          </w:p>
        </w:tc>
        <w:tc>
          <w:tcPr>
            <w:tcW w:w="462" w:type="dxa"/>
            <w:tcBorders>
              <w:bottom w:val="single" w:sz="2" w:space="0" w:color="000000"/>
            </w:tcBorders>
            <w:shd w:fill="auto" w:val="clear"/>
            <w:tcMar>
              <w:bottom w:w="28" w:type="dxa"/>
            </w:tcMar>
            <w:vAlign w:val="bottom"/>
          </w:tcPr>
          <w:p>
            <w:pPr>
              <w:pStyle w:val="TableContents"/>
              <w:spacing w:before="0" w:after="283"/>
              <w:rPr/>
            </w:pPr>
            <w:r>
              <w:rPr/>
              <w:t> </w:t>
            </w:r>
          </w:p>
        </w:tc>
        <w:tc>
          <w:tcPr>
            <w:tcW w:w="92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35" w:type="dxa"/>
            <w:tcBorders/>
            <w:shd w:fill="auto"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2437" w:type="dxa"/>
            <w:gridSpan w:val="6"/>
            <w:tcBorders/>
            <w:shd w:fill="auto" w:val="clear"/>
            <w:vAlign w:val="bottom"/>
          </w:tcPr>
          <w:p>
            <w:pPr>
              <w:pStyle w:val="TableContents"/>
              <w:spacing w:before="0" w:after="283"/>
              <w:jc w:val="center"/>
              <w:rPr>
                <w:i/>
              </w:rPr>
            </w:pPr>
            <w:r>
              <w:rPr>
                <w:i/>
              </w:rPr>
              <w:t>(In thousands)</w:t>
            </w:r>
          </w:p>
        </w:tc>
        <w:tc>
          <w:tcPr>
            <w:tcW w:w="135" w:type="dxa"/>
            <w:tcBorders/>
            <w:shd w:fill="auto" w:val="clear"/>
            <w:vAlign w:val="bottom"/>
          </w:tcPr>
          <w:p>
            <w:pPr>
              <w:pStyle w:val="TableContents"/>
              <w:spacing w:before="0" w:after="283"/>
              <w:rPr/>
            </w:pPr>
            <w:r>
              <w:rPr/>
              <w:t> </w:t>
            </w:r>
          </w:p>
        </w:tc>
      </w:tr>
      <w:tr>
        <w:trPr/>
        <w:tc>
          <w:tcPr>
            <w:tcW w:w="7171" w:type="dxa"/>
            <w:tcBorders/>
            <w:shd w:fill="CCEEFF" w:val="clear"/>
            <w:vAlign w:val="bottom"/>
          </w:tcPr>
          <w:p>
            <w:pPr>
              <w:pStyle w:val="TableContents"/>
              <w:spacing w:before="0" w:after="0"/>
              <w:ind w:left="225" w:right="0" w:hanging="225"/>
              <w:rPr/>
            </w:pPr>
            <w:r>
              <w:rPr/>
              <w:t>Operating Activities:</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450" w:right="0" w:hanging="225"/>
              <w:rPr/>
            </w:pPr>
            <w:r>
              <w:rPr/>
              <w:t>Net income</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w:t>
            </w:r>
          </w:p>
        </w:tc>
        <w:tc>
          <w:tcPr>
            <w:tcW w:w="774" w:type="dxa"/>
            <w:tcBorders/>
            <w:shd w:fill="auto" w:val="clear"/>
            <w:vAlign w:val="bottom"/>
          </w:tcPr>
          <w:p>
            <w:pPr>
              <w:pStyle w:val="TableContents"/>
              <w:spacing w:before="0" w:after="283"/>
              <w:jc w:val="right"/>
              <w:rPr/>
            </w:pPr>
            <w:r>
              <w:rPr/>
              <w:t>19,957</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w:t>
            </w:r>
          </w:p>
        </w:tc>
        <w:tc>
          <w:tcPr>
            <w:tcW w:w="774" w:type="dxa"/>
            <w:tcBorders/>
            <w:shd w:fill="auto" w:val="clear"/>
            <w:vAlign w:val="bottom"/>
          </w:tcPr>
          <w:p>
            <w:pPr>
              <w:pStyle w:val="TableContents"/>
              <w:spacing w:before="0" w:after="283"/>
              <w:jc w:val="right"/>
              <w:rPr/>
            </w:pPr>
            <w:r>
              <w:rPr/>
              <w:t>14,483</w:t>
            </w:r>
          </w:p>
        </w:tc>
        <w:tc>
          <w:tcPr>
            <w:tcW w:w="135" w:type="dxa"/>
            <w:tcBorders/>
            <w:shd w:fill="auto" w:val="clear"/>
            <w:vAlign w:val="bottom"/>
          </w:tcPr>
          <w:p>
            <w:pPr>
              <w:pStyle w:val="TableContents"/>
              <w:spacing w:before="0" w:after="283"/>
              <w:rPr/>
            </w:pPr>
            <w:r>
              <w:rPr/>
              <w:t> </w:t>
            </w:r>
          </w:p>
        </w:tc>
      </w:tr>
      <w:tr>
        <w:trPr/>
        <w:tc>
          <w:tcPr>
            <w:tcW w:w="7171" w:type="dxa"/>
            <w:tcBorders/>
            <w:shd w:fill="CCEEFF" w:val="clear"/>
            <w:vAlign w:val="bottom"/>
          </w:tcPr>
          <w:p>
            <w:pPr>
              <w:pStyle w:val="TableContents"/>
              <w:spacing w:before="0" w:after="0"/>
              <w:ind w:left="450" w:right="0" w:hanging="225"/>
              <w:rPr/>
            </w:pPr>
            <w:r>
              <w:rPr/>
              <w:t>Adjustments to reconcile net income to net cash provided by operating activities:</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675" w:right="0" w:hanging="225"/>
              <w:rPr/>
            </w:pPr>
            <w:r>
              <w:rPr/>
              <w:t>Depreciation and amortization</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4,699</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4,259</w:t>
            </w:r>
          </w:p>
        </w:tc>
        <w:tc>
          <w:tcPr>
            <w:tcW w:w="135" w:type="dxa"/>
            <w:tcBorders/>
            <w:shd w:fill="auto" w:val="clear"/>
            <w:vAlign w:val="bottom"/>
          </w:tcPr>
          <w:p>
            <w:pPr>
              <w:pStyle w:val="TableContents"/>
              <w:spacing w:before="0" w:after="283"/>
              <w:rPr/>
            </w:pPr>
            <w:r>
              <w:rPr/>
              <w:t> </w:t>
            </w:r>
          </w:p>
        </w:tc>
      </w:tr>
      <w:tr>
        <w:trPr/>
        <w:tc>
          <w:tcPr>
            <w:tcW w:w="7171" w:type="dxa"/>
            <w:tcBorders/>
            <w:shd w:fill="CCEEFF" w:val="clear"/>
            <w:vAlign w:val="bottom"/>
          </w:tcPr>
          <w:p>
            <w:pPr>
              <w:pStyle w:val="TableContents"/>
              <w:spacing w:before="0" w:after="0"/>
              <w:ind w:left="675" w:right="0" w:hanging="225"/>
              <w:rPr/>
            </w:pPr>
            <w:r>
              <w:rPr/>
              <w:t>Payday loan loss provision</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1,338</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888</w:t>
            </w:r>
          </w:p>
        </w:tc>
        <w:tc>
          <w:tcPr>
            <w:tcW w:w="135" w:type="dxa"/>
            <w:tcBorders/>
            <w:shd w:fill="CCEE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675" w:right="0" w:hanging="225"/>
              <w:rPr/>
            </w:pPr>
            <w:r>
              <w:rPr/>
              <w:t>Deferred taxes</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(500</w:t>
            </w:r>
          </w:p>
        </w:tc>
        <w:tc>
          <w:tcPr>
            <w:tcW w:w="129" w:type="dxa"/>
            <w:tcBorders/>
            <w:shd w:fill="auto" w:val="clear"/>
            <w:vAlign w:val="bottom"/>
          </w:tcPr>
          <w:p>
            <w:pPr>
              <w:pStyle w:val="TableContents"/>
              <w:spacing w:before="0" w:after="283"/>
              <w:rPr/>
            </w:pPr>
            <w:r>
              <w:rPr/>
              <w:t>)</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(95</w:t>
            </w:r>
          </w:p>
        </w:tc>
        <w:tc>
          <w:tcPr>
            <w:tcW w:w="135" w:type="dxa"/>
            <w:tcBorders/>
            <w:shd w:fill="auto" w:val="clear"/>
            <w:vAlign w:val="bottom"/>
          </w:tcPr>
          <w:p>
            <w:pPr>
              <w:pStyle w:val="TableContents"/>
              <w:spacing w:before="0" w:after="283"/>
              <w:rPr/>
            </w:pPr>
            <w:r>
              <w:rPr/>
              <w:t>)</w:t>
            </w:r>
          </w:p>
        </w:tc>
      </w:tr>
      <w:tr>
        <w:trPr/>
        <w:tc>
          <w:tcPr>
            <w:tcW w:w="7171" w:type="dxa"/>
            <w:tcBorders/>
            <w:shd w:fill="CCEEFF" w:val="clear"/>
            <w:vAlign w:val="bottom"/>
          </w:tcPr>
          <w:p>
            <w:pPr>
              <w:pStyle w:val="TableContents"/>
              <w:spacing w:before="0" w:after="0"/>
              <w:ind w:left="675" w:right="0" w:hanging="225"/>
              <w:rPr/>
            </w:pPr>
            <w:r>
              <w:rPr/>
              <w:t>Net loss on sale or disposal of assets</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24</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8</w:t>
            </w:r>
          </w:p>
        </w:tc>
        <w:tc>
          <w:tcPr>
            <w:tcW w:w="135" w:type="dxa"/>
            <w:tcBorders/>
            <w:shd w:fill="CCEE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675" w:right="0" w:hanging="225"/>
              <w:rPr/>
            </w:pPr>
            <w:r>
              <w:rPr/>
              <w:t>Share-based compensation</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1,664</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891</w:t>
            </w:r>
          </w:p>
        </w:tc>
        <w:tc>
          <w:tcPr>
            <w:tcW w:w="135" w:type="dxa"/>
            <w:tcBorders/>
            <w:shd w:fill="auto" w:val="clear"/>
            <w:vAlign w:val="bottom"/>
          </w:tcPr>
          <w:p>
            <w:pPr>
              <w:pStyle w:val="TableContents"/>
              <w:spacing w:before="0" w:after="283"/>
              <w:rPr/>
            </w:pPr>
            <w:r>
              <w:rPr/>
              <w:t> </w:t>
            </w:r>
          </w:p>
        </w:tc>
      </w:tr>
      <w:tr>
        <w:trPr/>
        <w:tc>
          <w:tcPr>
            <w:tcW w:w="7171" w:type="dxa"/>
            <w:tcBorders/>
            <w:shd w:fill="CCEEFF" w:val="clear"/>
            <w:vAlign w:val="bottom"/>
          </w:tcPr>
          <w:p>
            <w:pPr>
              <w:pStyle w:val="TableContents"/>
              <w:spacing w:before="0" w:after="0"/>
              <w:ind w:left="675" w:right="0" w:hanging="225"/>
              <w:rPr/>
            </w:pPr>
            <w:r>
              <w:rPr/>
              <w:t>Income from investment in unconsolidated affiliate</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774" w:type="dxa"/>
            <w:tcBorders/>
            <w:shd w:fill="CCEEFF" w:val="clear"/>
            <w:vAlign w:val="bottom"/>
          </w:tcPr>
          <w:p>
            <w:pPr>
              <w:pStyle w:val="TableContents"/>
              <w:spacing w:before="0" w:after="283"/>
              <w:jc w:val="right"/>
              <w:rPr/>
            </w:pPr>
            <w:r>
              <w:rPr/>
              <w:t>(1,465</w:t>
            </w:r>
          </w:p>
        </w:tc>
        <w:tc>
          <w:tcPr>
            <w:tcW w:w="129" w:type="dxa"/>
            <w:tcBorders/>
            <w:shd w:fill="CCEEFF" w:val="clear"/>
            <w:vAlign w:val="bottom"/>
          </w:tcPr>
          <w:p>
            <w:pPr>
              <w:pStyle w:val="TableContents"/>
              <w:spacing w:before="0" w:after="283"/>
              <w:rPr/>
            </w:pPr>
            <w:r>
              <w:rPr/>
              <w:t>)</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774" w:type="dxa"/>
            <w:tcBorders/>
            <w:shd w:fill="CCEEFF" w:val="clear"/>
            <w:vAlign w:val="bottom"/>
          </w:tcPr>
          <w:p>
            <w:pPr>
              <w:pStyle w:val="TableContents"/>
              <w:spacing w:before="0" w:after="283"/>
              <w:jc w:val="right"/>
              <w:rPr/>
            </w:pPr>
            <w:r>
              <w:rPr/>
              <w:t>(1,188</w:t>
            </w:r>
          </w:p>
        </w:tc>
        <w:tc>
          <w:tcPr>
            <w:tcW w:w="135" w:type="dxa"/>
            <w:tcBorders/>
            <w:shd w:fill="CCEEFF" w:val="clear"/>
            <w:vAlign w:val="bottom"/>
          </w:tcPr>
          <w:p>
            <w:pPr>
              <w:pStyle w:val="TableContents"/>
              <w:spacing w:before="0" w:after="283"/>
              <w:rPr/>
            </w:pPr>
            <w:r>
              <w:rPr/>
              <w:t>)</w:t>
            </w:r>
          </w:p>
        </w:tc>
      </w:tr>
      <w:tr>
        <w:trPr/>
        <w:tc>
          <w:tcPr>
            <w:tcW w:w="7171" w:type="dxa"/>
            <w:tcBorders/>
            <w:shd w:fill="auto" w:val="clear"/>
            <w:vAlign w:val="bottom"/>
          </w:tcPr>
          <w:p>
            <w:pPr>
              <w:pStyle w:val="TableContents"/>
              <w:spacing w:before="0" w:after="0"/>
              <w:ind w:left="450" w:right="0" w:hanging="225"/>
              <w:rPr/>
            </w:pPr>
            <w:r>
              <w:rPr/>
              <w:t>Changes in operating assets and liabilities, net of business acquisitions:</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171" w:type="dxa"/>
            <w:tcBorders/>
            <w:shd w:fill="CCEEFF" w:val="clear"/>
            <w:vAlign w:val="bottom"/>
          </w:tcPr>
          <w:p>
            <w:pPr>
              <w:pStyle w:val="TableContents"/>
              <w:spacing w:before="0" w:after="0"/>
              <w:ind w:left="675" w:right="0" w:hanging="225"/>
              <w:rPr/>
            </w:pPr>
            <w:r>
              <w:rPr/>
              <w:t>Service charges and fees receivable, net</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1,294</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3,279</w:t>
            </w:r>
          </w:p>
        </w:tc>
        <w:tc>
          <w:tcPr>
            <w:tcW w:w="135" w:type="dxa"/>
            <w:tcBorders/>
            <w:shd w:fill="CCEE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675" w:right="0" w:hanging="225"/>
              <w:rPr/>
            </w:pPr>
            <w:r>
              <w:rPr/>
              <w:t>Inventory, net</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1,053</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7</w:t>
            </w:r>
          </w:p>
        </w:tc>
        <w:tc>
          <w:tcPr>
            <w:tcW w:w="135" w:type="dxa"/>
            <w:tcBorders/>
            <w:shd w:fill="auto" w:val="clear"/>
            <w:vAlign w:val="bottom"/>
          </w:tcPr>
          <w:p>
            <w:pPr>
              <w:pStyle w:val="TableContents"/>
              <w:spacing w:before="0" w:after="283"/>
              <w:rPr/>
            </w:pPr>
            <w:r>
              <w:rPr/>
              <w:t> </w:t>
            </w:r>
          </w:p>
        </w:tc>
      </w:tr>
      <w:tr>
        <w:trPr/>
        <w:tc>
          <w:tcPr>
            <w:tcW w:w="7171" w:type="dxa"/>
            <w:tcBorders/>
            <w:shd w:fill="CCEEFF" w:val="clear"/>
            <w:vAlign w:val="bottom"/>
          </w:tcPr>
          <w:p>
            <w:pPr>
              <w:pStyle w:val="TableContents"/>
              <w:spacing w:before="0" w:after="0"/>
              <w:ind w:left="675" w:right="0" w:hanging="225"/>
              <w:rPr/>
            </w:pPr>
            <w:r>
              <w:rPr/>
              <w:t>Prepaid expenses, other current assets, and other assets, net</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774" w:type="dxa"/>
            <w:tcBorders/>
            <w:shd w:fill="CCEEFF" w:val="clear"/>
            <w:vAlign w:val="bottom"/>
          </w:tcPr>
          <w:p>
            <w:pPr>
              <w:pStyle w:val="TableContents"/>
              <w:spacing w:before="0" w:after="283"/>
              <w:jc w:val="right"/>
              <w:rPr/>
            </w:pPr>
            <w:r>
              <w:rPr/>
              <w:t>(1,519</w:t>
            </w:r>
          </w:p>
        </w:tc>
        <w:tc>
          <w:tcPr>
            <w:tcW w:w="129" w:type="dxa"/>
            <w:tcBorders/>
            <w:shd w:fill="CCEEFF" w:val="clear"/>
            <w:vAlign w:val="bottom"/>
          </w:tcPr>
          <w:p>
            <w:pPr>
              <w:pStyle w:val="TableContents"/>
              <w:spacing w:before="0" w:after="283"/>
              <w:rPr/>
            </w:pPr>
            <w:r>
              <w:rPr/>
              <w:t>)</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774" w:type="dxa"/>
            <w:tcBorders/>
            <w:shd w:fill="CCEEFF" w:val="clear"/>
            <w:vAlign w:val="bottom"/>
          </w:tcPr>
          <w:p>
            <w:pPr>
              <w:pStyle w:val="TableContents"/>
              <w:spacing w:before="0" w:after="283"/>
              <w:jc w:val="right"/>
              <w:rPr/>
            </w:pPr>
            <w:r>
              <w:rPr/>
              <w:t>(2,028</w:t>
            </w:r>
          </w:p>
        </w:tc>
        <w:tc>
          <w:tcPr>
            <w:tcW w:w="135" w:type="dxa"/>
            <w:tcBorders/>
            <w:shd w:fill="CCEEFF" w:val="clear"/>
            <w:vAlign w:val="bottom"/>
          </w:tcPr>
          <w:p>
            <w:pPr>
              <w:pStyle w:val="TableContents"/>
              <w:spacing w:before="0" w:after="283"/>
              <w:rPr/>
            </w:pPr>
            <w:r>
              <w:rPr/>
              <w:t>)</w:t>
            </w:r>
          </w:p>
        </w:tc>
      </w:tr>
      <w:tr>
        <w:trPr/>
        <w:tc>
          <w:tcPr>
            <w:tcW w:w="7171" w:type="dxa"/>
            <w:tcBorders/>
            <w:shd w:fill="auto" w:val="clear"/>
            <w:vAlign w:val="bottom"/>
          </w:tcPr>
          <w:p>
            <w:pPr>
              <w:pStyle w:val="TableContents"/>
              <w:spacing w:before="0" w:after="0"/>
              <w:ind w:left="675" w:right="0" w:hanging="225"/>
              <w:rPr/>
            </w:pPr>
            <w:r>
              <w:rPr/>
              <w:t>Accounts payable and accrued expenses</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(3,999</w:t>
            </w:r>
          </w:p>
        </w:tc>
        <w:tc>
          <w:tcPr>
            <w:tcW w:w="129" w:type="dxa"/>
            <w:tcBorders/>
            <w:shd w:fill="auto" w:val="clear"/>
            <w:vAlign w:val="bottom"/>
          </w:tcPr>
          <w:p>
            <w:pPr>
              <w:pStyle w:val="TableContents"/>
              <w:spacing w:before="0" w:after="283"/>
              <w:rPr/>
            </w:pPr>
            <w:r>
              <w:rPr/>
              <w:t>)</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(2,453</w:t>
            </w:r>
          </w:p>
        </w:tc>
        <w:tc>
          <w:tcPr>
            <w:tcW w:w="135" w:type="dxa"/>
            <w:tcBorders/>
            <w:shd w:fill="auto" w:val="clear"/>
            <w:vAlign w:val="bottom"/>
          </w:tcPr>
          <w:p>
            <w:pPr>
              <w:pStyle w:val="TableContents"/>
              <w:spacing w:before="0" w:after="283"/>
              <w:rPr/>
            </w:pPr>
            <w:r>
              <w:rPr/>
              <w:t>)</w:t>
            </w:r>
          </w:p>
        </w:tc>
      </w:tr>
      <w:tr>
        <w:trPr/>
        <w:tc>
          <w:tcPr>
            <w:tcW w:w="7171" w:type="dxa"/>
            <w:tcBorders/>
            <w:shd w:fill="CCEEFF" w:val="clear"/>
            <w:vAlign w:val="bottom"/>
          </w:tcPr>
          <w:p>
            <w:pPr>
              <w:pStyle w:val="TableContents"/>
              <w:spacing w:before="0" w:after="0"/>
              <w:ind w:left="675" w:right="0" w:hanging="225"/>
              <w:rPr/>
            </w:pPr>
            <w:r>
              <w:rPr/>
              <w:t>Customer layaway deposits</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278</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459</w:t>
            </w:r>
          </w:p>
        </w:tc>
        <w:tc>
          <w:tcPr>
            <w:tcW w:w="135" w:type="dxa"/>
            <w:tcBorders/>
            <w:shd w:fill="CCEE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675" w:right="0" w:hanging="225"/>
              <w:rPr/>
            </w:pPr>
            <w:r>
              <w:rPr/>
              <w:t>Deferred gains and other long-term liabilities</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(182</w:t>
            </w:r>
          </w:p>
        </w:tc>
        <w:tc>
          <w:tcPr>
            <w:tcW w:w="129" w:type="dxa"/>
            <w:tcBorders/>
            <w:shd w:fill="auto" w:val="clear"/>
            <w:vAlign w:val="bottom"/>
          </w:tcPr>
          <w:p>
            <w:pPr>
              <w:pStyle w:val="TableContents"/>
              <w:spacing w:before="0" w:after="283"/>
              <w:rPr/>
            </w:pPr>
            <w:r>
              <w:rPr/>
              <w:t>)</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(167</w:t>
            </w:r>
          </w:p>
        </w:tc>
        <w:tc>
          <w:tcPr>
            <w:tcW w:w="135" w:type="dxa"/>
            <w:tcBorders/>
            <w:shd w:fill="auto" w:val="clear"/>
            <w:vAlign w:val="bottom"/>
          </w:tcPr>
          <w:p>
            <w:pPr>
              <w:pStyle w:val="TableContents"/>
              <w:spacing w:before="0" w:after="283"/>
              <w:rPr/>
            </w:pPr>
            <w:r>
              <w:rPr/>
              <w:t>)</w:t>
            </w:r>
          </w:p>
        </w:tc>
      </w:tr>
      <w:tr>
        <w:trPr/>
        <w:tc>
          <w:tcPr>
            <w:tcW w:w="7171" w:type="dxa"/>
            <w:tcBorders/>
            <w:shd w:fill="CCEEFF" w:val="clear"/>
            <w:vAlign w:val="bottom"/>
          </w:tcPr>
          <w:p>
            <w:pPr>
              <w:pStyle w:val="TableContents"/>
              <w:spacing w:before="0" w:after="0"/>
              <w:ind w:left="675" w:right="0" w:hanging="225"/>
              <w:rPr/>
            </w:pPr>
            <w:r>
              <w:rPr/>
              <w:t>Excess tax benefit from stock-based compensation</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774" w:type="dxa"/>
            <w:tcBorders/>
            <w:shd w:fill="CCEEFF" w:val="clear"/>
            <w:vAlign w:val="bottom"/>
          </w:tcPr>
          <w:p>
            <w:pPr>
              <w:pStyle w:val="TableContents"/>
              <w:spacing w:before="0" w:after="283"/>
              <w:jc w:val="right"/>
              <w:rPr/>
            </w:pPr>
            <w:r>
              <w:rPr/>
              <w:t>(824</w:t>
            </w:r>
          </w:p>
        </w:tc>
        <w:tc>
          <w:tcPr>
            <w:tcW w:w="129" w:type="dxa"/>
            <w:tcBorders/>
            <w:shd w:fill="CCEEFF" w:val="clear"/>
            <w:vAlign w:val="bottom"/>
          </w:tcPr>
          <w:p>
            <w:pPr>
              <w:pStyle w:val="TableContents"/>
              <w:spacing w:before="0" w:after="283"/>
              <w:rPr/>
            </w:pPr>
            <w:r>
              <w:rPr/>
              <w:t>)</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w:t>
            </w:r>
          </w:p>
        </w:tc>
        <w:tc>
          <w:tcPr>
            <w:tcW w:w="135" w:type="dxa"/>
            <w:tcBorders/>
            <w:shd w:fill="CCEE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675" w:right="0" w:hanging="225"/>
              <w:rPr/>
            </w:pPr>
            <w:r>
              <w:rPr/>
              <w:t>Federal income taxes</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2,534</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421</w:t>
            </w:r>
          </w:p>
        </w:tc>
        <w:tc>
          <w:tcPr>
            <w:tcW w:w="135" w:type="dxa"/>
            <w:tcBorders/>
            <w:shd w:fill="auto" w:val="clear"/>
            <w:vAlign w:val="bottom"/>
          </w:tcPr>
          <w:p>
            <w:pPr>
              <w:pStyle w:val="TableContents"/>
              <w:spacing w:before="0" w:after="283"/>
              <w:rPr/>
            </w:pPr>
            <w:r>
              <w:rPr/>
              <w:t> </w:t>
            </w:r>
          </w:p>
        </w:tc>
      </w:tr>
      <w:tr>
        <w:trPr/>
        <w:tc>
          <w:tcPr>
            <w:tcW w:w="7171" w:type="dxa"/>
            <w:tcBorders/>
            <w:shd w:fill="auto" w:val="clear"/>
            <w:vAlign w:val="center"/>
          </w:tcPr>
          <w:p>
            <w:pPr>
              <w:pStyle w:val="TableContents"/>
              <w:spacing w:before="0" w:after="0"/>
              <w:ind w:left="225" w:right="0" w:hanging="225"/>
              <w:rPr/>
            </w:pPr>
            <w:r>
              <w:rPr/>
              <w:t> </w:t>
            </w:r>
          </w:p>
        </w:tc>
        <w:tc>
          <w:tcPr>
            <w:tcW w:w="462"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62"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171" w:type="dxa"/>
            <w:tcBorders/>
            <w:shd w:fill="CCEEFF" w:val="clear"/>
            <w:vAlign w:val="bottom"/>
          </w:tcPr>
          <w:p>
            <w:pPr>
              <w:pStyle w:val="TableContents"/>
              <w:spacing w:before="0" w:after="0"/>
              <w:ind w:left="900" w:right="0" w:hanging="225"/>
              <w:rPr/>
            </w:pPr>
            <w:r>
              <w:rPr/>
              <w:t>Net cash provided by operating activities</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24,352</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18,764</w:t>
            </w:r>
          </w:p>
        </w:tc>
        <w:tc>
          <w:tcPr>
            <w:tcW w:w="135" w:type="dxa"/>
            <w:tcBorders/>
            <w:shd w:fill="CCEE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225" w:right="0" w:hanging="225"/>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225" w:right="0" w:hanging="225"/>
              <w:rPr/>
            </w:pPr>
            <w:r>
              <w:rPr/>
              <w:t>Investing Activities:</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171" w:type="dxa"/>
            <w:tcBorders/>
            <w:shd w:fill="CCEEFF" w:val="clear"/>
            <w:vAlign w:val="bottom"/>
          </w:tcPr>
          <w:p>
            <w:pPr>
              <w:pStyle w:val="TableContents"/>
              <w:spacing w:before="0" w:after="0"/>
              <w:ind w:left="450" w:right="0" w:hanging="225"/>
              <w:rPr/>
            </w:pPr>
            <w:r>
              <w:rPr/>
              <w:t>Pawn loans made</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774" w:type="dxa"/>
            <w:tcBorders/>
            <w:shd w:fill="CCEEFF" w:val="clear"/>
            <w:vAlign w:val="bottom"/>
          </w:tcPr>
          <w:p>
            <w:pPr>
              <w:pStyle w:val="TableContents"/>
              <w:spacing w:before="0" w:after="283"/>
              <w:jc w:val="right"/>
              <w:rPr/>
            </w:pPr>
            <w:r>
              <w:rPr/>
              <w:t>(92,358</w:t>
            </w:r>
          </w:p>
        </w:tc>
        <w:tc>
          <w:tcPr>
            <w:tcW w:w="129" w:type="dxa"/>
            <w:tcBorders/>
            <w:shd w:fill="CCEEFF" w:val="clear"/>
            <w:vAlign w:val="bottom"/>
          </w:tcPr>
          <w:p>
            <w:pPr>
              <w:pStyle w:val="TableContents"/>
              <w:spacing w:before="0" w:after="283"/>
              <w:rPr/>
            </w:pPr>
            <w:r>
              <w:rPr/>
              <w:t>)</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774" w:type="dxa"/>
            <w:tcBorders/>
            <w:shd w:fill="CCEEFF" w:val="clear"/>
            <w:vAlign w:val="bottom"/>
          </w:tcPr>
          <w:p>
            <w:pPr>
              <w:pStyle w:val="TableContents"/>
              <w:spacing w:before="0" w:after="283"/>
              <w:jc w:val="right"/>
              <w:rPr/>
            </w:pPr>
            <w:r>
              <w:rPr/>
              <w:t>(85,782</w:t>
            </w:r>
          </w:p>
        </w:tc>
        <w:tc>
          <w:tcPr>
            <w:tcW w:w="135" w:type="dxa"/>
            <w:tcBorders/>
            <w:shd w:fill="CCEEFF" w:val="clear"/>
            <w:vAlign w:val="bottom"/>
          </w:tcPr>
          <w:p>
            <w:pPr>
              <w:pStyle w:val="TableContents"/>
              <w:spacing w:before="0" w:after="283"/>
              <w:rPr/>
            </w:pPr>
            <w:r>
              <w:rPr/>
              <w:t>)</w:t>
            </w:r>
          </w:p>
        </w:tc>
      </w:tr>
      <w:tr>
        <w:trPr/>
        <w:tc>
          <w:tcPr>
            <w:tcW w:w="7171" w:type="dxa"/>
            <w:tcBorders/>
            <w:shd w:fill="auto" w:val="clear"/>
            <w:vAlign w:val="bottom"/>
          </w:tcPr>
          <w:p>
            <w:pPr>
              <w:pStyle w:val="TableContents"/>
              <w:spacing w:before="0" w:after="0"/>
              <w:ind w:left="450" w:right="0" w:hanging="225"/>
              <w:rPr/>
            </w:pPr>
            <w:r>
              <w:rPr/>
              <w:t>Pawn loans repaid</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55,464</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53,718</w:t>
            </w:r>
          </w:p>
        </w:tc>
        <w:tc>
          <w:tcPr>
            <w:tcW w:w="135" w:type="dxa"/>
            <w:tcBorders/>
            <w:shd w:fill="auto" w:val="clear"/>
            <w:vAlign w:val="bottom"/>
          </w:tcPr>
          <w:p>
            <w:pPr>
              <w:pStyle w:val="TableContents"/>
              <w:spacing w:before="0" w:after="283"/>
              <w:rPr/>
            </w:pPr>
            <w:r>
              <w:rPr/>
              <w:t> </w:t>
            </w:r>
          </w:p>
        </w:tc>
      </w:tr>
      <w:tr>
        <w:trPr/>
        <w:tc>
          <w:tcPr>
            <w:tcW w:w="7171" w:type="dxa"/>
            <w:tcBorders/>
            <w:shd w:fill="CCEEFF" w:val="clear"/>
            <w:vAlign w:val="bottom"/>
          </w:tcPr>
          <w:p>
            <w:pPr>
              <w:pStyle w:val="TableContents"/>
              <w:spacing w:before="0" w:after="0"/>
              <w:ind w:left="450" w:right="0" w:hanging="225"/>
              <w:rPr/>
            </w:pPr>
            <w:r>
              <w:rPr/>
              <w:t>Recovery of pawn loan principal through sale of forfeited collateral</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50,003</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46,337</w:t>
            </w:r>
          </w:p>
        </w:tc>
        <w:tc>
          <w:tcPr>
            <w:tcW w:w="135" w:type="dxa"/>
            <w:tcBorders/>
            <w:shd w:fill="CCEE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450" w:right="0" w:hanging="225"/>
              <w:rPr/>
            </w:pPr>
            <w:r>
              <w:rPr/>
              <w:t>Payday loans made</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(19,110</w:t>
            </w:r>
          </w:p>
        </w:tc>
        <w:tc>
          <w:tcPr>
            <w:tcW w:w="129" w:type="dxa"/>
            <w:tcBorders/>
            <w:shd w:fill="auto" w:val="clear"/>
            <w:vAlign w:val="bottom"/>
          </w:tcPr>
          <w:p>
            <w:pPr>
              <w:pStyle w:val="TableContents"/>
              <w:spacing w:before="0" w:after="283"/>
              <w:rPr/>
            </w:pPr>
            <w:r>
              <w:rPr/>
              <w:t>)</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(10,189</w:t>
            </w:r>
          </w:p>
        </w:tc>
        <w:tc>
          <w:tcPr>
            <w:tcW w:w="135" w:type="dxa"/>
            <w:tcBorders/>
            <w:shd w:fill="auto" w:val="clear"/>
            <w:vAlign w:val="bottom"/>
          </w:tcPr>
          <w:p>
            <w:pPr>
              <w:pStyle w:val="TableContents"/>
              <w:spacing w:before="0" w:after="283"/>
              <w:rPr/>
            </w:pPr>
            <w:r>
              <w:rPr/>
              <w:t>)</w:t>
            </w:r>
          </w:p>
        </w:tc>
      </w:tr>
      <w:tr>
        <w:trPr/>
        <w:tc>
          <w:tcPr>
            <w:tcW w:w="7171" w:type="dxa"/>
            <w:tcBorders/>
            <w:shd w:fill="CCEEFF" w:val="clear"/>
            <w:vAlign w:val="bottom"/>
          </w:tcPr>
          <w:p>
            <w:pPr>
              <w:pStyle w:val="TableContents"/>
              <w:spacing w:before="0" w:after="0"/>
              <w:ind w:left="450" w:right="0" w:hanging="225"/>
              <w:rPr/>
            </w:pPr>
            <w:r>
              <w:rPr/>
              <w:t>Payday loans repaid</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16,903</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9,437</w:t>
            </w:r>
          </w:p>
        </w:tc>
        <w:tc>
          <w:tcPr>
            <w:tcW w:w="135" w:type="dxa"/>
            <w:tcBorders/>
            <w:shd w:fill="CCEE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450" w:right="0" w:hanging="225"/>
              <w:rPr/>
            </w:pPr>
            <w:r>
              <w:rPr/>
              <w:t>Additions to property and equipment</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(6,248</w:t>
            </w:r>
          </w:p>
        </w:tc>
        <w:tc>
          <w:tcPr>
            <w:tcW w:w="129" w:type="dxa"/>
            <w:tcBorders/>
            <w:shd w:fill="auto" w:val="clear"/>
            <w:vAlign w:val="bottom"/>
          </w:tcPr>
          <w:p>
            <w:pPr>
              <w:pStyle w:val="TableContents"/>
              <w:spacing w:before="0" w:after="283"/>
              <w:rPr/>
            </w:pPr>
            <w:r>
              <w:rPr/>
              <w:t>)</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(4,385</w:t>
            </w:r>
          </w:p>
        </w:tc>
        <w:tc>
          <w:tcPr>
            <w:tcW w:w="135" w:type="dxa"/>
            <w:tcBorders/>
            <w:shd w:fill="auto" w:val="clear"/>
            <w:vAlign w:val="bottom"/>
          </w:tcPr>
          <w:p>
            <w:pPr>
              <w:pStyle w:val="TableContents"/>
              <w:spacing w:before="0" w:after="283"/>
              <w:rPr/>
            </w:pPr>
            <w:r>
              <w:rPr/>
              <w:t>)</w:t>
            </w:r>
          </w:p>
        </w:tc>
      </w:tr>
      <w:tr>
        <w:trPr/>
        <w:tc>
          <w:tcPr>
            <w:tcW w:w="7171" w:type="dxa"/>
            <w:tcBorders/>
            <w:shd w:fill="CCEEFF" w:val="clear"/>
            <w:vAlign w:val="bottom"/>
          </w:tcPr>
          <w:p>
            <w:pPr>
              <w:pStyle w:val="TableContents"/>
              <w:spacing w:before="0" w:after="0"/>
              <w:ind w:left="450" w:right="0" w:hanging="225"/>
              <w:rPr/>
            </w:pPr>
            <w:r>
              <w:rPr/>
              <w:t>Acquisitions, net of cash acquired</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774" w:type="dxa"/>
            <w:tcBorders/>
            <w:shd w:fill="CCEEFF" w:val="clear"/>
            <w:vAlign w:val="bottom"/>
          </w:tcPr>
          <w:p>
            <w:pPr>
              <w:pStyle w:val="TableContents"/>
              <w:spacing w:before="0" w:after="283"/>
              <w:jc w:val="right"/>
              <w:rPr/>
            </w:pPr>
            <w:r>
              <w:rPr/>
              <w:t>(1,590</w:t>
            </w:r>
          </w:p>
        </w:tc>
        <w:tc>
          <w:tcPr>
            <w:tcW w:w="135" w:type="dxa"/>
            <w:tcBorders/>
            <w:shd w:fill="CCEEFF" w:val="clear"/>
            <w:vAlign w:val="bottom"/>
          </w:tcPr>
          <w:p>
            <w:pPr>
              <w:pStyle w:val="TableContents"/>
              <w:spacing w:before="0" w:after="283"/>
              <w:rPr/>
            </w:pPr>
            <w:r>
              <w:rPr/>
              <w:t>)</w:t>
            </w:r>
          </w:p>
        </w:tc>
      </w:tr>
      <w:tr>
        <w:trPr/>
        <w:tc>
          <w:tcPr>
            <w:tcW w:w="7171" w:type="dxa"/>
            <w:tcBorders/>
            <w:shd w:fill="auto" w:val="clear"/>
            <w:vAlign w:val="bottom"/>
          </w:tcPr>
          <w:p>
            <w:pPr>
              <w:pStyle w:val="TableContents"/>
              <w:spacing w:before="0" w:after="0"/>
              <w:ind w:left="450" w:right="0" w:hanging="225"/>
              <w:rPr/>
            </w:pPr>
            <w:r>
              <w:rPr/>
              <w:t>Dividends from unconsolidated affiliate</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826</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601</w:t>
            </w:r>
          </w:p>
        </w:tc>
        <w:tc>
          <w:tcPr>
            <w:tcW w:w="135" w:type="dxa"/>
            <w:tcBorders/>
            <w:shd w:fill="auto" w:val="clear"/>
            <w:vAlign w:val="bottom"/>
          </w:tcPr>
          <w:p>
            <w:pPr>
              <w:pStyle w:val="TableContents"/>
              <w:spacing w:before="0" w:after="283"/>
              <w:rPr/>
            </w:pPr>
            <w:r>
              <w:rPr/>
              <w:t> </w:t>
            </w:r>
          </w:p>
        </w:tc>
      </w:tr>
      <w:tr>
        <w:trPr/>
        <w:tc>
          <w:tcPr>
            <w:tcW w:w="7171" w:type="dxa"/>
            <w:tcBorders/>
            <w:shd w:fill="CCEEFF" w:val="clear"/>
            <w:vAlign w:val="bottom"/>
          </w:tcPr>
          <w:p>
            <w:pPr>
              <w:pStyle w:val="TableContents"/>
              <w:spacing w:before="0" w:after="0"/>
              <w:ind w:left="450" w:right="0" w:hanging="225"/>
              <w:rPr/>
            </w:pPr>
            <w:r>
              <w:rPr/>
              <w:t>Proceeds from sale of assets</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15</w:t>
            </w:r>
          </w:p>
        </w:tc>
        <w:tc>
          <w:tcPr>
            <w:tcW w:w="135" w:type="dxa"/>
            <w:tcBorders/>
            <w:shd w:fill="CCEEFF" w:val="clear"/>
            <w:vAlign w:val="bottom"/>
          </w:tcPr>
          <w:p>
            <w:pPr>
              <w:pStyle w:val="TableContents"/>
              <w:spacing w:before="0" w:after="283"/>
              <w:rPr/>
            </w:pPr>
            <w:r>
              <w:rPr/>
              <w:t> </w:t>
            </w:r>
          </w:p>
        </w:tc>
      </w:tr>
      <w:tr>
        <w:trPr/>
        <w:tc>
          <w:tcPr>
            <w:tcW w:w="7171" w:type="dxa"/>
            <w:tcBorders/>
            <w:shd w:fill="auto" w:val="clear"/>
            <w:vAlign w:val="center"/>
          </w:tcPr>
          <w:p>
            <w:pPr>
              <w:pStyle w:val="TableContents"/>
              <w:spacing w:before="0" w:after="0"/>
              <w:ind w:left="225" w:right="0" w:hanging="225"/>
              <w:rPr/>
            </w:pPr>
            <w:r>
              <w:rPr/>
              <w:t> </w:t>
            </w:r>
          </w:p>
        </w:tc>
        <w:tc>
          <w:tcPr>
            <w:tcW w:w="462"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62"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171" w:type="dxa"/>
            <w:tcBorders/>
            <w:shd w:fill="auto" w:val="clear"/>
            <w:vAlign w:val="bottom"/>
          </w:tcPr>
          <w:p>
            <w:pPr>
              <w:pStyle w:val="TableContents"/>
              <w:spacing w:before="0" w:after="0"/>
              <w:ind w:left="900" w:right="0" w:hanging="225"/>
              <w:rPr/>
            </w:pPr>
            <w:r>
              <w:rPr/>
              <w:t>Net cash provided by investing activities</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5,480</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8,162</w:t>
            </w:r>
          </w:p>
        </w:tc>
        <w:tc>
          <w:tcPr>
            <w:tcW w:w="135" w:type="dxa"/>
            <w:tcBorders/>
            <w:shd w:fill="auto"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225" w:right="0" w:hanging="225"/>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171" w:type="dxa"/>
            <w:tcBorders/>
            <w:shd w:fill="CCEEFF" w:val="clear"/>
            <w:vAlign w:val="bottom"/>
          </w:tcPr>
          <w:p>
            <w:pPr>
              <w:pStyle w:val="TableContents"/>
              <w:spacing w:before="0" w:after="0"/>
              <w:ind w:left="225" w:right="0" w:hanging="225"/>
              <w:rPr/>
            </w:pPr>
            <w:r>
              <w:rPr/>
              <w:t>Financing Activities:</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450" w:right="0" w:hanging="225"/>
              <w:rPr/>
            </w:pPr>
            <w:r>
              <w:rPr/>
              <w:t>Proceeds from exercise of stock options and warrants</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1,293</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1,947</w:t>
            </w:r>
          </w:p>
        </w:tc>
        <w:tc>
          <w:tcPr>
            <w:tcW w:w="135" w:type="dxa"/>
            <w:tcBorders/>
            <w:shd w:fill="auto" w:val="clear"/>
            <w:vAlign w:val="bottom"/>
          </w:tcPr>
          <w:p>
            <w:pPr>
              <w:pStyle w:val="TableContents"/>
              <w:spacing w:before="0" w:after="283"/>
              <w:rPr/>
            </w:pPr>
            <w:r>
              <w:rPr/>
              <w:t> </w:t>
            </w:r>
          </w:p>
        </w:tc>
      </w:tr>
      <w:tr>
        <w:trPr/>
        <w:tc>
          <w:tcPr>
            <w:tcW w:w="7171" w:type="dxa"/>
            <w:tcBorders/>
            <w:shd w:fill="CCEEFF" w:val="clear"/>
            <w:vAlign w:val="bottom"/>
          </w:tcPr>
          <w:p>
            <w:pPr>
              <w:pStyle w:val="TableContents"/>
              <w:spacing w:before="0" w:after="0"/>
              <w:ind w:left="450" w:right="0" w:hanging="225"/>
              <w:rPr/>
            </w:pPr>
            <w:r>
              <w:rPr/>
              <w:t>Excess tax benefit from stock-based compensation</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824</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w:t>
            </w:r>
          </w:p>
        </w:tc>
        <w:tc>
          <w:tcPr>
            <w:tcW w:w="135" w:type="dxa"/>
            <w:tcBorders/>
            <w:shd w:fill="CCEE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450" w:right="0" w:hanging="225"/>
              <w:rPr/>
            </w:pPr>
            <w:r>
              <w:rPr/>
              <w:t>Debt issuance costs</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(283</w:t>
            </w:r>
          </w:p>
        </w:tc>
        <w:tc>
          <w:tcPr>
            <w:tcW w:w="129" w:type="dxa"/>
            <w:tcBorders/>
            <w:shd w:fill="auto" w:val="clear"/>
            <w:vAlign w:val="bottom"/>
          </w:tcPr>
          <w:p>
            <w:pPr>
              <w:pStyle w:val="TableContents"/>
              <w:spacing w:before="0" w:after="283"/>
              <w:rPr/>
            </w:pPr>
            <w:r>
              <w:rPr/>
              <w:t>)</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r>
      <w:tr>
        <w:trPr/>
        <w:tc>
          <w:tcPr>
            <w:tcW w:w="7171" w:type="dxa"/>
            <w:tcBorders/>
            <w:shd w:fill="CCEEFF" w:val="clear"/>
            <w:vAlign w:val="bottom"/>
          </w:tcPr>
          <w:p>
            <w:pPr>
              <w:pStyle w:val="TableContents"/>
              <w:spacing w:before="0" w:after="0"/>
              <w:ind w:left="450" w:right="0" w:hanging="225"/>
              <w:rPr/>
            </w:pPr>
            <w:r>
              <w:rPr/>
              <w:t>Net payments on bank borrowings</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774" w:type="dxa"/>
            <w:tcBorders/>
            <w:shd w:fill="CCEEFF" w:val="clear"/>
            <w:vAlign w:val="bottom"/>
          </w:tcPr>
          <w:p>
            <w:pPr>
              <w:pStyle w:val="TableContents"/>
              <w:spacing w:before="0" w:after="283"/>
              <w:jc w:val="right"/>
              <w:rPr/>
            </w:pPr>
            <w:r>
              <w:rPr/>
              <w:t>(7,000</w:t>
            </w:r>
          </w:p>
        </w:tc>
        <w:tc>
          <w:tcPr>
            <w:tcW w:w="135" w:type="dxa"/>
            <w:tcBorders/>
            <w:shd w:fill="CCEEFF" w:val="clear"/>
            <w:vAlign w:val="bottom"/>
          </w:tcPr>
          <w:p>
            <w:pPr>
              <w:pStyle w:val="TableContents"/>
              <w:spacing w:before="0" w:after="283"/>
              <w:rPr/>
            </w:pPr>
            <w:r>
              <w:rPr/>
              <w:t>)</w:t>
            </w:r>
          </w:p>
        </w:tc>
      </w:tr>
      <w:tr>
        <w:trPr/>
        <w:tc>
          <w:tcPr>
            <w:tcW w:w="7171" w:type="dxa"/>
            <w:tcBorders/>
            <w:shd w:fill="auto" w:val="clear"/>
            <w:vAlign w:val="center"/>
          </w:tcPr>
          <w:p>
            <w:pPr>
              <w:pStyle w:val="TableContents"/>
              <w:spacing w:before="0" w:after="0"/>
              <w:ind w:left="225" w:right="0" w:hanging="225"/>
              <w:rPr/>
            </w:pPr>
            <w:r>
              <w:rPr/>
              <w:t> </w:t>
            </w:r>
          </w:p>
        </w:tc>
        <w:tc>
          <w:tcPr>
            <w:tcW w:w="462"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62"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171" w:type="dxa"/>
            <w:tcBorders/>
            <w:shd w:fill="auto" w:val="clear"/>
            <w:vAlign w:val="bottom"/>
          </w:tcPr>
          <w:p>
            <w:pPr>
              <w:pStyle w:val="TableContents"/>
              <w:spacing w:before="0" w:after="0"/>
              <w:ind w:left="900" w:right="0" w:hanging="225"/>
              <w:rPr/>
            </w:pPr>
            <w:r>
              <w:rPr/>
              <w:t>Net cash provided by (used in) financing activities</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1,834</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(5,053</w:t>
            </w:r>
          </w:p>
        </w:tc>
        <w:tc>
          <w:tcPr>
            <w:tcW w:w="135" w:type="dxa"/>
            <w:tcBorders/>
            <w:shd w:fill="auto" w:val="clear"/>
            <w:vAlign w:val="bottom"/>
          </w:tcPr>
          <w:p>
            <w:pPr>
              <w:pStyle w:val="TableContents"/>
              <w:spacing w:before="0" w:after="283"/>
              <w:rPr/>
            </w:pPr>
            <w:r>
              <w:rPr/>
              <w:t>)</w:t>
            </w:r>
          </w:p>
        </w:tc>
      </w:tr>
      <w:tr>
        <w:trPr/>
        <w:tc>
          <w:tcPr>
            <w:tcW w:w="7171" w:type="dxa"/>
            <w:tcBorders/>
            <w:shd w:fill="auto" w:val="clear"/>
            <w:vAlign w:val="center"/>
          </w:tcPr>
          <w:p>
            <w:pPr>
              <w:pStyle w:val="TableContents"/>
              <w:spacing w:before="0" w:after="0"/>
              <w:ind w:left="225" w:right="0" w:hanging="225"/>
              <w:rPr/>
            </w:pPr>
            <w:r>
              <w:rPr/>
              <w:t> </w:t>
            </w:r>
          </w:p>
        </w:tc>
        <w:tc>
          <w:tcPr>
            <w:tcW w:w="462"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62"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171" w:type="dxa"/>
            <w:tcBorders/>
            <w:shd w:fill="auto" w:val="clear"/>
            <w:vAlign w:val="bottom"/>
          </w:tcPr>
          <w:p>
            <w:pPr>
              <w:pStyle w:val="TableContents"/>
              <w:spacing w:before="0" w:after="0"/>
              <w:ind w:left="225" w:right="0" w:hanging="225"/>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171" w:type="dxa"/>
            <w:tcBorders/>
            <w:shd w:fill="CCEEFF" w:val="clear"/>
            <w:vAlign w:val="bottom"/>
          </w:tcPr>
          <w:p>
            <w:pPr>
              <w:pStyle w:val="TableContents"/>
              <w:spacing w:before="0" w:after="0"/>
              <w:ind w:left="225" w:right="0" w:hanging="225"/>
              <w:rPr/>
            </w:pPr>
            <w:r>
              <w:rPr/>
              <w:t>Change in cash and equivalents</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31,666</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21,873</w:t>
            </w:r>
          </w:p>
        </w:tc>
        <w:tc>
          <w:tcPr>
            <w:tcW w:w="135" w:type="dxa"/>
            <w:tcBorders/>
            <w:shd w:fill="CCEE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225" w:right="0" w:hanging="225"/>
              <w:rPr/>
            </w:pPr>
            <w:r>
              <w:rPr/>
              <w:t>Cash and equivalents at beginning of period</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29,939</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4,168</w:t>
            </w:r>
          </w:p>
        </w:tc>
        <w:tc>
          <w:tcPr>
            <w:tcW w:w="135" w:type="dxa"/>
            <w:tcBorders/>
            <w:shd w:fill="auto" w:val="clear"/>
            <w:vAlign w:val="bottom"/>
          </w:tcPr>
          <w:p>
            <w:pPr>
              <w:pStyle w:val="TableContents"/>
              <w:spacing w:before="0" w:after="283"/>
              <w:rPr/>
            </w:pPr>
            <w:r>
              <w:rPr/>
              <w:t> </w:t>
            </w:r>
          </w:p>
        </w:tc>
      </w:tr>
      <w:tr>
        <w:trPr/>
        <w:tc>
          <w:tcPr>
            <w:tcW w:w="7171" w:type="dxa"/>
            <w:tcBorders/>
            <w:shd w:fill="auto" w:val="clear"/>
            <w:vAlign w:val="center"/>
          </w:tcPr>
          <w:p>
            <w:pPr>
              <w:pStyle w:val="TableContents"/>
              <w:spacing w:before="0" w:after="0"/>
              <w:ind w:left="225" w:right="0" w:hanging="225"/>
              <w:rPr/>
            </w:pPr>
            <w:r>
              <w:rPr/>
              <w:t> </w:t>
            </w:r>
          </w:p>
        </w:tc>
        <w:tc>
          <w:tcPr>
            <w:tcW w:w="462"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62"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171" w:type="dxa"/>
            <w:tcBorders/>
            <w:shd w:fill="CCEEFF" w:val="clear"/>
            <w:vAlign w:val="bottom"/>
          </w:tcPr>
          <w:p>
            <w:pPr>
              <w:pStyle w:val="TableContents"/>
              <w:spacing w:before="0" w:after="0"/>
              <w:ind w:left="225" w:right="0" w:hanging="225"/>
              <w:rPr/>
            </w:pPr>
            <w:r>
              <w:rPr/>
              <w:t>Cash and equivalents at end of period</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w:t>
            </w:r>
          </w:p>
        </w:tc>
        <w:tc>
          <w:tcPr>
            <w:tcW w:w="774" w:type="dxa"/>
            <w:tcBorders/>
            <w:shd w:fill="CCEEFF" w:val="clear"/>
            <w:vAlign w:val="bottom"/>
          </w:tcPr>
          <w:p>
            <w:pPr>
              <w:pStyle w:val="TableContents"/>
              <w:spacing w:before="0" w:after="283"/>
              <w:jc w:val="right"/>
              <w:rPr/>
            </w:pPr>
            <w:r>
              <w:rPr/>
              <w:t>61,605</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w:t>
            </w:r>
          </w:p>
        </w:tc>
        <w:tc>
          <w:tcPr>
            <w:tcW w:w="774" w:type="dxa"/>
            <w:tcBorders/>
            <w:shd w:fill="CCEEFF" w:val="clear"/>
            <w:vAlign w:val="bottom"/>
          </w:tcPr>
          <w:p>
            <w:pPr>
              <w:pStyle w:val="TableContents"/>
              <w:spacing w:before="0" w:after="283"/>
              <w:jc w:val="right"/>
              <w:rPr/>
            </w:pPr>
            <w:r>
              <w:rPr/>
              <w:t>26,041</w:t>
            </w:r>
          </w:p>
        </w:tc>
        <w:tc>
          <w:tcPr>
            <w:tcW w:w="135" w:type="dxa"/>
            <w:tcBorders/>
            <w:shd w:fill="CCEEFF" w:val="clear"/>
            <w:vAlign w:val="bottom"/>
          </w:tcPr>
          <w:p>
            <w:pPr>
              <w:pStyle w:val="TableContents"/>
              <w:spacing w:before="0" w:after="283"/>
              <w:rPr/>
            </w:pPr>
            <w:r>
              <w:rPr/>
              <w:t> </w:t>
            </w:r>
          </w:p>
        </w:tc>
      </w:tr>
      <w:tr>
        <w:trPr/>
        <w:tc>
          <w:tcPr>
            <w:tcW w:w="7171" w:type="dxa"/>
            <w:tcBorders/>
            <w:shd w:fill="auto" w:val="clear"/>
            <w:vAlign w:val="center"/>
          </w:tcPr>
          <w:p>
            <w:pPr>
              <w:pStyle w:val="TableContents"/>
              <w:spacing w:before="0" w:after="0"/>
              <w:ind w:left="225" w:right="0" w:hanging="225"/>
              <w:rPr/>
            </w:pPr>
            <w:r>
              <w:rPr/>
              <w:t> </w:t>
            </w:r>
          </w:p>
        </w:tc>
        <w:tc>
          <w:tcPr>
            <w:tcW w:w="462" w:type="dxa"/>
            <w:tcBorders/>
            <w:shd w:fill="auto" w:val="clear"/>
            <w:vAlign w:val="center"/>
          </w:tcPr>
          <w:p>
            <w:pPr>
              <w:pStyle w:val="TableContents"/>
              <w:spacing w:before="0" w:after="283"/>
              <w:rPr/>
            </w:pPr>
            <w:r>
              <w:rPr/>
              <w:t> </w:t>
            </w:r>
          </w:p>
        </w:tc>
        <w:tc>
          <w:tcPr>
            <w:tcW w:w="9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62" w:type="dxa"/>
            <w:tcBorders/>
            <w:shd w:fill="auto" w:val="clear"/>
            <w:vAlign w:val="center"/>
          </w:tcPr>
          <w:p>
            <w:pPr>
              <w:pStyle w:val="TableContents"/>
              <w:spacing w:before="0" w:after="283"/>
              <w:rPr/>
            </w:pPr>
            <w:r>
              <w:rPr/>
              <w:t> </w:t>
            </w:r>
          </w:p>
        </w:tc>
        <w:tc>
          <w:tcPr>
            <w:tcW w:w="9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171" w:type="dxa"/>
            <w:tcBorders/>
            <w:shd w:fill="auto" w:val="clear"/>
            <w:vAlign w:val="bottom"/>
          </w:tcPr>
          <w:p>
            <w:pPr>
              <w:pStyle w:val="TableContents"/>
              <w:spacing w:before="0" w:after="0"/>
              <w:ind w:left="225" w:right="0" w:hanging="225"/>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225" w:right="0" w:hanging="225"/>
              <w:rPr/>
            </w:pPr>
            <w:r>
              <w:rPr/>
              <w:t>Non-cash Investing and Financing Activities:</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171" w:type="dxa"/>
            <w:tcBorders/>
            <w:shd w:fill="CCEEFF" w:val="clear"/>
            <w:vAlign w:val="bottom"/>
          </w:tcPr>
          <w:p>
            <w:pPr>
              <w:pStyle w:val="TableContents"/>
              <w:spacing w:before="0" w:after="0"/>
              <w:ind w:left="450" w:right="0" w:hanging="225"/>
              <w:rPr/>
            </w:pPr>
            <w:r>
              <w:rPr/>
              <w:t>Pawn loans forfeited and transferred to inventory</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w:t>
            </w:r>
          </w:p>
        </w:tc>
        <w:tc>
          <w:tcPr>
            <w:tcW w:w="774" w:type="dxa"/>
            <w:tcBorders/>
            <w:shd w:fill="CCEEFF" w:val="clear"/>
            <w:vAlign w:val="bottom"/>
          </w:tcPr>
          <w:p>
            <w:pPr>
              <w:pStyle w:val="TableContents"/>
              <w:spacing w:before="0" w:after="283"/>
              <w:jc w:val="right"/>
              <w:rPr/>
            </w:pPr>
            <w:r>
              <w:rPr/>
              <w:t>44,089</w:t>
            </w:r>
          </w:p>
        </w:tc>
        <w:tc>
          <w:tcPr>
            <w:tcW w:w="129"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w:t>
            </w:r>
          </w:p>
        </w:tc>
        <w:tc>
          <w:tcPr>
            <w:tcW w:w="774" w:type="dxa"/>
            <w:tcBorders/>
            <w:shd w:fill="CCEEFF" w:val="clear"/>
            <w:vAlign w:val="bottom"/>
          </w:tcPr>
          <w:p>
            <w:pPr>
              <w:pStyle w:val="TableContents"/>
              <w:spacing w:before="0" w:after="283"/>
              <w:jc w:val="right"/>
              <w:rPr/>
            </w:pPr>
            <w:r>
              <w:rPr/>
              <w:t>46,122</w:t>
            </w:r>
          </w:p>
        </w:tc>
        <w:tc>
          <w:tcPr>
            <w:tcW w:w="135" w:type="dxa"/>
            <w:tcBorders/>
            <w:shd w:fill="CCEE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0"/>
              <w:ind w:left="450" w:right="0" w:hanging="225"/>
              <w:rPr/>
            </w:pPr>
            <w:r>
              <w:rPr/>
              <w:t>Foreign currency translation adjustment</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w:t>
            </w:r>
          </w:p>
        </w:tc>
        <w:tc>
          <w:tcPr>
            <w:tcW w:w="774" w:type="dxa"/>
            <w:tcBorders/>
            <w:shd w:fill="auto" w:val="clear"/>
            <w:vAlign w:val="bottom"/>
          </w:tcPr>
          <w:p>
            <w:pPr>
              <w:pStyle w:val="TableContents"/>
              <w:spacing w:before="0" w:after="283"/>
              <w:jc w:val="right"/>
              <w:rPr/>
            </w:pPr>
            <w:r>
              <w:rPr/>
              <w:t>(1,029</w:t>
            </w:r>
          </w:p>
        </w:tc>
        <w:tc>
          <w:tcPr>
            <w:tcW w:w="129" w:type="dxa"/>
            <w:tcBorders/>
            <w:shd w:fill="auto" w:val="clear"/>
            <w:vAlign w:val="bottom"/>
          </w:tcPr>
          <w:p>
            <w:pPr>
              <w:pStyle w:val="TableContents"/>
              <w:spacing w:before="0" w:after="283"/>
              <w:rPr/>
            </w:pPr>
            <w:r>
              <w:rPr/>
              <w:t>)</w:t>
            </w:r>
          </w:p>
        </w:tc>
        <w:tc>
          <w:tcPr>
            <w:tcW w:w="46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w:t>
            </w:r>
          </w:p>
        </w:tc>
        <w:tc>
          <w:tcPr>
            <w:tcW w:w="774" w:type="dxa"/>
            <w:tcBorders/>
            <w:shd w:fill="auto" w:val="clear"/>
            <w:vAlign w:val="bottom"/>
          </w:tcPr>
          <w:p>
            <w:pPr>
              <w:pStyle w:val="TableContents"/>
              <w:spacing w:before="0" w:after="283"/>
              <w:jc w:val="right"/>
              <w:rPr/>
            </w:pPr>
            <w:r>
              <w:rPr/>
              <w:t>321</w:t>
            </w:r>
          </w:p>
        </w:tc>
        <w:tc>
          <w:tcPr>
            <w:tcW w:w="135"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See Notes to Interim Condensed Consolidated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8" w:name="305"/>
      <w:bookmarkEnd w:id="8"/>
      <w:r>
        <w:rPr>
          <w:rFonts w:ascii="Times New Roman;Times;serif" w:hAnsi="Times New Roman;Times;serif"/>
          <w:b/>
          <w:sz w:val="17"/>
        </w:rPr>
        <w:t>EZCORP, Inc. and Subsidiaries</w:t>
        <w:br/>
        <w:t>Notes to Interim Condensed Consolidated Financial Statements (Unaudited)</w:t>
        <w:br/>
        <w:t>March 31, 2007</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A: Basis of Presentation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Management has included all adjustments it considers necessary for a fair presentation. These adjustments are of a normal, recurring nature except for those related to an acquired business (described in Note C). The accompanying financial statements should be read with the Notes to Consolidated Financial Statements included in our Annual Report on Form 10-K for the year ended September 30, 2006. The balance sheet at September 30, 2006 has been derived from the audited financial statements at that date but does not include all of the information and footnotes required by generally accepted accounting principles for complete financial statements. Certain prior period balances have been reclassified to conform to the current presentation.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business is subject to seasonal variations, and operating results for the three and six-month periods ended March 31, 2007 (the current quarter and current year-to-date period) are not necessarily indicative of the results of operations for the full fiscal year.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B: Significant Accounting Policies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CONSOLIDATION: The consolidated financial statements include the accounts of EZCORP, Inc. and its wholly owned subsidiaries. All significant inter-company accounts and transactions have been eliminated in consolidation. We account for our 28% interest in Albemarle &amp; Bond Holdings, plc using the equity method.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STOCK SPLIT: In November 2006, our Board of Directors approved a three-for-one stock split of our two classes of common stock to shareholders of record as of November 27, 2006. The additional shares were distributed on December 11, 2006. All shares and amounts per share in this report have been adjusted to reflect the split.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PAWN LOAN AND SALES REVENUE RECOGNITION: 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to three months. Unexpected variations in any of these factors could change our estimate of collectible loans, affecting our earnings and financial condition. If a pawn loan is not repaid, we value the forfeited collateral (inventory) at the lower of cost (pawn loan principal) or market (net realizable value) of the property. We record sales revenue and the related cost when this inventory is sold.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CREDIT SERVICE REVENUE RECOGNITION: We earn credit service fees when we assist customers in obtaining loans from unaffiliated lenders. We accrue the percentage of credit service fees we expect to collect. Accrued fees related to defaulted loans reduce credit service fee revenue upon loan default, and increase credit service fee revenue upon collection.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CREDIT SERVICE BAD DEBT: As part of our credit services, we issue a letter of credit to enhance the creditworthiness of our customers seeking loans from an unaffiliated lender. The letter of credit assures the lender that if the borrower defaults on the loan, we will pay the lender, upon demand, the principal and accrued interest owed it by the borrower plus any insufficient funds fee. We consider a loan defaulted if it has not been repaid or renewed by the maturity date. Although amounts paid under letters of credit may be collected later, we charge those amounts to bad debt upon default. We record recoveries under the letters of credit as a reduction of bad debt at the time of collection. Our credit service bad debt was $2.4 million, or 12.0% of credit service fee revenues for the current quarter. In the comparable 2006 period (the prior year quarter), credit service bad debt was $1.9 million, or 13.0% of fees in the period. Credit service bad debt was $7.6 million and $5.6 million, or 18.1% and 18.9% of credit service fee revenues for the current and prior year-to-date periods.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CREDIT SERVICE ALLOWANCE FOR LOSSES: We also provide an allowance for losses we expect to incur under letters of credit for loans that have not yet matured. The allowance is based on recent loan default experience adjusted for seasonal variations. It includes all amounts we expect to pay to the unaffiliated lenders upon loan default, including loan principal, accrued interest and insufficient funds fees, net of the amounts we expect to collect from borrowers (Expected LOC Losses). Changes in the allowance are charged to credit service bad debt expense. We include the balance of Expected LOC Losses in Accounts payable and other accrued expenses on our balance sheet. At March 31, 2007, the allowance for Expected LOC Losses was $0.6 million. At that date, our maximum exposure for losses on letters of credit, if all brokered loans defaulted and none was collected, was $17.9 million. This amount includes principal, interest and insufficient funds fees. Based on the expected loss and collection percentages, we also provide an allowance for the credit service fees we expect not to collect, and charge changes in this allowance to credit service fee revenue.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PAYDAY LOAN REVENUE RECOGNITION: We accrue fees on the percentage of payday loans we believe to be collectible using the interest method. Accrued fees related to defaulted loans reduce fee revenue upon loan default, and increase fee revenue upon collection.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PAYDAY LOAN BAD DEBT: We consider a loan defaulted if it has not been repaid or renewed by the maturity date. Although defaulted loans may be collected later, we charge the loan principal to bad debt upon default, leaving only active loans in the reported balance. We record collections of principal as a reduction of bad debt when collected. Our payday loan bad debt was $0.5 million, or 19.2% of payday loan fees for the current quarter. In the prior year quarter, payday loan bad debt was $0.3 million, or 25.7% of fees in the period. Payday loan bad debt was $1.3 million and $0.9 million, or 26.5% and 39.4% of payday loan fees for the current and prior year-to-date periods.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PAYDAY LOAN ALLOWANCE FOR LOSSES: We also provide an allowance for losses on payday loans that have not yet matured and related fees receivable, based on recent loan default experience adjusted for seasonal variations. We charge any changes in the principal valuation allowance to bad debt. We record changes in the fee receivable valuation allowance to payday loan fee revenue.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INVENTORY: If a pawn loan is not redeemed, we record the forfeited collateral at cost. We do not record loan loss allowances or charge-offs on the principal portion of pawn loans, as they are fully collateralized. In order to state inventory at the lower of cost (specific identification) or market (net realizable value), we record an allowance for shrinkage and excess, obsolete or slow-moving inventory. The allowance is based on the type and age of merchandise and recent sales trends and margins. At March 31, 2007, the inventory valuation allowance was $3.6 million, or 11.2% of gross inventory. We record changes in the inventory valuation allowance as cost of goods sold.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INTANGIBLE ASSETS: Goodwill and other intangible assets having indefinite lives are not subject to amortization. They are tested for impairment each July 1, or more frequently if events or changes in circumstances indicate that they might be impaired. We recognized no impairment of our intangible assets in the current or prior year-to-date periods. We amortize intangible assets with definite lives over their estimated useful lives.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PROPERTY AND EQUIPMENT: Property and equipment is shown net of accumulated depreciation of $79.9 million at March 31,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VALUATION OF TANGIBLE LONG-LIVED ASSETS: 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or significant negative industry trends. When we determine that the net recorded amount of tangible long-lived assets may not be recoverable, we measure impairment based on the excess of the assets net recorded amount over the estimated fair value. No impairment of tangible long-lived assets was recognized in the current or prior year-to-date periods.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INCOME TAXES: We calculate the provision for federal income taxes based on our estimate of the effective tax rate for the full fiscal year. As part of the process of preparing the financial statements, we estimate income taxes in each jurisdiction in which we operate. This involves estimating the actual current tax liability and assessing temporary differences in recognition of income for tax and accounting purposes. These differences result in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deferred tax assets and liabilities that we include in our balance sheet. We must then assess the likelihood that the deferred tax assets will be recovered from future taxable income. If we determined we would not be able to realize all or part of our net deferred tax assets in the future, an increase to the valuation allowance would be charged to the income tax provision in that period. Likewise, if we determined we would be able to realize our deferred tax assets in the future in excess of the net recorded amount, a decrease to the valuation allowance would decrease the tax provision in that period. We assess the need for a deferred tax asset valuation allowance quarterly. Our valuation allowance was $0.4 million at March 31,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SHARE-BASED COMPENSATION: We account for share-based compensation in accordance with the fair value recognition provisions of SFAS No. 123(R), Share-based Payment. We estimate the grant-date fair value of options using the Black-Scholes-Merton option-pricing model and amortize that fair value to compensation expense on a straight-line basis over the options vesting periods.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SEGMENTS: We account for our operations in accordance with SFAS No. 131, Disclosures about Segments of an Enterprise and Related Information. Prior to October 1, 2006, we had a single reportable segment. Effective October 1, 2006, we reorganized our operations and internal reporting to manage it as two separate segments. See Note K for further discussion and separate data for each segment.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RECENTLY ISSUED ACCOUNTING PRONOUNCEMENTS: In June 2006, the Financial Accounting Standards Board (FASB) issued Interpretation No. 48, Accounting for Uncertainty in Income Taxes (FIN 48). To be recognized in the financial statements, FIN 48 requires that a tax position is more-likely-than-not to be sustained in an audit, based on the technical merits of the position. In making the determination of sustainability, we must presume the appropriate taxing authority with full knowledge of all relevant information will audit tax positions. FIN 48 also prescribes how the benefit should be measured, including the consideration of any penalties and interest. It requires that the new standard be applied to the balances of tax assets and liabilities as of the beginning of the period of adoption and that a corresponding adjustment be made to the opening balance of retained earnings. We must adopt FIN 48 in the fiscal year ending September 30, 2008. We are evaluating the potential effect of FIN 48, but do not expect it to have a material effect on our financial position or results of operations. It will not impact our cash flows.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September 2006, the FASB issued SFAS No. 157, Fair Value Measurements. Among other requirements, SFAS No. 157 defines fair value, establishes a framework for measuring fair value and expands disclosure about the use of fair value to measure assets and liabilities. We must adopt SFAS No. 157 in our fiscal year ending September 30, 2009. We are currently evaluating the impact, if any, of SFAS No. 157 on our financial position and results of operations. It will not impact our cash flows.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C: Acquisitions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acquired three pawnshops in the fiscal year ended September 30, 2006. One was acquired in December 2005 for $1.6 million, and the other two were acquired in August 2006 for $0.6 million. The results of the acquired stores have been consolidated with our results since their acquisition. Pro forma results of operations have not been presented because the acquisitions were not material. In April 2007, we agreed to acquire fifteen pawn stores from a competitor. See Note L, Subsequent Event, for details.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D: Earnings Per Share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two classes of common stock and compute earnings per share using the two-class method in accordance with SFAS No. 128, Earnings Per Share. The holders of our Class A and Class B common stock have similar rights with the exception of voting rights, so earnings per common share for the two classes of common stock are the same.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warrants and restricted stock awards.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Components of basic and diluted earnings per share are as follows (</w:t>
      </w:r>
      <w:r>
        <w:rPr>
          <w:rFonts w:ascii="Times New Roman;Times;serif" w:hAnsi="Times New Roman;Times;serif"/>
          <w:i/>
          <w:sz w:val="17"/>
        </w:rPr>
        <w:t>in thousands, except per share amounts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387"/>
        <w:gridCol w:w="408"/>
        <w:gridCol w:w="162"/>
        <w:gridCol w:w="802"/>
        <w:gridCol w:w="112"/>
        <w:gridCol w:w="412"/>
        <w:gridCol w:w="162"/>
        <w:gridCol w:w="803"/>
        <w:gridCol w:w="107"/>
        <w:gridCol w:w="408"/>
        <w:gridCol w:w="152"/>
        <w:gridCol w:w="751"/>
        <w:gridCol w:w="108"/>
        <w:gridCol w:w="408"/>
        <w:gridCol w:w="152"/>
        <w:gridCol w:w="753"/>
        <w:gridCol w:w="118"/>
      </w:tblGrid>
      <w:tr>
        <w:trPr/>
        <w:tc>
          <w:tcPr>
            <w:tcW w:w="438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38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453" w:type="dxa"/>
            <w:gridSpan w:val="6"/>
            <w:tcBorders/>
            <w:shd w:fill="auto" w:val="clear"/>
            <w:vAlign w:val="bottom"/>
          </w:tcPr>
          <w:p>
            <w:pPr>
              <w:pStyle w:val="TableContents"/>
              <w:spacing w:before="0" w:after="283"/>
              <w:jc w:val="center"/>
              <w:rPr/>
            </w:pPr>
            <w:r>
              <w:rPr/>
              <w:t>Three Months Ended</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24" w:type="dxa"/>
            <w:gridSpan w:val="6"/>
            <w:tcBorders/>
            <w:shd w:fill="auto" w:val="clear"/>
            <w:vAlign w:val="bottom"/>
          </w:tcPr>
          <w:p>
            <w:pPr>
              <w:pStyle w:val="TableContents"/>
              <w:spacing w:before="0" w:after="283"/>
              <w:jc w:val="center"/>
              <w:rPr/>
            </w:pPr>
            <w:r>
              <w:rPr/>
              <w:t>Six Months Ended</w:t>
            </w:r>
          </w:p>
        </w:tc>
        <w:tc>
          <w:tcPr>
            <w:tcW w:w="118" w:type="dxa"/>
            <w:tcBorders/>
            <w:shd w:fill="auto" w:val="clear"/>
            <w:vAlign w:val="bottom"/>
          </w:tcPr>
          <w:p>
            <w:pPr>
              <w:pStyle w:val="TableContents"/>
              <w:spacing w:before="0" w:after="283"/>
              <w:rPr/>
            </w:pPr>
            <w:r>
              <w:rPr/>
              <w:t> </w:t>
            </w:r>
          </w:p>
        </w:tc>
      </w:tr>
      <w:tr>
        <w:trPr/>
        <w:tc>
          <w:tcPr>
            <w:tcW w:w="438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453"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324"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118" w:type="dxa"/>
            <w:tcBorders/>
            <w:shd w:fill="auto" w:val="clear"/>
            <w:vAlign w:val="bottom"/>
          </w:tcPr>
          <w:p>
            <w:pPr>
              <w:pStyle w:val="TableContents"/>
              <w:spacing w:before="0" w:after="283"/>
              <w:rPr/>
            </w:pPr>
            <w:r>
              <w:rPr/>
              <w:t> </w:t>
            </w:r>
          </w:p>
        </w:tc>
      </w:tr>
      <w:tr>
        <w:trPr/>
        <w:tc>
          <w:tcPr>
            <w:tcW w:w="438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6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96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0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0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0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18" w:type="dxa"/>
            <w:tcBorders/>
            <w:shd w:fill="auto" w:val="clear"/>
            <w:vAlign w:val="bottom"/>
          </w:tcPr>
          <w:p>
            <w:pPr>
              <w:pStyle w:val="TableContents"/>
              <w:spacing w:before="0" w:after="283"/>
              <w:rPr/>
            </w:pPr>
            <w:r>
              <w:rPr/>
              <w:t> </w:t>
            </w:r>
          </w:p>
        </w:tc>
      </w:tr>
      <w:tr>
        <w:trPr/>
        <w:tc>
          <w:tcPr>
            <w:tcW w:w="4387" w:type="dxa"/>
            <w:tcBorders/>
            <w:shd w:fill="CCEEFF" w:val="clear"/>
            <w:vAlign w:val="bottom"/>
          </w:tcPr>
          <w:p>
            <w:pPr>
              <w:pStyle w:val="TableContents"/>
              <w:spacing w:before="0" w:after="0"/>
              <w:ind w:left="225" w:right="0" w:hanging="225"/>
              <w:rPr/>
            </w:pPr>
            <w:r>
              <w:rPr/>
              <w:t>Net income (A)</w:t>
            </w:r>
          </w:p>
        </w:tc>
        <w:tc>
          <w:tcPr>
            <w:tcW w:w="40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02" w:type="dxa"/>
            <w:tcBorders/>
            <w:shd w:fill="CCEEFF" w:val="clear"/>
            <w:vAlign w:val="bottom"/>
          </w:tcPr>
          <w:p>
            <w:pPr>
              <w:pStyle w:val="TableContents"/>
              <w:spacing w:before="0" w:after="283"/>
              <w:jc w:val="right"/>
              <w:rPr/>
            </w:pPr>
            <w:r>
              <w:rPr/>
              <w:t>10,196</w:t>
            </w:r>
          </w:p>
        </w:tc>
        <w:tc>
          <w:tcPr>
            <w:tcW w:w="11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03" w:type="dxa"/>
            <w:tcBorders/>
            <w:shd w:fill="CCEEFF" w:val="clear"/>
            <w:vAlign w:val="bottom"/>
          </w:tcPr>
          <w:p>
            <w:pPr>
              <w:pStyle w:val="TableContents"/>
              <w:spacing w:before="0" w:after="283"/>
              <w:jc w:val="right"/>
              <w:rPr/>
            </w:pPr>
            <w:r>
              <w:rPr/>
              <w:t>7,727</w:t>
            </w:r>
          </w:p>
        </w:tc>
        <w:tc>
          <w:tcPr>
            <w:tcW w:w="107"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51" w:type="dxa"/>
            <w:tcBorders/>
            <w:shd w:fill="CCEEFF" w:val="clear"/>
            <w:vAlign w:val="bottom"/>
          </w:tcPr>
          <w:p>
            <w:pPr>
              <w:pStyle w:val="TableContents"/>
              <w:spacing w:before="0" w:after="283"/>
              <w:jc w:val="right"/>
              <w:rPr/>
            </w:pPr>
            <w:r>
              <w:rPr/>
              <w:t>19,957</w:t>
            </w:r>
          </w:p>
        </w:tc>
        <w:tc>
          <w:tcPr>
            <w:tcW w:w="10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53" w:type="dxa"/>
            <w:tcBorders/>
            <w:shd w:fill="CCEEFF" w:val="clear"/>
            <w:vAlign w:val="bottom"/>
          </w:tcPr>
          <w:p>
            <w:pPr>
              <w:pStyle w:val="TableContents"/>
              <w:spacing w:before="0" w:after="283"/>
              <w:jc w:val="right"/>
              <w:rPr/>
            </w:pPr>
            <w:r>
              <w:rPr/>
              <w:t>14,483</w:t>
            </w:r>
          </w:p>
        </w:tc>
        <w:tc>
          <w:tcPr>
            <w:tcW w:w="118" w:type="dxa"/>
            <w:tcBorders/>
            <w:shd w:fill="CCEEFF" w:val="clear"/>
            <w:vAlign w:val="bottom"/>
          </w:tcPr>
          <w:p>
            <w:pPr>
              <w:pStyle w:val="TableContents"/>
              <w:spacing w:before="0" w:after="283"/>
              <w:rPr/>
            </w:pPr>
            <w:r>
              <w:rPr/>
              <w:t> </w:t>
            </w:r>
          </w:p>
        </w:tc>
      </w:tr>
      <w:tr>
        <w:trPr/>
        <w:tc>
          <w:tcPr>
            <w:tcW w:w="4387" w:type="dxa"/>
            <w:tcBorders/>
            <w:shd w:fill="auto" w:val="clear"/>
            <w:vAlign w:val="bottom"/>
          </w:tcPr>
          <w:p>
            <w:pPr>
              <w:pStyle w:val="TableContents"/>
              <w:spacing w:before="0" w:after="0"/>
              <w:ind w:left="225" w:right="0" w:hanging="225"/>
              <w:rPr/>
            </w:pPr>
            <w:r>
              <w:rPr/>
              <w:t> </w:t>
            </w:r>
          </w:p>
        </w:tc>
        <w:tc>
          <w:tcPr>
            <w:tcW w:w="40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387" w:type="dxa"/>
            <w:tcBorders/>
            <w:shd w:fill="auto" w:val="clear"/>
            <w:vAlign w:val="bottom"/>
          </w:tcPr>
          <w:p>
            <w:pPr>
              <w:pStyle w:val="TableContents"/>
              <w:spacing w:before="0" w:after="0"/>
              <w:ind w:left="225" w:right="0" w:hanging="225"/>
              <w:rPr/>
            </w:pPr>
            <w:r>
              <w:rPr/>
              <w:t>Weighted average outstanding shares of common stock (B)</w:t>
            </w:r>
          </w:p>
        </w:tc>
        <w:tc>
          <w:tcPr>
            <w:tcW w:w="40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41,002</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pPr>
            <w:r>
              <w:rPr/>
              <w:t>39,202</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40,773</w:t>
            </w:r>
          </w:p>
        </w:tc>
        <w:tc>
          <w:tcPr>
            <w:tcW w:w="10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38,932</w:t>
            </w:r>
          </w:p>
        </w:tc>
        <w:tc>
          <w:tcPr>
            <w:tcW w:w="118" w:type="dxa"/>
            <w:tcBorders/>
            <w:shd w:fill="auto" w:val="clear"/>
            <w:vAlign w:val="bottom"/>
          </w:tcPr>
          <w:p>
            <w:pPr>
              <w:pStyle w:val="TableContents"/>
              <w:spacing w:before="0" w:after="283"/>
              <w:rPr/>
            </w:pPr>
            <w:r>
              <w:rPr/>
              <w:t> </w:t>
            </w:r>
          </w:p>
        </w:tc>
      </w:tr>
      <w:tr>
        <w:trPr/>
        <w:tc>
          <w:tcPr>
            <w:tcW w:w="4387" w:type="dxa"/>
            <w:tcBorders/>
            <w:shd w:fill="CCEEFF" w:val="clear"/>
            <w:vAlign w:val="bottom"/>
          </w:tcPr>
          <w:p>
            <w:pPr>
              <w:pStyle w:val="TableContents"/>
              <w:spacing w:before="0" w:after="0"/>
              <w:ind w:left="225" w:right="0" w:hanging="225"/>
              <w:rPr/>
            </w:pPr>
            <w:r>
              <w:rPr/>
              <w:t>Dilutive effect of stock options, warrants, and restricted stock</w:t>
            </w:r>
          </w:p>
        </w:tc>
        <w:tc>
          <w:tcPr>
            <w:tcW w:w="40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2,443</w:t>
            </w:r>
          </w:p>
        </w:tc>
        <w:tc>
          <w:tcPr>
            <w:tcW w:w="11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2,312</w:t>
            </w:r>
          </w:p>
        </w:tc>
        <w:tc>
          <w:tcPr>
            <w:tcW w:w="107"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2,574</w:t>
            </w:r>
          </w:p>
        </w:tc>
        <w:tc>
          <w:tcPr>
            <w:tcW w:w="10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2,005</w:t>
            </w:r>
          </w:p>
        </w:tc>
        <w:tc>
          <w:tcPr>
            <w:tcW w:w="118" w:type="dxa"/>
            <w:tcBorders/>
            <w:shd w:fill="CCEEFF" w:val="clear"/>
            <w:vAlign w:val="bottom"/>
          </w:tcPr>
          <w:p>
            <w:pPr>
              <w:pStyle w:val="TableContents"/>
              <w:spacing w:before="0" w:after="283"/>
              <w:rPr/>
            </w:pPr>
            <w:r>
              <w:rPr/>
              <w:t> </w:t>
            </w:r>
          </w:p>
        </w:tc>
      </w:tr>
      <w:tr>
        <w:trPr/>
        <w:tc>
          <w:tcPr>
            <w:tcW w:w="438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9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9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9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387" w:type="dxa"/>
            <w:tcBorders/>
            <w:shd w:fill="auto" w:val="clear"/>
            <w:vAlign w:val="bottom"/>
          </w:tcPr>
          <w:p>
            <w:pPr>
              <w:pStyle w:val="TableContents"/>
              <w:spacing w:before="0" w:after="0"/>
              <w:ind w:left="225" w:right="0" w:hanging="225"/>
              <w:rPr/>
            </w:pPr>
            <w:r>
              <w:rPr/>
              <w:t>Weighted average common stock and common stock equivalents (C)</w:t>
            </w:r>
          </w:p>
        </w:tc>
        <w:tc>
          <w:tcPr>
            <w:tcW w:w="40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43,445</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pPr>
            <w:r>
              <w:rPr/>
              <w:t>41,514</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43,347</w:t>
            </w:r>
          </w:p>
        </w:tc>
        <w:tc>
          <w:tcPr>
            <w:tcW w:w="10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40,937</w:t>
            </w:r>
          </w:p>
        </w:tc>
        <w:tc>
          <w:tcPr>
            <w:tcW w:w="118" w:type="dxa"/>
            <w:tcBorders/>
            <w:shd w:fill="auto" w:val="clear"/>
            <w:vAlign w:val="bottom"/>
          </w:tcPr>
          <w:p>
            <w:pPr>
              <w:pStyle w:val="TableContents"/>
              <w:spacing w:before="0" w:after="283"/>
              <w:rPr/>
            </w:pPr>
            <w:r>
              <w:rPr/>
              <w:t> </w:t>
            </w:r>
          </w:p>
        </w:tc>
      </w:tr>
      <w:tr>
        <w:trPr/>
        <w:tc>
          <w:tcPr>
            <w:tcW w:w="438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9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9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9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387" w:type="dxa"/>
            <w:tcBorders/>
            <w:shd w:fill="CCEEFF" w:val="clear"/>
            <w:vAlign w:val="bottom"/>
          </w:tcPr>
          <w:p>
            <w:pPr>
              <w:pStyle w:val="TableContents"/>
              <w:spacing w:before="0" w:after="0"/>
              <w:ind w:left="225" w:right="0" w:hanging="225"/>
              <w:rPr/>
            </w:pPr>
            <w:r>
              <w:rPr/>
              <w:t>Basic earnings per share (A/B)</w:t>
            </w:r>
          </w:p>
        </w:tc>
        <w:tc>
          <w:tcPr>
            <w:tcW w:w="408"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02" w:type="dxa"/>
            <w:tcBorders/>
            <w:shd w:fill="CCEEFF" w:val="clear"/>
            <w:vAlign w:val="bottom"/>
          </w:tcPr>
          <w:p>
            <w:pPr>
              <w:pStyle w:val="TableContents"/>
              <w:spacing w:before="0" w:after="283"/>
              <w:jc w:val="right"/>
              <w:rPr/>
            </w:pPr>
            <w:r>
              <w:rPr/>
              <w:t>0.25</w:t>
            </w:r>
          </w:p>
        </w:tc>
        <w:tc>
          <w:tcPr>
            <w:tcW w:w="11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03" w:type="dxa"/>
            <w:tcBorders/>
            <w:shd w:fill="CCEEFF" w:val="clear"/>
            <w:vAlign w:val="bottom"/>
          </w:tcPr>
          <w:p>
            <w:pPr>
              <w:pStyle w:val="TableContents"/>
              <w:spacing w:before="0" w:after="283"/>
              <w:jc w:val="right"/>
              <w:rPr/>
            </w:pPr>
            <w:r>
              <w:rPr/>
              <w:t>0.20</w:t>
            </w:r>
          </w:p>
        </w:tc>
        <w:tc>
          <w:tcPr>
            <w:tcW w:w="107"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51" w:type="dxa"/>
            <w:tcBorders/>
            <w:shd w:fill="CCEEFF" w:val="clear"/>
            <w:vAlign w:val="bottom"/>
          </w:tcPr>
          <w:p>
            <w:pPr>
              <w:pStyle w:val="TableContents"/>
              <w:spacing w:before="0" w:after="283"/>
              <w:jc w:val="right"/>
              <w:rPr/>
            </w:pPr>
            <w:r>
              <w:rPr/>
              <w:t>0.49</w:t>
            </w:r>
          </w:p>
        </w:tc>
        <w:tc>
          <w:tcPr>
            <w:tcW w:w="10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53" w:type="dxa"/>
            <w:tcBorders/>
            <w:shd w:fill="CCEEFF" w:val="clear"/>
            <w:vAlign w:val="bottom"/>
          </w:tcPr>
          <w:p>
            <w:pPr>
              <w:pStyle w:val="TableContents"/>
              <w:spacing w:before="0" w:after="283"/>
              <w:jc w:val="right"/>
              <w:rPr/>
            </w:pPr>
            <w:r>
              <w:rPr/>
              <w:t>0.37</w:t>
            </w:r>
          </w:p>
        </w:tc>
        <w:tc>
          <w:tcPr>
            <w:tcW w:w="118" w:type="dxa"/>
            <w:tcBorders/>
            <w:shd w:fill="CCEEFF" w:val="clear"/>
            <w:vAlign w:val="bottom"/>
          </w:tcPr>
          <w:p>
            <w:pPr>
              <w:pStyle w:val="TableContents"/>
              <w:spacing w:before="0" w:after="283"/>
              <w:rPr/>
            </w:pPr>
            <w:r>
              <w:rPr/>
              <w:t> </w:t>
            </w:r>
          </w:p>
        </w:tc>
      </w:tr>
      <w:tr>
        <w:trPr/>
        <w:tc>
          <w:tcPr>
            <w:tcW w:w="438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9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9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9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387" w:type="dxa"/>
            <w:tcBorders/>
            <w:shd w:fill="auto" w:val="clear"/>
            <w:vAlign w:val="bottom"/>
          </w:tcPr>
          <w:p>
            <w:pPr>
              <w:pStyle w:val="TableContents"/>
              <w:spacing w:before="0" w:after="0"/>
              <w:ind w:left="225" w:right="0" w:hanging="225"/>
              <w:rPr/>
            </w:pPr>
            <w:r>
              <w:rPr/>
              <w:t>Diluted earnings per share (A/C)</w:t>
            </w:r>
          </w:p>
        </w:tc>
        <w:tc>
          <w:tcPr>
            <w:tcW w:w="408"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802" w:type="dxa"/>
            <w:tcBorders/>
            <w:shd w:fill="auto" w:val="clear"/>
            <w:vAlign w:val="bottom"/>
          </w:tcPr>
          <w:p>
            <w:pPr>
              <w:pStyle w:val="TableContents"/>
              <w:spacing w:before="0" w:after="283"/>
              <w:jc w:val="right"/>
              <w:rPr/>
            </w:pPr>
            <w:r>
              <w:rPr/>
              <w:t>0.23</w:t>
            </w:r>
          </w:p>
        </w:tc>
        <w:tc>
          <w:tcPr>
            <w:tcW w:w="11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803" w:type="dxa"/>
            <w:tcBorders/>
            <w:shd w:fill="auto" w:val="clear"/>
            <w:vAlign w:val="bottom"/>
          </w:tcPr>
          <w:p>
            <w:pPr>
              <w:pStyle w:val="TableContents"/>
              <w:spacing w:before="0" w:after="283"/>
              <w:jc w:val="right"/>
              <w:rPr/>
            </w:pPr>
            <w:r>
              <w:rPr/>
              <w:t>0.19</w:t>
            </w:r>
          </w:p>
        </w:tc>
        <w:tc>
          <w:tcPr>
            <w:tcW w:w="10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751" w:type="dxa"/>
            <w:tcBorders/>
            <w:shd w:fill="auto" w:val="clear"/>
            <w:vAlign w:val="bottom"/>
          </w:tcPr>
          <w:p>
            <w:pPr>
              <w:pStyle w:val="TableContents"/>
              <w:spacing w:before="0" w:after="283"/>
              <w:jc w:val="right"/>
              <w:rPr/>
            </w:pPr>
            <w:r>
              <w:rPr/>
              <w:t>0.46</w:t>
            </w:r>
          </w:p>
        </w:tc>
        <w:tc>
          <w:tcPr>
            <w:tcW w:w="10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753" w:type="dxa"/>
            <w:tcBorders/>
            <w:shd w:fill="auto" w:val="clear"/>
            <w:vAlign w:val="bottom"/>
          </w:tcPr>
          <w:p>
            <w:pPr>
              <w:pStyle w:val="TableContents"/>
              <w:spacing w:before="0" w:after="283"/>
              <w:jc w:val="right"/>
              <w:rPr/>
            </w:pPr>
            <w:r>
              <w:rPr/>
              <w:t>0.35</w:t>
            </w:r>
          </w:p>
        </w:tc>
        <w:tc>
          <w:tcPr>
            <w:tcW w:w="118" w:type="dxa"/>
            <w:tcBorders/>
            <w:shd w:fill="auto" w:val="clear"/>
            <w:vAlign w:val="bottom"/>
          </w:tcPr>
          <w:p>
            <w:pPr>
              <w:pStyle w:val="TableContents"/>
              <w:spacing w:before="0" w:after="283"/>
              <w:rPr/>
            </w:pPr>
            <w:r>
              <w:rPr/>
              <w:t> </w:t>
            </w:r>
          </w:p>
        </w:tc>
      </w:tr>
      <w:tr>
        <w:trPr/>
        <w:tc>
          <w:tcPr>
            <w:tcW w:w="438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9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9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9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Anti-dilutive options, warrants and restricted stock grants have been excluded from the computation of diluted earnings per share because the assumed proceeds upon exercise, as defined by SFAS No. 123(R), were greater than the cost to re-acquire the same number of shares at the average market price, and therefore the effect would be anti-dilutive.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E: Investment in Unconsolidated Affiliate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own 13,276,666 common shares of Albemarle &amp; Bond Holdings, plc (A&amp;B), or approximately 28% of the total outstanding shares. The investment is accounted for using the equity method. Since A&amp;Bs fiscal year ends three months prior to ours, we report the income from this investment on a three-month lag. A&amp;B files interim and annual financial reports for its fiscal periods ending December 31 and June 30. The income reported for our current year-to-date period ended March 31, 2007 represents our percentage interest in the results of A&amp;Bs operations from July 1, 2006 to December 31,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Below is summarized financial information for A&amp;Bs most recently reported results (</w:t>
      </w:r>
      <w:r>
        <w:rPr>
          <w:rFonts w:ascii="Times New Roman;Times;serif" w:hAnsi="Times New Roman;Times;serif"/>
          <w:i/>
          <w:sz w:val="17"/>
        </w:rPr>
        <w:t>using average exchange rates for the periods indicated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565"/>
        <w:gridCol w:w="380"/>
        <w:gridCol w:w="427"/>
        <w:gridCol w:w="1195"/>
        <w:gridCol w:w="294"/>
        <w:gridCol w:w="423"/>
        <w:gridCol w:w="427"/>
        <w:gridCol w:w="1195"/>
        <w:gridCol w:w="299"/>
      </w:tblGrid>
      <w:tr>
        <w:trPr/>
        <w:tc>
          <w:tcPr>
            <w:tcW w:w="556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r>
      <w:tr>
        <w:trPr/>
        <w:tc>
          <w:tcPr>
            <w:tcW w:w="556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4260" w:type="dxa"/>
            <w:gridSpan w:val="7"/>
            <w:tcBorders>
              <w:bottom w:val="single" w:sz="2" w:space="0" w:color="000000"/>
            </w:tcBorders>
            <w:shd w:fill="auto" w:val="clear"/>
            <w:tcMar>
              <w:bottom w:w="28" w:type="dxa"/>
            </w:tcMar>
            <w:vAlign w:val="bottom"/>
          </w:tcPr>
          <w:p>
            <w:pPr>
              <w:pStyle w:val="TableContents"/>
              <w:spacing w:before="0" w:after="283"/>
              <w:jc w:val="center"/>
              <w:rPr/>
            </w:pPr>
            <w:r>
              <w:rPr/>
              <w:t>Six Months Ended December 31,</w:t>
            </w:r>
          </w:p>
        </w:tc>
      </w:tr>
      <w:tr>
        <w:trPr/>
        <w:tc>
          <w:tcPr>
            <w:tcW w:w="556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916" w:type="dxa"/>
            <w:gridSpan w:val="3"/>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423" w:type="dxa"/>
            <w:tcBorders/>
            <w:shd w:fill="auto" w:val="clear"/>
            <w:vAlign w:val="bottom"/>
          </w:tcPr>
          <w:p>
            <w:pPr>
              <w:pStyle w:val="TableContents"/>
              <w:spacing w:before="0" w:after="283"/>
              <w:rPr/>
            </w:pPr>
            <w:r>
              <w:rPr/>
              <w:t> </w:t>
            </w:r>
          </w:p>
        </w:tc>
        <w:tc>
          <w:tcPr>
            <w:tcW w:w="1921" w:type="dxa"/>
            <w:gridSpan w:val="3"/>
            <w:tcBorders>
              <w:bottom w:val="single" w:sz="2" w:space="0" w:color="000000"/>
            </w:tcBorders>
            <w:shd w:fill="auto" w:val="clear"/>
            <w:tcMar>
              <w:bottom w:w="28" w:type="dxa"/>
            </w:tcMar>
            <w:vAlign w:val="bottom"/>
          </w:tcPr>
          <w:p>
            <w:pPr>
              <w:pStyle w:val="TableContents"/>
              <w:spacing w:before="0" w:after="283"/>
              <w:jc w:val="center"/>
              <w:rPr/>
            </w:pPr>
            <w:r>
              <w:rPr/>
              <w:t>2005</w:t>
            </w:r>
          </w:p>
        </w:tc>
      </w:tr>
      <w:tr>
        <w:trPr/>
        <w:tc>
          <w:tcPr>
            <w:tcW w:w="556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4260" w:type="dxa"/>
            <w:gridSpan w:val="7"/>
            <w:tcBorders/>
            <w:shd w:fill="auto" w:val="clear"/>
            <w:vAlign w:val="bottom"/>
          </w:tcPr>
          <w:p>
            <w:pPr>
              <w:pStyle w:val="TableContents"/>
              <w:spacing w:before="0" w:after="283"/>
              <w:jc w:val="center"/>
              <w:rPr>
                <w:i/>
              </w:rPr>
            </w:pPr>
            <w:r>
              <w:rPr>
                <w:i/>
              </w:rPr>
              <w:t>(in thousands)</w:t>
            </w:r>
          </w:p>
        </w:tc>
      </w:tr>
      <w:tr>
        <w:trPr/>
        <w:tc>
          <w:tcPr>
            <w:tcW w:w="5565" w:type="dxa"/>
            <w:tcBorders/>
            <w:shd w:fill="CCEEFF" w:val="clear"/>
            <w:vAlign w:val="bottom"/>
          </w:tcPr>
          <w:p>
            <w:pPr>
              <w:pStyle w:val="TableContents"/>
              <w:spacing w:before="0" w:after="0"/>
              <w:ind w:left="225" w:right="0" w:hanging="225"/>
              <w:rPr/>
            </w:pPr>
            <w:r>
              <w:rPr/>
              <w:t>Turnover (gross revenues)</w:t>
            </w:r>
          </w:p>
        </w:tc>
        <w:tc>
          <w:tcPr>
            <w:tcW w:w="380"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jc w:val="right"/>
              <w:rPr/>
            </w:pPr>
            <w:r>
              <w:rPr/>
              <w:t>$</w:t>
            </w:r>
          </w:p>
        </w:tc>
        <w:tc>
          <w:tcPr>
            <w:tcW w:w="1195" w:type="dxa"/>
            <w:tcBorders/>
            <w:shd w:fill="CCEEFF" w:val="clear"/>
            <w:vAlign w:val="bottom"/>
          </w:tcPr>
          <w:p>
            <w:pPr>
              <w:pStyle w:val="TableContents"/>
              <w:spacing w:before="0" w:after="283"/>
              <w:jc w:val="right"/>
              <w:rPr/>
            </w:pPr>
            <w:r>
              <w:rPr/>
              <w:t>32,853</w:t>
            </w:r>
          </w:p>
        </w:tc>
        <w:tc>
          <w:tcPr>
            <w:tcW w:w="294"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jc w:val="right"/>
              <w:rPr/>
            </w:pPr>
            <w:r>
              <w:rPr/>
              <w:t>$</w:t>
            </w:r>
          </w:p>
        </w:tc>
        <w:tc>
          <w:tcPr>
            <w:tcW w:w="1195" w:type="dxa"/>
            <w:tcBorders/>
            <w:shd w:fill="CCEEFF" w:val="clear"/>
            <w:vAlign w:val="bottom"/>
          </w:tcPr>
          <w:p>
            <w:pPr>
              <w:pStyle w:val="TableContents"/>
              <w:spacing w:before="0" w:after="283"/>
              <w:jc w:val="right"/>
              <w:rPr/>
            </w:pPr>
            <w:r>
              <w:rPr/>
              <w:t>26,391</w:t>
            </w:r>
          </w:p>
        </w:tc>
        <w:tc>
          <w:tcPr>
            <w:tcW w:w="299" w:type="dxa"/>
            <w:tcBorders/>
            <w:shd w:fill="CCEEFF" w:val="clear"/>
            <w:vAlign w:val="bottom"/>
          </w:tcPr>
          <w:p>
            <w:pPr>
              <w:pStyle w:val="TableContents"/>
              <w:spacing w:before="0" w:after="283"/>
              <w:rPr/>
            </w:pPr>
            <w:r>
              <w:rPr/>
              <w:t> </w:t>
            </w:r>
          </w:p>
        </w:tc>
      </w:tr>
      <w:tr>
        <w:trPr/>
        <w:tc>
          <w:tcPr>
            <w:tcW w:w="5565" w:type="dxa"/>
            <w:tcBorders/>
            <w:shd w:fill="auto" w:val="clear"/>
            <w:vAlign w:val="bottom"/>
          </w:tcPr>
          <w:p>
            <w:pPr>
              <w:pStyle w:val="TableContents"/>
              <w:spacing w:before="0" w:after="0"/>
              <w:ind w:left="225" w:right="0" w:hanging="225"/>
              <w:rPr/>
            </w:pPr>
            <w:r>
              <w:rPr/>
              <w:t>Gross profit</w:t>
            </w:r>
          </w:p>
        </w:tc>
        <w:tc>
          <w:tcPr>
            <w:tcW w:w="380"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23,631</w:t>
            </w:r>
          </w:p>
        </w:tc>
        <w:tc>
          <w:tcPr>
            <w:tcW w:w="294"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18,207</w:t>
            </w:r>
          </w:p>
        </w:tc>
        <w:tc>
          <w:tcPr>
            <w:tcW w:w="299" w:type="dxa"/>
            <w:tcBorders/>
            <w:shd w:fill="auto" w:val="clear"/>
            <w:vAlign w:val="bottom"/>
          </w:tcPr>
          <w:p>
            <w:pPr>
              <w:pStyle w:val="TableContents"/>
              <w:spacing w:before="0" w:after="283"/>
              <w:rPr/>
            </w:pPr>
            <w:r>
              <w:rPr/>
              <w:t> </w:t>
            </w:r>
          </w:p>
        </w:tc>
      </w:tr>
      <w:tr>
        <w:trPr/>
        <w:tc>
          <w:tcPr>
            <w:tcW w:w="5565" w:type="dxa"/>
            <w:tcBorders/>
            <w:shd w:fill="CCEEFF" w:val="clear"/>
            <w:vAlign w:val="bottom"/>
          </w:tcPr>
          <w:p>
            <w:pPr>
              <w:pStyle w:val="TableContents"/>
              <w:spacing w:before="0" w:after="0"/>
              <w:ind w:left="225" w:right="0" w:hanging="225"/>
              <w:rPr/>
            </w:pPr>
            <w:r>
              <w:rPr/>
              <w:t>Profit after tax (net income)</w:t>
            </w:r>
          </w:p>
        </w:tc>
        <w:tc>
          <w:tcPr>
            <w:tcW w:w="380"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5,148</w:t>
            </w:r>
          </w:p>
        </w:tc>
        <w:tc>
          <w:tcPr>
            <w:tcW w:w="294"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4,134</w:t>
            </w:r>
          </w:p>
        </w:tc>
        <w:tc>
          <w:tcPr>
            <w:tcW w:w="299" w:type="dxa"/>
            <w:tcBorders/>
            <w:shd w:fill="CCEEFF"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F: Contingencies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Currently and from time to time, we are defendants in legal and regulatory actions. While we cannot determine the ultimate outcome of these actions, after consultation with counsel, we believe their resolution will not have a material adverse effect on our financial condition, results of operations or liquidity. However, we cannot give any assurance as to their ultimate outcome.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G: Comprehensive Income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Comprehensive income includes net income and other revenues, expenses, gains and losses that are excluded from net income but are included as a component of total stockholders equity. Comprehensive income for the current quarter and current year-to-date periods ended March 31, 2007 was $10.8 million and $21.0 million. For the comparable 2006 periods, comprehensive income was $7.6 million and $14.2 million, respectively. The difference between comprehensive income and net income results from the effect of foreign currency translation adjustments determined in accordance with SFAS No. 52, Foreign Currency Translation. At March 31, 2007, the accumulated balance of foreign currency activity excluded from net income was $3.5 million, net of tax of $1.2 million. The net $2.3 million is presented as Accumulated other comprehensive income in the current quarter balance sheet.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H: Long-term Debt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had no debt at March 31, 2007 and 2006. Our credit agreement provides for a $40.0 million revolving credit facility secured by our assets, and matures October 1, 2009. For any borrowed funds, we may choose a Eurodollar rate plus 100 to 200 basis points (depending on the leverage ratio) or the agent banks base rate. On the unused amount of the revolving facility, we pay a commitment fee of 25 to 30 basis points depending on the leverage ratio calculated at the end of each quarter. Terms of the agreement require, among other things, that we meet certain financial covenants. Payment of dividends and additional debt are allowed but restricted.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I: Goodwill and Other Intangible Assets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balance of each major class of indefinite-lived intangible asset at the specified dates: </w:t>
      </w:r>
    </w:p>
    <w:tbl>
      <w:tblPr>
        <w:tblW w:w="5000" w:type="pct"/>
        <w:jc w:val="center"/>
        <w:tblInd w:w="0" w:type="dxa"/>
        <w:tblCellMar>
          <w:top w:w="0" w:type="dxa"/>
          <w:left w:w="0" w:type="dxa"/>
          <w:bottom w:w="0" w:type="dxa"/>
          <w:right w:w="0" w:type="dxa"/>
        </w:tblCellMar>
      </w:tblPr>
      <w:tblGrid>
        <w:gridCol w:w="3738"/>
        <w:gridCol w:w="297"/>
        <w:gridCol w:w="318"/>
        <w:gridCol w:w="1323"/>
        <w:gridCol w:w="101"/>
        <w:gridCol w:w="297"/>
        <w:gridCol w:w="318"/>
        <w:gridCol w:w="1323"/>
        <w:gridCol w:w="101"/>
        <w:gridCol w:w="297"/>
        <w:gridCol w:w="387"/>
        <w:gridCol w:w="1597"/>
        <w:gridCol w:w="108"/>
      </w:tblGrid>
      <w:tr>
        <w:trPr/>
        <w:tc>
          <w:tcPr>
            <w:tcW w:w="3738"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97"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3738"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641" w:type="dxa"/>
            <w:gridSpan w:val="2"/>
            <w:tcBorders>
              <w:bottom w:val="single" w:sz="2" w:space="0" w:color="000000"/>
            </w:tcBorders>
            <w:shd w:fill="auto" w:val="clear"/>
            <w:tcMar>
              <w:bottom w:w="28" w:type="dxa"/>
            </w:tcMar>
            <w:vAlign w:val="bottom"/>
          </w:tcPr>
          <w:p>
            <w:pPr>
              <w:pStyle w:val="TableContents"/>
              <w:spacing w:before="0" w:after="283"/>
              <w:jc w:val="center"/>
              <w:rPr/>
            </w:pPr>
            <w:r>
              <w:rPr/>
              <w:t>March 31, 2007</w:t>
            </w:r>
          </w:p>
        </w:tc>
        <w:tc>
          <w:tcPr>
            <w:tcW w:w="101"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641" w:type="dxa"/>
            <w:gridSpan w:val="2"/>
            <w:tcBorders>
              <w:bottom w:val="single" w:sz="2" w:space="0" w:color="000000"/>
            </w:tcBorders>
            <w:shd w:fill="auto" w:val="clear"/>
            <w:tcMar>
              <w:bottom w:w="28" w:type="dxa"/>
            </w:tcMar>
            <w:vAlign w:val="bottom"/>
          </w:tcPr>
          <w:p>
            <w:pPr>
              <w:pStyle w:val="TableContents"/>
              <w:spacing w:before="0" w:after="283"/>
              <w:jc w:val="center"/>
              <w:rPr/>
            </w:pPr>
            <w:r>
              <w:rPr/>
              <w:t>March 31, 2006</w:t>
            </w:r>
          </w:p>
        </w:tc>
        <w:tc>
          <w:tcPr>
            <w:tcW w:w="101"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984"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 2006</w:t>
            </w:r>
          </w:p>
        </w:tc>
        <w:tc>
          <w:tcPr>
            <w:tcW w:w="108" w:type="dxa"/>
            <w:tcBorders/>
            <w:shd w:fill="auto" w:val="clear"/>
            <w:vAlign w:val="bottom"/>
          </w:tcPr>
          <w:p>
            <w:pPr>
              <w:pStyle w:val="TableContents"/>
              <w:spacing w:before="0" w:after="283"/>
              <w:rPr/>
            </w:pPr>
            <w:r>
              <w:rPr/>
              <w:t> </w:t>
            </w:r>
          </w:p>
        </w:tc>
      </w:tr>
      <w:tr>
        <w:trPr/>
        <w:tc>
          <w:tcPr>
            <w:tcW w:w="3738"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6062" w:type="dxa"/>
            <w:gridSpan w:val="10"/>
            <w:tcBorders/>
            <w:shd w:fill="auto" w:val="clear"/>
            <w:vAlign w:val="bottom"/>
          </w:tcPr>
          <w:p>
            <w:pPr>
              <w:pStyle w:val="TableContents"/>
              <w:spacing w:before="0" w:after="283"/>
              <w:jc w:val="center"/>
              <w:rPr>
                <w:i/>
              </w:rPr>
            </w:pPr>
            <w:r>
              <w:rPr>
                <w:i/>
              </w:rPr>
              <w:t>(In thousands)</w:t>
            </w:r>
          </w:p>
        </w:tc>
        <w:tc>
          <w:tcPr>
            <w:tcW w:w="108" w:type="dxa"/>
            <w:tcBorders/>
            <w:shd w:fill="auto" w:val="clear"/>
            <w:vAlign w:val="bottom"/>
          </w:tcPr>
          <w:p>
            <w:pPr>
              <w:pStyle w:val="TableContents"/>
              <w:spacing w:before="0" w:after="283"/>
              <w:rPr/>
            </w:pPr>
            <w:r>
              <w:rPr/>
              <w:t> </w:t>
            </w:r>
          </w:p>
        </w:tc>
      </w:tr>
      <w:tr>
        <w:trPr/>
        <w:tc>
          <w:tcPr>
            <w:tcW w:w="373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97"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3738" w:type="dxa"/>
            <w:tcBorders/>
            <w:shd w:fill="CCEEFF" w:val="clear"/>
            <w:vAlign w:val="bottom"/>
          </w:tcPr>
          <w:p>
            <w:pPr>
              <w:pStyle w:val="TableContents"/>
              <w:spacing w:before="0" w:after="0"/>
              <w:ind w:left="225" w:right="0" w:hanging="225"/>
              <w:rPr/>
            </w:pPr>
            <w:r>
              <w:rPr/>
              <w:t>Pawn licenses</w:t>
            </w:r>
          </w:p>
        </w:tc>
        <w:tc>
          <w:tcPr>
            <w:tcW w:w="297"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323" w:type="dxa"/>
            <w:tcBorders/>
            <w:shd w:fill="CCEEFF" w:val="clear"/>
            <w:vAlign w:val="bottom"/>
          </w:tcPr>
          <w:p>
            <w:pPr>
              <w:pStyle w:val="TableContents"/>
              <w:spacing w:before="0" w:after="283"/>
              <w:jc w:val="right"/>
              <w:rPr/>
            </w:pPr>
            <w:r>
              <w:rPr/>
              <w:t>1,549</w:t>
            </w:r>
          </w:p>
        </w:tc>
        <w:tc>
          <w:tcPr>
            <w:tcW w:w="101"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323" w:type="dxa"/>
            <w:tcBorders/>
            <w:shd w:fill="CCEEFF" w:val="clear"/>
            <w:vAlign w:val="bottom"/>
          </w:tcPr>
          <w:p>
            <w:pPr>
              <w:pStyle w:val="TableContents"/>
              <w:spacing w:before="0" w:after="283"/>
              <w:jc w:val="right"/>
              <w:rPr/>
            </w:pPr>
            <w:r>
              <w:rPr/>
              <w:t>1,500</w:t>
            </w:r>
          </w:p>
        </w:tc>
        <w:tc>
          <w:tcPr>
            <w:tcW w:w="101"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jc w:val="left"/>
              <w:rPr/>
            </w:pPr>
            <w:r>
              <w:rPr/>
              <w:t>$</w:t>
            </w:r>
          </w:p>
        </w:tc>
        <w:tc>
          <w:tcPr>
            <w:tcW w:w="1597" w:type="dxa"/>
            <w:tcBorders/>
            <w:shd w:fill="CCEEFF" w:val="clear"/>
            <w:vAlign w:val="bottom"/>
          </w:tcPr>
          <w:p>
            <w:pPr>
              <w:pStyle w:val="TableContents"/>
              <w:spacing w:before="0" w:after="283"/>
              <w:jc w:val="right"/>
              <w:rPr/>
            </w:pPr>
            <w:r>
              <w:rPr/>
              <w:t>1,549</w:t>
            </w:r>
          </w:p>
        </w:tc>
        <w:tc>
          <w:tcPr>
            <w:tcW w:w="108" w:type="dxa"/>
            <w:tcBorders/>
            <w:shd w:fill="CCEEFF" w:val="clear"/>
            <w:vAlign w:val="bottom"/>
          </w:tcPr>
          <w:p>
            <w:pPr>
              <w:pStyle w:val="TableContents"/>
              <w:spacing w:before="0" w:after="283"/>
              <w:rPr/>
            </w:pPr>
            <w:r>
              <w:rPr/>
              <w:t> </w:t>
            </w:r>
          </w:p>
        </w:tc>
      </w:tr>
      <w:tr>
        <w:trPr/>
        <w:tc>
          <w:tcPr>
            <w:tcW w:w="3738" w:type="dxa"/>
            <w:tcBorders/>
            <w:shd w:fill="auto" w:val="clear"/>
            <w:vAlign w:val="bottom"/>
          </w:tcPr>
          <w:p>
            <w:pPr>
              <w:pStyle w:val="TableContents"/>
              <w:spacing w:before="0" w:after="0"/>
              <w:ind w:left="225" w:right="0" w:hanging="225"/>
              <w:rPr/>
            </w:pPr>
            <w:r>
              <w:rPr/>
              <w:t>Goodwill</w:t>
            </w:r>
          </w:p>
        </w:tc>
        <w:tc>
          <w:tcPr>
            <w:tcW w:w="297"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jc w:val="right"/>
              <w:rPr/>
            </w:pPr>
            <w:r>
              <w:rPr/>
              <w:t>768</w:t>
            </w:r>
          </w:p>
        </w:tc>
        <w:tc>
          <w:tcPr>
            <w:tcW w:w="101"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jc w:val="right"/>
              <w:rPr/>
            </w:pPr>
            <w:r>
              <w:rPr/>
              <w:t>631</w:t>
            </w:r>
          </w:p>
        </w:tc>
        <w:tc>
          <w:tcPr>
            <w:tcW w:w="101"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97" w:type="dxa"/>
            <w:tcBorders/>
            <w:shd w:fill="auto" w:val="clear"/>
            <w:vAlign w:val="bottom"/>
          </w:tcPr>
          <w:p>
            <w:pPr>
              <w:pStyle w:val="TableContents"/>
              <w:spacing w:before="0" w:after="283"/>
              <w:jc w:val="right"/>
              <w:rPr/>
            </w:pPr>
            <w:r>
              <w:rPr/>
              <w:t>768</w:t>
            </w:r>
          </w:p>
        </w:tc>
        <w:tc>
          <w:tcPr>
            <w:tcW w:w="108" w:type="dxa"/>
            <w:tcBorders/>
            <w:shd w:fill="auto" w:val="clear"/>
            <w:vAlign w:val="bottom"/>
          </w:tcPr>
          <w:p>
            <w:pPr>
              <w:pStyle w:val="TableContents"/>
              <w:spacing w:before="0" w:after="283"/>
              <w:rPr/>
            </w:pPr>
            <w:r>
              <w:rPr/>
              <w:t> </w:t>
            </w:r>
          </w:p>
        </w:tc>
      </w:tr>
      <w:tr>
        <w:trPr/>
        <w:tc>
          <w:tcPr>
            <w:tcW w:w="3738" w:type="dxa"/>
            <w:tcBorders/>
            <w:shd w:fill="auto" w:val="clear"/>
            <w:vAlign w:val="center"/>
          </w:tcPr>
          <w:p>
            <w:pPr>
              <w:pStyle w:val="TableContents"/>
              <w:spacing w:before="0" w:after="0"/>
              <w:ind w:left="225" w:right="0" w:hanging="225"/>
              <w:rPr/>
            </w:pPr>
            <w:r>
              <w:rPr/>
              <w:t> </w:t>
            </w:r>
          </w:p>
        </w:tc>
        <w:tc>
          <w:tcPr>
            <w:tcW w:w="297" w:type="dxa"/>
            <w:tcBorders/>
            <w:shd w:fill="auto" w:val="clear"/>
            <w:vAlign w:val="center"/>
          </w:tcPr>
          <w:p>
            <w:pPr>
              <w:pStyle w:val="TableContents"/>
              <w:spacing w:before="0" w:after="283"/>
              <w:rPr/>
            </w:pPr>
            <w:r>
              <w:rPr/>
              <w:t> </w:t>
            </w:r>
          </w:p>
        </w:tc>
        <w:tc>
          <w:tcPr>
            <w:tcW w:w="16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6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9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r>
      <w:tr>
        <w:trPr/>
        <w:tc>
          <w:tcPr>
            <w:tcW w:w="3738" w:type="dxa"/>
            <w:tcBorders/>
            <w:shd w:fill="CCEEFF" w:val="clear"/>
            <w:vAlign w:val="bottom"/>
          </w:tcPr>
          <w:p>
            <w:pPr>
              <w:pStyle w:val="TableContents"/>
              <w:spacing w:before="0" w:after="0"/>
              <w:ind w:left="225" w:right="0" w:hanging="225"/>
              <w:rPr/>
            </w:pPr>
            <w:r>
              <w:rPr/>
              <w:t>Total</w:t>
            </w:r>
          </w:p>
        </w:tc>
        <w:tc>
          <w:tcPr>
            <w:tcW w:w="297"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323" w:type="dxa"/>
            <w:tcBorders/>
            <w:shd w:fill="CCEEFF" w:val="clear"/>
            <w:vAlign w:val="bottom"/>
          </w:tcPr>
          <w:p>
            <w:pPr>
              <w:pStyle w:val="TableContents"/>
              <w:spacing w:before="0" w:after="283"/>
              <w:jc w:val="right"/>
              <w:rPr/>
            </w:pPr>
            <w:r>
              <w:rPr/>
              <w:t>2,317</w:t>
            </w:r>
          </w:p>
        </w:tc>
        <w:tc>
          <w:tcPr>
            <w:tcW w:w="101"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323" w:type="dxa"/>
            <w:tcBorders/>
            <w:shd w:fill="CCEEFF" w:val="clear"/>
            <w:vAlign w:val="bottom"/>
          </w:tcPr>
          <w:p>
            <w:pPr>
              <w:pStyle w:val="TableContents"/>
              <w:spacing w:before="0" w:after="283"/>
              <w:jc w:val="right"/>
              <w:rPr/>
            </w:pPr>
            <w:r>
              <w:rPr/>
              <w:t>2,131</w:t>
            </w:r>
          </w:p>
        </w:tc>
        <w:tc>
          <w:tcPr>
            <w:tcW w:w="101"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jc w:val="left"/>
              <w:rPr/>
            </w:pPr>
            <w:r>
              <w:rPr/>
              <w:t>$</w:t>
            </w:r>
          </w:p>
        </w:tc>
        <w:tc>
          <w:tcPr>
            <w:tcW w:w="1597" w:type="dxa"/>
            <w:tcBorders/>
            <w:shd w:fill="CCEEFF" w:val="clear"/>
            <w:vAlign w:val="bottom"/>
          </w:tcPr>
          <w:p>
            <w:pPr>
              <w:pStyle w:val="TableContents"/>
              <w:spacing w:before="0" w:after="283"/>
              <w:jc w:val="right"/>
              <w:rPr/>
            </w:pPr>
            <w:r>
              <w:rPr/>
              <w:t>2,317</w:t>
            </w:r>
          </w:p>
        </w:tc>
        <w:tc>
          <w:tcPr>
            <w:tcW w:w="108" w:type="dxa"/>
            <w:tcBorders/>
            <w:shd w:fill="CCEEFF" w:val="clear"/>
            <w:vAlign w:val="bottom"/>
          </w:tcPr>
          <w:p>
            <w:pPr>
              <w:pStyle w:val="TableContents"/>
              <w:spacing w:before="0" w:after="283"/>
              <w:rPr/>
            </w:pPr>
            <w:r>
              <w:rPr/>
              <w:t> </w:t>
            </w:r>
          </w:p>
        </w:tc>
      </w:tr>
      <w:tr>
        <w:trPr/>
        <w:tc>
          <w:tcPr>
            <w:tcW w:w="3738" w:type="dxa"/>
            <w:tcBorders/>
            <w:shd w:fill="auto" w:val="clear"/>
            <w:vAlign w:val="center"/>
          </w:tcPr>
          <w:p>
            <w:pPr>
              <w:pStyle w:val="TableContents"/>
              <w:spacing w:before="0" w:after="0"/>
              <w:ind w:left="225" w:right="0" w:hanging="225"/>
              <w:rPr/>
            </w:pPr>
            <w:r>
              <w:rPr/>
              <w:t> </w:t>
            </w:r>
          </w:p>
        </w:tc>
        <w:tc>
          <w:tcPr>
            <w:tcW w:w="297" w:type="dxa"/>
            <w:tcBorders/>
            <w:shd w:fill="auto" w:val="clear"/>
            <w:vAlign w:val="center"/>
          </w:tcPr>
          <w:p>
            <w:pPr>
              <w:pStyle w:val="TableContents"/>
              <w:spacing w:before="0" w:after="283"/>
              <w:rPr/>
            </w:pPr>
            <w:r>
              <w:rPr/>
              <w:t> </w:t>
            </w:r>
          </w:p>
        </w:tc>
        <w:tc>
          <w:tcPr>
            <w:tcW w:w="16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6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98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gross carrying amount and accumulated amortization for each major class of definite-lived intangible asset at the specified dates: </w:t>
      </w:r>
    </w:p>
    <w:tbl>
      <w:tblPr>
        <w:tblW w:w="5000" w:type="pct"/>
        <w:jc w:val="center"/>
        <w:tblInd w:w="0" w:type="dxa"/>
        <w:tblCellMar>
          <w:top w:w="0" w:type="dxa"/>
          <w:left w:w="0" w:type="dxa"/>
          <w:bottom w:w="0" w:type="dxa"/>
          <w:right w:w="0" w:type="dxa"/>
        </w:tblCellMar>
      </w:tblPr>
      <w:tblGrid>
        <w:gridCol w:w="1668"/>
        <w:gridCol w:w="174"/>
        <w:gridCol w:w="181"/>
        <w:gridCol w:w="754"/>
        <w:gridCol w:w="83"/>
        <w:gridCol w:w="179"/>
        <w:gridCol w:w="298"/>
        <w:gridCol w:w="1024"/>
        <w:gridCol w:w="111"/>
        <w:gridCol w:w="174"/>
        <w:gridCol w:w="181"/>
        <w:gridCol w:w="754"/>
        <w:gridCol w:w="83"/>
        <w:gridCol w:w="179"/>
        <w:gridCol w:w="298"/>
        <w:gridCol w:w="1023"/>
        <w:gridCol w:w="111"/>
        <w:gridCol w:w="174"/>
        <w:gridCol w:w="198"/>
        <w:gridCol w:w="820"/>
        <w:gridCol w:w="98"/>
        <w:gridCol w:w="194"/>
        <w:gridCol w:w="299"/>
        <w:gridCol w:w="1023"/>
        <w:gridCol w:w="124"/>
      </w:tblGrid>
      <w:tr>
        <w:trPr/>
        <w:tc>
          <w:tcPr>
            <w:tcW w:w="166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166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2519"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 2007</w:t>
            </w:r>
          </w:p>
        </w:tc>
        <w:tc>
          <w:tcPr>
            <w:tcW w:w="11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2518"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 2006</w:t>
            </w:r>
          </w:p>
        </w:tc>
        <w:tc>
          <w:tcPr>
            <w:tcW w:w="11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2632"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 2006</w:t>
            </w:r>
          </w:p>
        </w:tc>
        <w:tc>
          <w:tcPr>
            <w:tcW w:w="124" w:type="dxa"/>
            <w:tcBorders/>
            <w:shd w:fill="auto" w:val="clear"/>
            <w:vAlign w:val="bottom"/>
          </w:tcPr>
          <w:p>
            <w:pPr>
              <w:pStyle w:val="TableContents"/>
              <w:spacing w:before="0" w:after="283"/>
              <w:rPr/>
            </w:pPr>
            <w:r>
              <w:rPr/>
              <w:t> </w:t>
            </w:r>
          </w:p>
        </w:tc>
      </w:tr>
      <w:tr>
        <w:trPr/>
        <w:tc>
          <w:tcPr>
            <w:tcW w:w="166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center"/>
              <w:rPr/>
            </w:pPr>
            <w:r>
              <w:rPr/>
              <w:t>Carrying</w:t>
            </w:r>
          </w:p>
        </w:tc>
        <w:tc>
          <w:tcPr>
            <w:tcW w:w="8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322" w:type="dxa"/>
            <w:gridSpan w:val="2"/>
            <w:tcBorders/>
            <w:shd w:fill="auto" w:val="clear"/>
            <w:vAlign w:val="bottom"/>
          </w:tcPr>
          <w:p>
            <w:pPr>
              <w:pStyle w:val="TableContents"/>
              <w:spacing w:before="0" w:after="283"/>
              <w:jc w:val="center"/>
              <w:rPr/>
            </w:pPr>
            <w:r>
              <w:rPr/>
              <w:t>Accumulated</w:t>
            </w:r>
          </w:p>
        </w:tc>
        <w:tc>
          <w:tcPr>
            <w:tcW w:w="11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center"/>
              <w:rPr/>
            </w:pPr>
            <w:r>
              <w:rPr/>
              <w:t>Carrying</w:t>
            </w:r>
          </w:p>
        </w:tc>
        <w:tc>
          <w:tcPr>
            <w:tcW w:w="8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321" w:type="dxa"/>
            <w:gridSpan w:val="2"/>
            <w:tcBorders/>
            <w:shd w:fill="auto" w:val="clear"/>
            <w:vAlign w:val="bottom"/>
          </w:tcPr>
          <w:p>
            <w:pPr>
              <w:pStyle w:val="TableContents"/>
              <w:spacing w:before="0" w:after="283"/>
              <w:jc w:val="center"/>
              <w:rPr/>
            </w:pPr>
            <w:r>
              <w:rPr/>
              <w:t>Accumulated</w:t>
            </w:r>
          </w:p>
        </w:tc>
        <w:tc>
          <w:tcPr>
            <w:tcW w:w="11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018" w:type="dxa"/>
            <w:gridSpan w:val="2"/>
            <w:tcBorders/>
            <w:shd w:fill="auto" w:val="clear"/>
            <w:vAlign w:val="bottom"/>
          </w:tcPr>
          <w:p>
            <w:pPr>
              <w:pStyle w:val="TableContents"/>
              <w:spacing w:before="0" w:after="283"/>
              <w:jc w:val="center"/>
              <w:rPr/>
            </w:pPr>
            <w:r>
              <w:rPr/>
              <w:t>Carrying</w:t>
            </w:r>
          </w:p>
        </w:tc>
        <w:tc>
          <w:tcPr>
            <w:tcW w:w="9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322" w:type="dxa"/>
            <w:gridSpan w:val="2"/>
            <w:tcBorders/>
            <w:shd w:fill="auto" w:val="clear"/>
            <w:vAlign w:val="bottom"/>
          </w:tcPr>
          <w:p>
            <w:pPr>
              <w:pStyle w:val="TableContents"/>
              <w:spacing w:before="0" w:after="283"/>
              <w:jc w:val="center"/>
              <w:rPr/>
            </w:pPr>
            <w:r>
              <w:rPr/>
              <w:t>Accumulated</w:t>
            </w:r>
          </w:p>
        </w:tc>
        <w:tc>
          <w:tcPr>
            <w:tcW w:w="124" w:type="dxa"/>
            <w:tcBorders/>
            <w:shd w:fill="auto" w:val="clear"/>
            <w:vAlign w:val="bottom"/>
          </w:tcPr>
          <w:p>
            <w:pPr>
              <w:pStyle w:val="TableContents"/>
              <w:spacing w:before="0" w:after="283"/>
              <w:rPr/>
            </w:pPr>
            <w:r>
              <w:rPr/>
              <w:t> </w:t>
            </w:r>
          </w:p>
        </w:tc>
      </w:tr>
      <w:tr>
        <w:trPr/>
        <w:tc>
          <w:tcPr>
            <w:tcW w:w="166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8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322"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1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35"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8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321"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1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018"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9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322"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24" w:type="dxa"/>
            <w:tcBorders/>
            <w:shd w:fill="auto" w:val="clear"/>
            <w:vAlign w:val="bottom"/>
          </w:tcPr>
          <w:p>
            <w:pPr>
              <w:pStyle w:val="TableContents"/>
              <w:spacing w:before="0" w:after="283"/>
              <w:rPr/>
            </w:pPr>
            <w:r>
              <w:rPr/>
              <w:t> </w:t>
            </w:r>
          </w:p>
        </w:tc>
      </w:tr>
      <w:tr>
        <w:trPr/>
        <w:tc>
          <w:tcPr>
            <w:tcW w:w="166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39" w:type="dxa"/>
            <w:gridSpan w:val="22"/>
            <w:tcBorders/>
            <w:shd w:fill="auto" w:val="clear"/>
            <w:vAlign w:val="bottom"/>
          </w:tcPr>
          <w:p>
            <w:pPr>
              <w:pStyle w:val="TableContents"/>
              <w:spacing w:before="0" w:after="283"/>
              <w:jc w:val="center"/>
              <w:rPr>
                <w:i/>
              </w:rPr>
            </w:pPr>
            <w:r>
              <w:rPr>
                <w:i/>
              </w:rPr>
              <w:t>(In thousands)</w:t>
            </w:r>
          </w:p>
        </w:tc>
        <w:tc>
          <w:tcPr>
            <w:tcW w:w="124" w:type="dxa"/>
            <w:tcBorders/>
            <w:shd w:fill="auto" w:val="clear"/>
            <w:vAlign w:val="bottom"/>
          </w:tcPr>
          <w:p>
            <w:pPr>
              <w:pStyle w:val="TableContents"/>
              <w:spacing w:before="0" w:after="283"/>
              <w:rPr/>
            </w:pPr>
            <w:r>
              <w:rPr/>
              <w:t> </w:t>
            </w:r>
          </w:p>
        </w:tc>
      </w:tr>
      <w:tr>
        <w:trPr/>
        <w:tc>
          <w:tcPr>
            <w:tcW w:w="1668" w:type="dxa"/>
            <w:tcBorders/>
            <w:shd w:fill="auto" w:val="clear"/>
            <w:vAlign w:val="bottom"/>
          </w:tcPr>
          <w:p>
            <w:pPr>
              <w:pStyle w:val="TableContents"/>
              <w:spacing w:before="0" w:after="0"/>
              <w:ind w:left="225" w:right="0" w:hanging="225"/>
              <w:rPr/>
            </w:pPr>
            <w:r>
              <w:rPr/>
              <w:t> </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1668" w:type="dxa"/>
            <w:tcBorders/>
            <w:shd w:fill="CCEEFF" w:val="clear"/>
            <w:vAlign w:val="bottom"/>
          </w:tcPr>
          <w:p>
            <w:pPr>
              <w:pStyle w:val="TableContents"/>
              <w:spacing w:before="0" w:after="0"/>
              <w:ind w:left="225" w:right="0" w:hanging="225"/>
              <w:rPr/>
            </w:pPr>
            <w:r>
              <w:rPr/>
              <w:t>License application fees</w:t>
            </w:r>
          </w:p>
        </w:tc>
        <w:tc>
          <w:tcPr>
            <w:tcW w:w="17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754" w:type="dxa"/>
            <w:tcBorders/>
            <w:shd w:fill="CCEEFF" w:val="clear"/>
            <w:vAlign w:val="bottom"/>
          </w:tcPr>
          <w:p>
            <w:pPr>
              <w:pStyle w:val="TableContents"/>
              <w:spacing w:before="0" w:after="283"/>
              <w:jc w:val="right"/>
              <w:rPr/>
            </w:pPr>
            <w:r>
              <w:rPr/>
              <w:t>345</w:t>
            </w:r>
          </w:p>
        </w:tc>
        <w:tc>
          <w:tcPr>
            <w:tcW w:w="8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left"/>
              <w:rPr/>
            </w:pPr>
            <w:r>
              <w:rPr/>
              <w:t>$</w:t>
            </w:r>
          </w:p>
        </w:tc>
        <w:tc>
          <w:tcPr>
            <w:tcW w:w="1024" w:type="dxa"/>
            <w:tcBorders/>
            <w:shd w:fill="CCEEFF" w:val="clear"/>
            <w:vAlign w:val="bottom"/>
          </w:tcPr>
          <w:p>
            <w:pPr>
              <w:pStyle w:val="TableContents"/>
              <w:spacing w:before="0" w:after="283"/>
              <w:jc w:val="right"/>
              <w:rPr/>
            </w:pPr>
            <w:r>
              <w:rPr/>
              <w:t>(273</w:t>
            </w:r>
          </w:p>
        </w:tc>
        <w:tc>
          <w:tcPr>
            <w:tcW w:w="111"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754" w:type="dxa"/>
            <w:tcBorders/>
            <w:shd w:fill="CCEEFF" w:val="clear"/>
            <w:vAlign w:val="bottom"/>
          </w:tcPr>
          <w:p>
            <w:pPr>
              <w:pStyle w:val="TableContents"/>
              <w:spacing w:before="0" w:after="283"/>
              <w:jc w:val="right"/>
              <w:rPr/>
            </w:pPr>
            <w:r>
              <w:rPr/>
              <w:t>345</w:t>
            </w:r>
          </w:p>
        </w:tc>
        <w:tc>
          <w:tcPr>
            <w:tcW w:w="8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left"/>
              <w:rPr/>
            </w:pPr>
            <w:r>
              <w:rPr/>
              <w:t>$</w:t>
            </w:r>
          </w:p>
        </w:tc>
        <w:tc>
          <w:tcPr>
            <w:tcW w:w="1023" w:type="dxa"/>
            <w:tcBorders/>
            <w:shd w:fill="CCEEFF" w:val="clear"/>
            <w:vAlign w:val="bottom"/>
          </w:tcPr>
          <w:p>
            <w:pPr>
              <w:pStyle w:val="TableContents"/>
              <w:spacing w:before="0" w:after="283"/>
              <w:jc w:val="right"/>
              <w:rPr/>
            </w:pPr>
            <w:r>
              <w:rPr/>
              <w:t>(242</w:t>
            </w:r>
          </w:p>
        </w:tc>
        <w:tc>
          <w:tcPr>
            <w:tcW w:w="111"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345</w:t>
            </w:r>
          </w:p>
        </w:tc>
        <w:tc>
          <w:tcPr>
            <w:tcW w:w="98"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jc w:val="left"/>
              <w:rPr/>
            </w:pPr>
            <w:r>
              <w:rPr/>
              <w:t>$</w:t>
            </w:r>
          </w:p>
        </w:tc>
        <w:tc>
          <w:tcPr>
            <w:tcW w:w="1023" w:type="dxa"/>
            <w:tcBorders/>
            <w:shd w:fill="CCEEFF" w:val="clear"/>
            <w:vAlign w:val="bottom"/>
          </w:tcPr>
          <w:p>
            <w:pPr>
              <w:pStyle w:val="TableContents"/>
              <w:spacing w:before="0" w:after="283"/>
              <w:jc w:val="right"/>
              <w:rPr/>
            </w:pPr>
            <w:r>
              <w:rPr/>
              <w:t>(257</w:t>
            </w:r>
          </w:p>
        </w:tc>
        <w:tc>
          <w:tcPr>
            <w:tcW w:w="124" w:type="dxa"/>
            <w:tcBorders/>
            <w:shd w:fill="CCEEFF" w:val="clear"/>
            <w:vAlign w:val="bottom"/>
          </w:tcPr>
          <w:p>
            <w:pPr>
              <w:pStyle w:val="TableContents"/>
              <w:spacing w:before="0" w:after="283"/>
              <w:rPr/>
            </w:pPr>
            <w:r>
              <w:rPr/>
              <w:t>)</w:t>
            </w:r>
          </w:p>
        </w:tc>
      </w:tr>
      <w:tr>
        <w:trPr/>
        <w:tc>
          <w:tcPr>
            <w:tcW w:w="1668" w:type="dxa"/>
            <w:tcBorders/>
            <w:shd w:fill="auto" w:val="clear"/>
            <w:vAlign w:val="bottom"/>
          </w:tcPr>
          <w:p>
            <w:pPr>
              <w:pStyle w:val="TableContents"/>
              <w:spacing w:before="0" w:after="0"/>
              <w:ind w:left="225" w:right="0" w:hanging="225"/>
              <w:rPr/>
            </w:pPr>
            <w:r>
              <w:rPr/>
              <w:t>Real estate finders fees</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556</w:t>
            </w:r>
          </w:p>
        </w:tc>
        <w:tc>
          <w:tcPr>
            <w:tcW w:w="8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left"/>
              <w:rPr/>
            </w:pPr>
            <w:r>
              <w:rPr/>
              <w:t> </w:t>
            </w:r>
          </w:p>
        </w:tc>
        <w:tc>
          <w:tcPr>
            <w:tcW w:w="1024" w:type="dxa"/>
            <w:tcBorders/>
            <w:shd w:fill="auto" w:val="clear"/>
            <w:vAlign w:val="bottom"/>
          </w:tcPr>
          <w:p>
            <w:pPr>
              <w:pStyle w:val="TableContents"/>
              <w:spacing w:before="0" w:after="283"/>
              <w:jc w:val="right"/>
              <w:rPr/>
            </w:pPr>
            <w:r>
              <w:rPr/>
              <w:t>(319</w:t>
            </w:r>
          </w:p>
        </w:tc>
        <w:tc>
          <w:tcPr>
            <w:tcW w:w="111"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554</w:t>
            </w:r>
          </w:p>
        </w:tc>
        <w:tc>
          <w:tcPr>
            <w:tcW w:w="8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(302</w:t>
            </w:r>
          </w:p>
        </w:tc>
        <w:tc>
          <w:tcPr>
            <w:tcW w:w="111"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556</w:t>
            </w:r>
          </w:p>
        </w:tc>
        <w:tc>
          <w:tcPr>
            <w:tcW w:w="9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(311</w:t>
            </w:r>
          </w:p>
        </w:tc>
        <w:tc>
          <w:tcPr>
            <w:tcW w:w="124" w:type="dxa"/>
            <w:tcBorders/>
            <w:shd w:fill="auto" w:val="clear"/>
            <w:vAlign w:val="bottom"/>
          </w:tcPr>
          <w:p>
            <w:pPr>
              <w:pStyle w:val="TableContents"/>
              <w:spacing w:before="0" w:after="283"/>
              <w:rPr/>
            </w:pPr>
            <w:r>
              <w:rPr/>
              <w:t>)</w:t>
            </w:r>
          </w:p>
        </w:tc>
      </w:tr>
      <w:tr>
        <w:trPr/>
        <w:tc>
          <w:tcPr>
            <w:tcW w:w="1668" w:type="dxa"/>
            <w:tcBorders/>
            <w:shd w:fill="CCEEFF" w:val="clear"/>
            <w:vAlign w:val="bottom"/>
          </w:tcPr>
          <w:p>
            <w:pPr>
              <w:pStyle w:val="TableContents"/>
              <w:spacing w:before="0" w:after="0"/>
              <w:ind w:left="225" w:right="0" w:hanging="225"/>
              <w:rPr/>
            </w:pPr>
            <w:r>
              <w:rPr/>
              <w:t>Non-compete agreements</w:t>
            </w:r>
          </w:p>
        </w:tc>
        <w:tc>
          <w:tcPr>
            <w:tcW w:w="17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398</w:t>
            </w:r>
          </w:p>
        </w:tc>
        <w:tc>
          <w:tcPr>
            <w:tcW w:w="8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pPr>
            <w:r>
              <w:rPr/>
              <w:t>(288</w:t>
            </w:r>
          </w:p>
        </w:tc>
        <w:tc>
          <w:tcPr>
            <w:tcW w:w="111"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388</w:t>
            </w:r>
          </w:p>
        </w:tc>
        <w:tc>
          <w:tcPr>
            <w:tcW w:w="8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283"/>
              <w:jc w:val="right"/>
              <w:rPr/>
            </w:pPr>
            <w:r>
              <w:rPr/>
              <w:t>(267</w:t>
            </w:r>
          </w:p>
        </w:tc>
        <w:tc>
          <w:tcPr>
            <w:tcW w:w="111"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398</w:t>
            </w:r>
          </w:p>
        </w:tc>
        <w:tc>
          <w:tcPr>
            <w:tcW w:w="98"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283"/>
              <w:jc w:val="right"/>
              <w:rPr/>
            </w:pPr>
            <w:r>
              <w:rPr/>
              <w:t>(277</w:t>
            </w:r>
          </w:p>
        </w:tc>
        <w:tc>
          <w:tcPr>
            <w:tcW w:w="124" w:type="dxa"/>
            <w:tcBorders/>
            <w:shd w:fill="CCEEFF" w:val="clear"/>
            <w:vAlign w:val="bottom"/>
          </w:tcPr>
          <w:p>
            <w:pPr>
              <w:pStyle w:val="TableContents"/>
              <w:spacing w:before="0" w:after="283"/>
              <w:rPr/>
            </w:pPr>
            <w:r>
              <w:rPr/>
              <w:t>)</w:t>
            </w:r>
          </w:p>
        </w:tc>
      </w:tr>
      <w:tr>
        <w:trPr/>
        <w:tc>
          <w:tcPr>
            <w:tcW w:w="1668" w:type="dxa"/>
            <w:tcBorders/>
            <w:shd w:fill="auto" w:val="clear"/>
            <w:vAlign w:val="center"/>
          </w:tcPr>
          <w:p>
            <w:pPr>
              <w:pStyle w:val="TableContents"/>
              <w:spacing w:before="0" w:after="0"/>
              <w:ind w:left="225" w:right="0" w:hanging="225"/>
              <w:rPr/>
            </w:pPr>
            <w:r>
              <w:rPr/>
              <w:t> </w:t>
            </w:r>
          </w:p>
        </w:tc>
        <w:tc>
          <w:tcPr>
            <w:tcW w:w="174"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3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3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3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r>
        <w:trPr/>
        <w:tc>
          <w:tcPr>
            <w:tcW w:w="1668" w:type="dxa"/>
            <w:tcBorders/>
            <w:shd w:fill="auto" w:val="clear"/>
            <w:vAlign w:val="bottom"/>
          </w:tcPr>
          <w:p>
            <w:pPr>
              <w:pStyle w:val="TableContents"/>
              <w:spacing w:before="0" w:after="0"/>
              <w:ind w:left="225" w:right="0" w:hanging="225"/>
              <w:rPr/>
            </w:pPr>
            <w:r>
              <w:rPr/>
              <w:t>Total</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754" w:type="dxa"/>
            <w:tcBorders/>
            <w:shd w:fill="auto" w:val="clear"/>
            <w:vAlign w:val="bottom"/>
          </w:tcPr>
          <w:p>
            <w:pPr>
              <w:pStyle w:val="TableContents"/>
              <w:spacing w:before="0" w:after="283"/>
              <w:jc w:val="right"/>
              <w:rPr/>
            </w:pPr>
            <w:r>
              <w:rPr/>
              <w:t>1,299</w:t>
            </w:r>
          </w:p>
        </w:tc>
        <w:tc>
          <w:tcPr>
            <w:tcW w:w="8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left"/>
              <w:rPr/>
            </w:pPr>
            <w:r>
              <w:rPr/>
              <w:t>$</w:t>
            </w:r>
          </w:p>
        </w:tc>
        <w:tc>
          <w:tcPr>
            <w:tcW w:w="1024" w:type="dxa"/>
            <w:tcBorders/>
            <w:shd w:fill="auto" w:val="clear"/>
            <w:vAlign w:val="bottom"/>
          </w:tcPr>
          <w:p>
            <w:pPr>
              <w:pStyle w:val="TableContents"/>
              <w:spacing w:before="0" w:after="283"/>
              <w:jc w:val="right"/>
              <w:rPr/>
            </w:pPr>
            <w:r>
              <w:rPr/>
              <w:t>(880</w:t>
            </w:r>
          </w:p>
        </w:tc>
        <w:tc>
          <w:tcPr>
            <w:tcW w:w="111"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754" w:type="dxa"/>
            <w:tcBorders/>
            <w:shd w:fill="auto" w:val="clear"/>
            <w:vAlign w:val="bottom"/>
          </w:tcPr>
          <w:p>
            <w:pPr>
              <w:pStyle w:val="TableContents"/>
              <w:spacing w:before="0" w:after="283"/>
              <w:jc w:val="right"/>
              <w:rPr/>
            </w:pPr>
            <w:r>
              <w:rPr/>
              <w:t>1,287</w:t>
            </w:r>
          </w:p>
        </w:tc>
        <w:tc>
          <w:tcPr>
            <w:tcW w:w="8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left"/>
              <w:rPr/>
            </w:pPr>
            <w:r>
              <w:rPr/>
              <w:t>$</w:t>
            </w:r>
          </w:p>
        </w:tc>
        <w:tc>
          <w:tcPr>
            <w:tcW w:w="1023" w:type="dxa"/>
            <w:tcBorders/>
            <w:shd w:fill="auto" w:val="clear"/>
            <w:vAlign w:val="bottom"/>
          </w:tcPr>
          <w:p>
            <w:pPr>
              <w:pStyle w:val="TableContents"/>
              <w:spacing w:before="0" w:after="283"/>
              <w:jc w:val="right"/>
              <w:rPr/>
            </w:pPr>
            <w:r>
              <w:rPr/>
              <w:t>(811</w:t>
            </w:r>
          </w:p>
        </w:tc>
        <w:tc>
          <w:tcPr>
            <w:tcW w:w="111"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1,299</w:t>
            </w:r>
          </w:p>
        </w:tc>
        <w:tc>
          <w:tcPr>
            <w:tcW w:w="9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jc w:val="left"/>
              <w:rPr/>
            </w:pPr>
            <w:r>
              <w:rPr/>
              <w:t>$</w:t>
            </w:r>
          </w:p>
        </w:tc>
        <w:tc>
          <w:tcPr>
            <w:tcW w:w="1023" w:type="dxa"/>
            <w:tcBorders/>
            <w:shd w:fill="auto" w:val="clear"/>
            <w:vAlign w:val="bottom"/>
          </w:tcPr>
          <w:p>
            <w:pPr>
              <w:pStyle w:val="TableContents"/>
              <w:spacing w:before="0" w:after="283"/>
              <w:jc w:val="right"/>
              <w:rPr/>
            </w:pPr>
            <w:r>
              <w:rPr/>
              <w:t>(845</w:t>
            </w:r>
          </w:p>
        </w:tc>
        <w:tc>
          <w:tcPr>
            <w:tcW w:w="124" w:type="dxa"/>
            <w:tcBorders/>
            <w:shd w:fill="auto" w:val="clear"/>
            <w:vAlign w:val="bottom"/>
          </w:tcPr>
          <w:p>
            <w:pPr>
              <w:pStyle w:val="TableContents"/>
              <w:spacing w:before="0" w:after="283"/>
              <w:rPr/>
            </w:pPr>
            <w:r>
              <w:rPr/>
              <w:t>)</w:t>
            </w:r>
          </w:p>
        </w:tc>
      </w:tr>
      <w:tr>
        <w:trPr/>
        <w:tc>
          <w:tcPr>
            <w:tcW w:w="1668" w:type="dxa"/>
            <w:tcBorders/>
            <w:shd w:fill="auto" w:val="clear"/>
            <w:vAlign w:val="center"/>
          </w:tcPr>
          <w:p>
            <w:pPr>
              <w:pStyle w:val="TableContents"/>
              <w:spacing w:before="0" w:after="0"/>
              <w:ind w:left="225" w:right="0" w:hanging="225"/>
              <w:rPr/>
            </w:pPr>
            <w:r>
              <w:rPr/>
              <w:t> </w:t>
            </w:r>
          </w:p>
        </w:tc>
        <w:tc>
          <w:tcPr>
            <w:tcW w:w="174" w:type="dxa"/>
            <w:tcBorders/>
            <w:shd w:fill="auto" w:val="clear"/>
            <w:vAlign w:val="center"/>
          </w:tcPr>
          <w:p>
            <w:pPr>
              <w:pStyle w:val="TableContents"/>
              <w:spacing w:before="0" w:after="283"/>
              <w:rPr/>
            </w:pPr>
            <w:r>
              <w:rPr/>
              <w:t> </w:t>
            </w:r>
          </w:p>
        </w:tc>
        <w:tc>
          <w:tcPr>
            <w:tcW w:w="9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3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9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3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3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Total amortization expense from definite-lived intangible assets for the current quarter and year-to-date periods ended March 31, 2007 was approximately $17,000 and $35,000. For the comparable 2006 periods, amortization expense was approximately $17,000 and $34,000. The following table presents our estimate of amortization expense for definite-lived intangible assets for the next five fiscal years as of October 1, 2006 </w:t>
      </w:r>
      <w:r>
        <w:rPr>
          <w:rFonts w:ascii="Times New Roman;Times;serif" w:hAnsi="Times New Roman;Times;serif"/>
          <w:i/>
          <w:sz w:val="17"/>
        </w:rPr>
        <w:t>(in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256"/>
        <w:gridCol w:w="409"/>
        <w:gridCol w:w="832"/>
        <w:gridCol w:w="1224"/>
        <w:gridCol w:w="484"/>
      </w:tblGrid>
      <w:tr>
        <w:trPr/>
        <w:tc>
          <w:tcPr>
            <w:tcW w:w="7256"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r>
      <w:tr>
        <w:trPr/>
        <w:tc>
          <w:tcPr>
            <w:tcW w:w="7256" w:type="dxa"/>
            <w:tcBorders>
              <w:bottom w:val="single" w:sz="2" w:space="0" w:color="000000"/>
            </w:tcBorders>
            <w:shd w:fill="auto" w:val="clear"/>
            <w:tcMar>
              <w:bottom w:w="28" w:type="dxa"/>
            </w:tcMar>
            <w:vAlign w:val="bottom"/>
          </w:tcPr>
          <w:p>
            <w:pPr>
              <w:pStyle w:val="TableContents"/>
              <w:spacing w:before="0" w:after="283"/>
              <w:jc w:val="left"/>
              <w:rPr/>
            </w:pPr>
            <w:r>
              <w:rPr/>
              <w:t>Fiscal Year</w:t>
            </w:r>
          </w:p>
        </w:tc>
        <w:tc>
          <w:tcPr>
            <w:tcW w:w="409" w:type="dxa"/>
            <w:tcBorders/>
            <w:shd w:fill="auto" w:val="clear"/>
            <w:vAlign w:val="bottom"/>
          </w:tcPr>
          <w:p>
            <w:pPr>
              <w:pStyle w:val="TableContents"/>
              <w:spacing w:before="0" w:after="283"/>
              <w:rPr/>
            </w:pPr>
            <w:r>
              <w:rPr/>
              <w:t> </w:t>
            </w:r>
          </w:p>
        </w:tc>
        <w:tc>
          <w:tcPr>
            <w:tcW w:w="2540" w:type="dxa"/>
            <w:gridSpan w:val="3"/>
            <w:tcBorders>
              <w:bottom w:val="single" w:sz="2" w:space="0" w:color="000000"/>
            </w:tcBorders>
            <w:shd w:fill="auto" w:val="clear"/>
            <w:tcMar>
              <w:bottom w:w="28" w:type="dxa"/>
            </w:tcMar>
            <w:vAlign w:val="bottom"/>
          </w:tcPr>
          <w:p>
            <w:pPr>
              <w:pStyle w:val="TableContents"/>
              <w:spacing w:before="0" w:after="283"/>
              <w:jc w:val="center"/>
              <w:rPr/>
            </w:pPr>
            <w:r>
              <w:rPr/>
              <w:t>Amortization Expense</w:t>
            </w:r>
          </w:p>
        </w:tc>
      </w:tr>
      <w:tr>
        <w:trPr/>
        <w:tc>
          <w:tcPr>
            <w:tcW w:w="7256" w:type="dxa"/>
            <w:tcBorders/>
            <w:shd w:fill="CCEEFF" w:val="clear"/>
            <w:vAlign w:val="bottom"/>
          </w:tcPr>
          <w:p>
            <w:pPr>
              <w:pStyle w:val="TableContents"/>
              <w:spacing w:before="0" w:after="0"/>
              <w:ind w:left="225" w:right="0" w:hanging="225"/>
              <w:rPr/>
            </w:pPr>
            <w:r>
              <w:rPr/>
              <w:t>2007</w:t>
            </w:r>
          </w:p>
        </w:tc>
        <w:tc>
          <w:tcPr>
            <w:tcW w:w="409" w:type="dxa"/>
            <w:tcBorders/>
            <w:shd w:fill="CCEEFF" w:val="clear"/>
            <w:vAlign w:val="bottom"/>
          </w:tcPr>
          <w:p>
            <w:pPr>
              <w:pStyle w:val="TableContents"/>
              <w:spacing w:before="0" w:after="283"/>
              <w:rPr/>
            </w:pPr>
            <w:r>
              <w:rPr/>
              <w:t> </w:t>
            </w:r>
          </w:p>
        </w:tc>
        <w:tc>
          <w:tcPr>
            <w:tcW w:w="832" w:type="dxa"/>
            <w:tcBorders/>
            <w:shd w:fill="CCEEFF" w:val="clear"/>
            <w:vAlign w:val="bottom"/>
          </w:tcPr>
          <w:p>
            <w:pPr>
              <w:pStyle w:val="TableContents"/>
              <w:spacing w:before="0" w:after="283"/>
              <w:jc w:val="right"/>
              <w:rPr/>
            </w:pPr>
            <w:r>
              <w:rPr/>
              <w:t>$</w:t>
            </w:r>
          </w:p>
        </w:tc>
        <w:tc>
          <w:tcPr>
            <w:tcW w:w="1224" w:type="dxa"/>
            <w:tcBorders/>
            <w:shd w:fill="CCEEFF" w:val="clear"/>
            <w:vAlign w:val="bottom"/>
          </w:tcPr>
          <w:p>
            <w:pPr>
              <w:pStyle w:val="TableContents"/>
              <w:spacing w:before="0" w:after="283"/>
              <w:jc w:val="right"/>
              <w:rPr/>
            </w:pPr>
            <w:r>
              <w:rPr/>
              <w:t>69</w:t>
            </w:r>
          </w:p>
        </w:tc>
        <w:tc>
          <w:tcPr>
            <w:tcW w:w="484" w:type="dxa"/>
            <w:tcBorders/>
            <w:shd w:fill="CCEEFF" w:val="clear"/>
            <w:vAlign w:val="bottom"/>
          </w:tcPr>
          <w:p>
            <w:pPr>
              <w:pStyle w:val="TableContents"/>
              <w:spacing w:before="0" w:after="283"/>
              <w:rPr/>
            </w:pPr>
            <w:r>
              <w:rPr/>
              <w:t> </w:t>
            </w:r>
          </w:p>
        </w:tc>
      </w:tr>
      <w:tr>
        <w:trPr/>
        <w:tc>
          <w:tcPr>
            <w:tcW w:w="7256" w:type="dxa"/>
            <w:tcBorders/>
            <w:shd w:fill="auto" w:val="clear"/>
            <w:vAlign w:val="bottom"/>
          </w:tcPr>
          <w:p>
            <w:pPr>
              <w:pStyle w:val="TableContents"/>
              <w:spacing w:before="0" w:after="0"/>
              <w:ind w:left="225" w:right="0" w:hanging="225"/>
              <w:rPr/>
            </w:pPr>
            <w:r>
              <w:rPr/>
              <w:t>2008</w:t>
            </w:r>
          </w:p>
        </w:tc>
        <w:tc>
          <w:tcPr>
            <w:tcW w:w="409"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w:t>
            </w:r>
          </w:p>
        </w:tc>
        <w:tc>
          <w:tcPr>
            <w:tcW w:w="1224" w:type="dxa"/>
            <w:tcBorders/>
            <w:shd w:fill="auto" w:val="clear"/>
            <w:vAlign w:val="bottom"/>
          </w:tcPr>
          <w:p>
            <w:pPr>
              <w:pStyle w:val="TableContents"/>
              <w:spacing w:before="0" w:after="283"/>
              <w:jc w:val="right"/>
              <w:rPr/>
            </w:pPr>
            <w:r>
              <w:rPr/>
              <w:t>68</w:t>
            </w:r>
          </w:p>
        </w:tc>
        <w:tc>
          <w:tcPr>
            <w:tcW w:w="484" w:type="dxa"/>
            <w:tcBorders/>
            <w:shd w:fill="auto" w:val="clear"/>
            <w:vAlign w:val="bottom"/>
          </w:tcPr>
          <w:p>
            <w:pPr>
              <w:pStyle w:val="TableContents"/>
              <w:spacing w:before="0" w:after="283"/>
              <w:rPr/>
            </w:pPr>
            <w:r>
              <w:rPr/>
              <w:t> </w:t>
            </w:r>
          </w:p>
        </w:tc>
      </w:tr>
      <w:tr>
        <w:trPr/>
        <w:tc>
          <w:tcPr>
            <w:tcW w:w="7256" w:type="dxa"/>
            <w:tcBorders/>
            <w:shd w:fill="CCEEFF" w:val="clear"/>
            <w:vAlign w:val="bottom"/>
          </w:tcPr>
          <w:p>
            <w:pPr>
              <w:pStyle w:val="TableContents"/>
              <w:spacing w:before="0" w:after="0"/>
              <w:ind w:left="225" w:right="0" w:hanging="225"/>
              <w:rPr/>
            </w:pPr>
            <w:r>
              <w:rPr/>
              <w:t>2009</w:t>
            </w:r>
          </w:p>
        </w:tc>
        <w:tc>
          <w:tcPr>
            <w:tcW w:w="409" w:type="dxa"/>
            <w:tcBorders/>
            <w:shd w:fill="CCEEFF" w:val="clear"/>
            <w:vAlign w:val="bottom"/>
          </w:tcPr>
          <w:p>
            <w:pPr>
              <w:pStyle w:val="TableContents"/>
              <w:spacing w:before="0" w:after="283"/>
              <w:rPr/>
            </w:pPr>
            <w:r>
              <w:rPr/>
              <w:t> </w:t>
            </w:r>
          </w:p>
        </w:tc>
        <w:tc>
          <w:tcPr>
            <w:tcW w:w="832" w:type="dxa"/>
            <w:tcBorders/>
            <w:shd w:fill="CCEEFF" w:val="clear"/>
            <w:vAlign w:val="bottom"/>
          </w:tcPr>
          <w:p>
            <w:pPr>
              <w:pStyle w:val="TableContents"/>
              <w:spacing w:before="0" w:after="283"/>
              <w:jc w:val="right"/>
              <w:rPr/>
            </w:pPr>
            <w:r>
              <w:rPr/>
              <w:t>$</w:t>
            </w:r>
          </w:p>
        </w:tc>
        <w:tc>
          <w:tcPr>
            <w:tcW w:w="1224" w:type="dxa"/>
            <w:tcBorders/>
            <w:shd w:fill="CCEEFF" w:val="clear"/>
            <w:vAlign w:val="bottom"/>
          </w:tcPr>
          <w:p>
            <w:pPr>
              <w:pStyle w:val="TableContents"/>
              <w:spacing w:before="0" w:after="283"/>
              <w:jc w:val="right"/>
              <w:rPr/>
            </w:pPr>
            <w:r>
              <w:rPr/>
              <w:t>59</w:t>
            </w:r>
          </w:p>
        </w:tc>
        <w:tc>
          <w:tcPr>
            <w:tcW w:w="484" w:type="dxa"/>
            <w:tcBorders/>
            <w:shd w:fill="CCEEFF" w:val="clear"/>
            <w:vAlign w:val="bottom"/>
          </w:tcPr>
          <w:p>
            <w:pPr>
              <w:pStyle w:val="TableContents"/>
              <w:spacing w:before="0" w:after="283"/>
              <w:rPr/>
            </w:pPr>
            <w:r>
              <w:rPr/>
              <w:t> </w:t>
            </w:r>
          </w:p>
        </w:tc>
      </w:tr>
      <w:tr>
        <w:trPr/>
        <w:tc>
          <w:tcPr>
            <w:tcW w:w="7256" w:type="dxa"/>
            <w:tcBorders/>
            <w:shd w:fill="auto" w:val="clear"/>
            <w:vAlign w:val="bottom"/>
          </w:tcPr>
          <w:p>
            <w:pPr>
              <w:pStyle w:val="TableContents"/>
              <w:spacing w:before="0" w:after="0"/>
              <w:ind w:left="225" w:right="0" w:hanging="225"/>
              <w:rPr/>
            </w:pPr>
            <w:r>
              <w:rPr/>
              <w:t>2010</w:t>
            </w:r>
          </w:p>
        </w:tc>
        <w:tc>
          <w:tcPr>
            <w:tcW w:w="409"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w:t>
            </w:r>
          </w:p>
        </w:tc>
        <w:tc>
          <w:tcPr>
            <w:tcW w:w="1224" w:type="dxa"/>
            <w:tcBorders/>
            <w:shd w:fill="auto" w:val="clear"/>
            <w:vAlign w:val="bottom"/>
          </w:tcPr>
          <w:p>
            <w:pPr>
              <w:pStyle w:val="TableContents"/>
              <w:spacing w:before="0" w:after="283"/>
              <w:jc w:val="right"/>
              <w:rPr/>
            </w:pPr>
            <w:r>
              <w:rPr/>
              <w:t>44</w:t>
            </w:r>
          </w:p>
        </w:tc>
        <w:tc>
          <w:tcPr>
            <w:tcW w:w="484" w:type="dxa"/>
            <w:tcBorders/>
            <w:shd w:fill="auto" w:val="clear"/>
            <w:vAlign w:val="bottom"/>
          </w:tcPr>
          <w:p>
            <w:pPr>
              <w:pStyle w:val="TableContents"/>
              <w:spacing w:before="0" w:after="283"/>
              <w:rPr/>
            </w:pPr>
            <w:r>
              <w:rPr/>
              <w:t> </w:t>
            </w:r>
          </w:p>
        </w:tc>
      </w:tr>
      <w:tr>
        <w:trPr/>
        <w:tc>
          <w:tcPr>
            <w:tcW w:w="7256" w:type="dxa"/>
            <w:tcBorders/>
            <w:shd w:fill="CCEEFF" w:val="clear"/>
            <w:vAlign w:val="bottom"/>
          </w:tcPr>
          <w:p>
            <w:pPr>
              <w:pStyle w:val="TableContents"/>
              <w:spacing w:before="0" w:after="0"/>
              <w:ind w:left="225" w:right="0" w:hanging="225"/>
              <w:rPr/>
            </w:pPr>
            <w:r>
              <w:rPr/>
              <w:t>2011</w:t>
            </w:r>
          </w:p>
        </w:tc>
        <w:tc>
          <w:tcPr>
            <w:tcW w:w="409" w:type="dxa"/>
            <w:tcBorders/>
            <w:shd w:fill="CCEEFF" w:val="clear"/>
            <w:vAlign w:val="bottom"/>
          </w:tcPr>
          <w:p>
            <w:pPr>
              <w:pStyle w:val="TableContents"/>
              <w:spacing w:before="0" w:after="283"/>
              <w:rPr/>
            </w:pPr>
            <w:r>
              <w:rPr/>
              <w:t> </w:t>
            </w:r>
          </w:p>
        </w:tc>
        <w:tc>
          <w:tcPr>
            <w:tcW w:w="832" w:type="dxa"/>
            <w:tcBorders/>
            <w:shd w:fill="CCEEFF" w:val="clear"/>
            <w:vAlign w:val="bottom"/>
          </w:tcPr>
          <w:p>
            <w:pPr>
              <w:pStyle w:val="TableContents"/>
              <w:spacing w:before="0" w:after="283"/>
              <w:jc w:val="right"/>
              <w:rPr/>
            </w:pPr>
            <w:r>
              <w:rPr/>
              <w:t>$</w:t>
            </w:r>
          </w:p>
        </w:tc>
        <w:tc>
          <w:tcPr>
            <w:tcW w:w="1224" w:type="dxa"/>
            <w:tcBorders/>
            <w:shd w:fill="CCEEFF" w:val="clear"/>
            <w:vAlign w:val="bottom"/>
          </w:tcPr>
          <w:p>
            <w:pPr>
              <w:pStyle w:val="TableContents"/>
              <w:spacing w:before="0" w:after="283"/>
              <w:jc w:val="right"/>
              <w:rPr/>
            </w:pPr>
            <w:r>
              <w:rPr/>
              <w:t>38</w:t>
            </w:r>
          </w:p>
        </w:tc>
        <w:tc>
          <w:tcPr>
            <w:tcW w:w="484"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acquisitions and dispositions occur in the future, amortization expense may vary from these estimates.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J: Common Stock, Warrants, Options, and Share-based Compensation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income includes the following share-based compensation expense, determined in accordance with the fair value provisions of SFAS No. 123(R): </w:t>
      </w:r>
    </w:p>
    <w:tbl>
      <w:tblPr>
        <w:tblW w:w="5000" w:type="pct"/>
        <w:jc w:val="center"/>
        <w:tblInd w:w="0" w:type="dxa"/>
        <w:tblCellMar>
          <w:top w:w="0" w:type="dxa"/>
          <w:left w:w="0" w:type="dxa"/>
          <w:bottom w:w="0" w:type="dxa"/>
          <w:right w:w="0" w:type="dxa"/>
        </w:tblCellMar>
      </w:tblPr>
      <w:tblGrid>
        <w:gridCol w:w="4148"/>
        <w:gridCol w:w="365"/>
        <w:gridCol w:w="224"/>
        <w:gridCol w:w="843"/>
        <w:gridCol w:w="172"/>
        <w:gridCol w:w="390"/>
        <w:gridCol w:w="224"/>
        <w:gridCol w:w="760"/>
        <w:gridCol w:w="132"/>
        <w:gridCol w:w="365"/>
        <w:gridCol w:w="186"/>
        <w:gridCol w:w="817"/>
        <w:gridCol w:w="148"/>
        <w:gridCol w:w="375"/>
        <w:gridCol w:w="187"/>
        <w:gridCol w:w="726"/>
        <w:gridCol w:w="143"/>
      </w:tblGrid>
      <w:tr>
        <w:trPr/>
        <w:tc>
          <w:tcPr>
            <w:tcW w:w="4148"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4148"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613" w:type="dxa"/>
            <w:gridSpan w:val="6"/>
            <w:tcBorders/>
            <w:shd w:fill="auto" w:val="clear"/>
            <w:vAlign w:val="bottom"/>
          </w:tcPr>
          <w:p>
            <w:pPr>
              <w:pStyle w:val="TableContents"/>
              <w:spacing w:before="0" w:after="283"/>
              <w:jc w:val="center"/>
              <w:rPr/>
            </w:pPr>
            <w:r>
              <w:rPr/>
              <w:t>Three Months Ended</w:t>
            </w:r>
          </w:p>
        </w:tc>
        <w:tc>
          <w:tcPr>
            <w:tcW w:w="13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439" w:type="dxa"/>
            <w:gridSpan w:val="6"/>
            <w:tcBorders/>
            <w:shd w:fill="auto" w:val="clear"/>
            <w:vAlign w:val="bottom"/>
          </w:tcPr>
          <w:p>
            <w:pPr>
              <w:pStyle w:val="TableContents"/>
              <w:spacing w:before="0" w:after="283"/>
              <w:jc w:val="center"/>
              <w:rPr/>
            </w:pPr>
            <w:r>
              <w:rPr/>
              <w:t>Six Months Ended</w:t>
            </w:r>
          </w:p>
        </w:tc>
        <w:tc>
          <w:tcPr>
            <w:tcW w:w="143" w:type="dxa"/>
            <w:tcBorders/>
            <w:shd w:fill="auto" w:val="clear"/>
            <w:vAlign w:val="bottom"/>
          </w:tcPr>
          <w:p>
            <w:pPr>
              <w:pStyle w:val="TableContents"/>
              <w:spacing w:before="0" w:after="283"/>
              <w:rPr/>
            </w:pPr>
            <w:r>
              <w:rPr/>
              <w:t> </w:t>
            </w:r>
          </w:p>
        </w:tc>
      </w:tr>
      <w:tr>
        <w:trPr/>
        <w:tc>
          <w:tcPr>
            <w:tcW w:w="4148"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613"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13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439"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143" w:type="dxa"/>
            <w:tcBorders/>
            <w:shd w:fill="auto" w:val="clear"/>
            <w:vAlign w:val="bottom"/>
          </w:tcPr>
          <w:p>
            <w:pPr>
              <w:pStyle w:val="TableContents"/>
              <w:spacing w:before="0" w:after="283"/>
              <w:rPr/>
            </w:pPr>
            <w:r>
              <w:rPr/>
              <w:t> </w:t>
            </w:r>
          </w:p>
        </w:tc>
      </w:tr>
      <w:tr>
        <w:trPr/>
        <w:tc>
          <w:tcPr>
            <w:tcW w:w="4148"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06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7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98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3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00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4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1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43" w:type="dxa"/>
            <w:tcBorders/>
            <w:shd w:fill="auto" w:val="clear"/>
            <w:vAlign w:val="bottom"/>
          </w:tcPr>
          <w:p>
            <w:pPr>
              <w:pStyle w:val="TableContents"/>
              <w:spacing w:before="0" w:after="283"/>
              <w:rPr/>
            </w:pPr>
            <w:r>
              <w:rPr/>
              <w:t> </w:t>
            </w:r>
          </w:p>
        </w:tc>
      </w:tr>
      <w:tr>
        <w:trPr/>
        <w:tc>
          <w:tcPr>
            <w:tcW w:w="4148"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5549" w:type="dxa"/>
            <w:gridSpan w:val="14"/>
            <w:tcBorders/>
            <w:shd w:fill="auto" w:val="clear"/>
            <w:vAlign w:val="bottom"/>
          </w:tcPr>
          <w:p>
            <w:pPr>
              <w:pStyle w:val="TableContents"/>
              <w:spacing w:before="0" w:after="283"/>
              <w:jc w:val="center"/>
              <w:rPr>
                <w:i/>
              </w:rPr>
            </w:pPr>
            <w:r>
              <w:rPr>
                <w:i/>
              </w:rPr>
              <w:t>(in thousands)</w:t>
            </w:r>
          </w:p>
        </w:tc>
        <w:tc>
          <w:tcPr>
            <w:tcW w:w="143" w:type="dxa"/>
            <w:tcBorders/>
            <w:shd w:fill="auto" w:val="clear"/>
            <w:vAlign w:val="bottom"/>
          </w:tcPr>
          <w:p>
            <w:pPr>
              <w:pStyle w:val="TableContents"/>
              <w:spacing w:before="0" w:after="283"/>
              <w:rPr/>
            </w:pPr>
            <w:r>
              <w:rPr/>
              <w:t> </w:t>
            </w:r>
          </w:p>
        </w:tc>
      </w:tr>
      <w:tr>
        <w:trPr/>
        <w:tc>
          <w:tcPr>
            <w:tcW w:w="4148" w:type="dxa"/>
            <w:tcBorders/>
            <w:shd w:fill="CCEEFF" w:val="clear"/>
            <w:vAlign w:val="bottom"/>
          </w:tcPr>
          <w:p>
            <w:pPr>
              <w:pStyle w:val="TableContents"/>
              <w:spacing w:before="0" w:after="0"/>
              <w:ind w:left="225" w:right="0" w:hanging="225"/>
              <w:rPr/>
            </w:pPr>
            <w:r>
              <w:rPr/>
              <w:t>Gross compensation cost</w:t>
            </w:r>
          </w:p>
        </w:tc>
        <w:tc>
          <w:tcPr>
            <w:tcW w:w="36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jc w:val="left"/>
              <w:rPr/>
            </w:pPr>
            <w:r>
              <w:rPr/>
              <w:t>$</w:t>
            </w:r>
          </w:p>
        </w:tc>
        <w:tc>
          <w:tcPr>
            <w:tcW w:w="843" w:type="dxa"/>
            <w:tcBorders/>
            <w:shd w:fill="CCEEFF" w:val="clear"/>
            <w:vAlign w:val="bottom"/>
          </w:tcPr>
          <w:p>
            <w:pPr>
              <w:pStyle w:val="TableContents"/>
              <w:spacing w:before="0" w:after="283"/>
              <w:jc w:val="right"/>
              <w:rPr/>
            </w:pPr>
            <w:r>
              <w:rPr/>
              <w:t>914</w:t>
            </w:r>
          </w:p>
        </w:tc>
        <w:tc>
          <w:tcPr>
            <w:tcW w:w="172"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jc w:val="left"/>
              <w:rPr/>
            </w:pPr>
            <w:r>
              <w:rPr/>
              <w:t>$</w:t>
            </w:r>
          </w:p>
        </w:tc>
        <w:tc>
          <w:tcPr>
            <w:tcW w:w="760" w:type="dxa"/>
            <w:tcBorders/>
            <w:shd w:fill="CCEEFF" w:val="clear"/>
            <w:vAlign w:val="bottom"/>
          </w:tcPr>
          <w:p>
            <w:pPr>
              <w:pStyle w:val="TableContents"/>
              <w:spacing w:before="0" w:after="283"/>
              <w:jc w:val="right"/>
              <w:rPr/>
            </w:pPr>
            <w:r>
              <w:rPr/>
              <w:t>319</w:t>
            </w:r>
          </w:p>
        </w:tc>
        <w:tc>
          <w:tcPr>
            <w:tcW w:w="132"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1,665</w:t>
            </w:r>
          </w:p>
        </w:tc>
        <w:tc>
          <w:tcPr>
            <w:tcW w:w="148"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726" w:type="dxa"/>
            <w:tcBorders/>
            <w:shd w:fill="CCEEFF" w:val="clear"/>
            <w:vAlign w:val="bottom"/>
          </w:tcPr>
          <w:p>
            <w:pPr>
              <w:pStyle w:val="TableContents"/>
              <w:spacing w:before="0" w:after="283"/>
              <w:jc w:val="right"/>
              <w:rPr/>
            </w:pPr>
            <w:r>
              <w:rPr/>
              <w:t>893</w:t>
            </w:r>
          </w:p>
        </w:tc>
        <w:tc>
          <w:tcPr>
            <w:tcW w:w="143" w:type="dxa"/>
            <w:tcBorders/>
            <w:shd w:fill="CCEEFF" w:val="clear"/>
            <w:vAlign w:val="bottom"/>
          </w:tcPr>
          <w:p>
            <w:pPr>
              <w:pStyle w:val="TableContents"/>
              <w:spacing w:before="0" w:after="283"/>
              <w:rPr/>
            </w:pPr>
            <w:r>
              <w:rPr/>
              <w:t> </w:t>
            </w:r>
          </w:p>
        </w:tc>
      </w:tr>
      <w:tr>
        <w:trPr/>
        <w:tc>
          <w:tcPr>
            <w:tcW w:w="4148" w:type="dxa"/>
            <w:tcBorders/>
            <w:shd w:fill="auto" w:val="clear"/>
            <w:vAlign w:val="bottom"/>
          </w:tcPr>
          <w:p>
            <w:pPr>
              <w:pStyle w:val="TableContents"/>
              <w:spacing w:before="0" w:after="0"/>
              <w:ind w:left="225" w:right="0" w:hanging="225"/>
              <w:rPr/>
            </w:pPr>
            <w:r>
              <w:rPr/>
              <w:t>Income tax benefit</w:t>
            </w:r>
          </w:p>
        </w:tc>
        <w:tc>
          <w:tcPr>
            <w:tcW w:w="36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jc w:val="left"/>
              <w:rPr/>
            </w:pPr>
            <w:r>
              <w:rPr/>
              <w:t> </w:t>
            </w:r>
          </w:p>
        </w:tc>
        <w:tc>
          <w:tcPr>
            <w:tcW w:w="843" w:type="dxa"/>
            <w:tcBorders/>
            <w:shd w:fill="auto" w:val="clear"/>
            <w:vAlign w:val="bottom"/>
          </w:tcPr>
          <w:p>
            <w:pPr>
              <w:pStyle w:val="TableContents"/>
              <w:spacing w:before="0" w:after="283"/>
              <w:jc w:val="right"/>
              <w:rPr/>
            </w:pPr>
            <w:r>
              <w:rPr/>
              <w:t>(315</w:t>
            </w:r>
          </w:p>
        </w:tc>
        <w:tc>
          <w:tcPr>
            <w:tcW w:w="172" w:type="dxa"/>
            <w:tcBorders/>
            <w:shd w:fill="auto" w:val="clear"/>
            <w:vAlign w:val="bottom"/>
          </w:tcPr>
          <w:p>
            <w:pPr>
              <w:pStyle w:val="TableContents"/>
              <w:spacing w:before="0" w:after="283"/>
              <w:rPr/>
            </w:pPr>
            <w:r>
              <w:rPr/>
              <w:t>)</w:t>
            </w:r>
          </w:p>
        </w:tc>
        <w:tc>
          <w:tcPr>
            <w:tcW w:w="39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jc w:val="left"/>
              <w:rPr/>
            </w:pPr>
            <w:r>
              <w:rPr/>
              <w:t> </w:t>
            </w:r>
          </w:p>
        </w:tc>
        <w:tc>
          <w:tcPr>
            <w:tcW w:w="760" w:type="dxa"/>
            <w:tcBorders/>
            <w:shd w:fill="auto" w:val="clear"/>
            <w:vAlign w:val="bottom"/>
          </w:tcPr>
          <w:p>
            <w:pPr>
              <w:pStyle w:val="TableContents"/>
              <w:spacing w:before="0" w:after="283"/>
              <w:jc w:val="right"/>
              <w:rPr/>
            </w:pPr>
            <w:r>
              <w:rPr/>
              <w:t>(7</w:t>
            </w:r>
          </w:p>
        </w:tc>
        <w:tc>
          <w:tcPr>
            <w:tcW w:w="132" w:type="dxa"/>
            <w:tcBorders/>
            <w:shd w:fill="auto" w:val="clear"/>
            <w:vAlign w:val="bottom"/>
          </w:tcPr>
          <w:p>
            <w:pPr>
              <w:pStyle w:val="TableContents"/>
              <w:spacing w:before="0" w:after="283"/>
              <w:rPr/>
            </w:pPr>
            <w:r>
              <w:rPr/>
              <w:t>)</w:t>
            </w:r>
          </w:p>
        </w:tc>
        <w:tc>
          <w:tcPr>
            <w:tcW w:w="36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 </w:t>
            </w:r>
          </w:p>
        </w:tc>
        <w:tc>
          <w:tcPr>
            <w:tcW w:w="817" w:type="dxa"/>
            <w:tcBorders/>
            <w:shd w:fill="auto" w:val="clear"/>
            <w:vAlign w:val="bottom"/>
          </w:tcPr>
          <w:p>
            <w:pPr>
              <w:pStyle w:val="TableContents"/>
              <w:spacing w:before="0" w:after="283"/>
              <w:jc w:val="right"/>
              <w:rPr/>
            </w:pPr>
            <w:r>
              <w:rPr/>
              <w:t>(536</w:t>
            </w:r>
          </w:p>
        </w:tc>
        <w:tc>
          <w:tcPr>
            <w:tcW w:w="148" w:type="dxa"/>
            <w:tcBorders/>
            <w:shd w:fill="auto" w:val="clear"/>
            <w:vAlign w:val="bottom"/>
          </w:tcPr>
          <w:p>
            <w:pPr>
              <w:pStyle w:val="TableContents"/>
              <w:spacing w:before="0" w:after="283"/>
              <w:rPr/>
            </w:pPr>
            <w:r>
              <w:rPr/>
              <w:t>)</w:t>
            </w:r>
          </w:p>
        </w:tc>
        <w:tc>
          <w:tcPr>
            <w:tcW w:w="37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726" w:type="dxa"/>
            <w:tcBorders/>
            <w:shd w:fill="auto" w:val="clear"/>
            <w:vAlign w:val="bottom"/>
          </w:tcPr>
          <w:p>
            <w:pPr>
              <w:pStyle w:val="TableContents"/>
              <w:spacing w:before="0" w:after="283"/>
              <w:jc w:val="right"/>
              <w:rPr/>
            </w:pPr>
            <w:r>
              <w:rPr/>
              <w:t>(109</w:t>
            </w:r>
          </w:p>
        </w:tc>
        <w:tc>
          <w:tcPr>
            <w:tcW w:w="143" w:type="dxa"/>
            <w:tcBorders/>
            <w:shd w:fill="auto" w:val="clear"/>
            <w:vAlign w:val="bottom"/>
          </w:tcPr>
          <w:p>
            <w:pPr>
              <w:pStyle w:val="TableContents"/>
              <w:spacing w:before="0" w:after="283"/>
              <w:rPr/>
            </w:pPr>
            <w:r>
              <w:rPr/>
              <w:t>)</w:t>
            </w:r>
          </w:p>
        </w:tc>
      </w:tr>
      <w:tr>
        <w:trPr/>
        <w:tc>
          <w:tcPr>
            <w:tcW w:w="4148"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2"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9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0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4148" w:type="dxa"/>
            <w:tcBorders/>
            <w:shd w:fill="CCEEFF" w:val="clear"/>
            <w:vAlign w:val="bottom"/>
          </w:tcPr>
          <w:p>
            <w:pPr>
              <w:pStyle w:val="TableContents"/>
              <w:spacing w:before="0" w:after="0"/>
              <w:ind w:left="225" w:right="0" w:hanging="225"/>
              <w:rPr/>
            </w:pPr>
            <w:r>
              <w:rPr/>
              <w:t>Share-based compensation cost, net of tax benefit</w:t>
            </w:r>
          </w:p>
        </w:tc>
        <w:tc>
          <w:tcPr>
            <w:tcW w:w="36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jc w:val="left"/>
              <w:rPr/>
            </w:pPr>
            <w:r>
              <w:rPr/>
              <w:t>$</w:t>
            </w:r>
          </w:p>
        </w:tc>
        <w:tc>
          <w:tcPr>
            <w:tcW w:w="843" w:type="dxa"/>
            <w:tcBorders/>
            <w:shd w:fill="CCEEFF" w:val="clear"/>
            <w:vAlign w:val="bottom"/>
          </w:tcPr>
          <w:p>
            <w:pPr>
              <w:pStyle w:val="TableContents"/>
              <w:spacing w:before="0" w:after="283"/>
              <w:jc w:val="right"/>
              <w:rPr/>
            </w:pPr>
            <w:r>
              <w:rPr/>
              <w:t>599</w:t>
            </w:r>
          </w:p>
        </w:tc>
        <w:tc>
          <w:tcPr>
            <w:tcW w:w="172"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jc w:val="left"/>
              <w:rPr/>
            </w:pPr>
            <w:r>
              <w:rPr/>
              <w:t>$</w:t>
            </w:r>
          </w:p>
        </w:tc>
        <w:tc>
          <w:tcPr>
            <w:tcW w:w="760" w:type="dxa"/>
            <w:tcBorders/>
            <w:shd w:fill="CCEEFF" w:val="clear"/>
            <w:vAlign w:val="bottom"/>
          </w:tcPr>
          <w:p>
            <w:pPr>
              <w:pStyle w:val="TableContents"/>
              <w:spacing w:before="0" w:after="283"/>
              <w:jc w:val="right"/>
              <w:rPr/>
            </w:pPr>
            <w:r>
              <w:rPr/>
              <w:t>312</w:t>
            </w:r>
          </w:p>
        </w:tc>
        <w:tc>
          <w:tcPr>
            <w:tcW w:w="132"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1,129</w:t>
            </w:r>
          </w:p>
        </w:tc>
        <w:tc>
          <w:tcPr>
            <w:tcW w:w="148"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726" w:type="dxa"/>
            <w:tcBorders/>
            <w:shd w:fill="CCEEFF" w:val="clear"/>
            <w:vAlign w:val="bottom"/>
          </w:tcPr>
          <w:p>
            <w:pPr>
              <w:pStyle w:val="TableContents"/>
              <w:spacing w:before="0" w:after="283"/>
              <w:jc w:val="right"/>
              <w:rPr/>
            </w:pPr>
            <w:r>
              <w:rPr/>
              <w:t>784</w:t>
            </w:r>
          </w:p>
        </w:tc>
        <w:tc>
          <w:tcPr>
            <w:tcW w:w="143" w:type="dxa"/>
            <w:tcBorders/>
            <w:shd w:fill="CCEEFF" w:val="clear"/>
            <w:vAlign w:val="bottom"/>
          </w:tcPr>
          <w:p>
            <w:pPr>
              <w:pStyle w:val="TableContents"/>
              <w:spacing w:before="0" w:after="283"/>
              <w:rPr/>
            </w:pPr>
            <w:r>
              <w:rPr/>
              <w:t> </w:t>
            </w:r>
          </w:p>
        </w:tc>
      </w:tr>
      <w:tr>
        <w:trPr/>
        <w:tc>
          <w:tcPr>
            <w:tcW w:w="4148"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0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2"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98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0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1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Stock option and warrant exercises resulted in the issuance of 667,953 shares of Class A Non-voting Common Stock in the current quarter for total proceeds of $1.1 million. For the current year-to-date period, 762,501 shares of Common Stock were issued for total proceeds of $1.3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September 2006, the Compensation Committee of our Board of Directors approved an award of 675,000 shares of restricted stock to our Chairman of the Board, and 945,000 shares of restricted stock to our Chief Executive Officer. The award was effective October 2, 2006. The cumulative market value of the two grants on the award date was $21 million, and 20% of the shares will vest every two years for a ten-year period if certain company performance requirements are achieved. If the bi-annual performance requirements are not met, the unvested shares will be added to subsequent vesting dates. In the event that the performance requirements for vesting are not achieved for any vesting date by the end of our fiscal year ending September 30, 2016, all unvested shares will be forfeited and cancelled.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September 2006, the Compensation Committee of our Board of Directors approved an award of 137,250 shares of restricted stock to key individuals. The award was effective October 2, 2006. The shares will vest October 2, 2010, and the market value of the restricted stock on the award date was $1.8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November 2006, our Board of Directors approved a three-for-one stock split of our two classes of common stock to shareholders of record as of November 27, 2006. The additional shares were distributed on December 11, 2006. Shares and amounts per share in this report have been adjusted retroactively to reflect the split.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K: Operating Segment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Prior to October 1, 2006, we had a single reportable segment. Effective October 1, 2006, we reorganized our business and internal reporting to manage it as two reportable segments with operating results reported separately for each segment. The two reportable segments are: </w:t>
      </w:r>
    </w:p>
    <w:tbl>
      <w:tblPr>
        <w:tblW w:w="5000" w:type="pct"/>
        <w:jc w:val="left"/>
        <w:tblInd w:w="0" w:type="dxa"/>
        <w:tblCellMar>
          <w:top w:w="0" w:type="dxa"/>
          <w:left w:w="0" w:type="dxa"/>
          <w:bottom w:w="0" w:type="dxa"/>
          <w:right w:w="0" w:type="dxa"/>
        </w:tblCellMar>
      </w:tblPr>
      <w:tblGrid>
        <w:gridCol w:w="202"/>
        <w:gridCol w:w="305"/>
        <w:gridCol w:w="101"/>
        <w:gridCol w:w="9597"/>
      </w:tblGrid>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EZPAWN Operations: This segment offers pawn loans and related sales in all 282 of our EZPAWN stores and offers signature loans in seven EZMONEY stores and 80 of our EZPAWN stores.</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EZMONEY Operations: This segment offers signature loans in 362 of our EZMONEY stores.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are no inter-segment revenues, and the amounts below were determined in accordance with the same accounting principles used in our consolidated financial statements. The following tables present operating segment information: </w:t>
      </w:r>
    </w:p>
    <w:tbl>
      <w:tblPr>
        <w:tblW w:w="5000" w:type="pct"/>
        <w:jc w:val="center"/>
        <w:tblInd w:w="0" w:type="dxa"/>
        <w:tblCellMar>
          <w:top w:w="0" w:type="dxa"/>
          <w:left w:w="0" w:type="dxa"/>
          <w:bottom w:w="0" w:type="dxa"/>
          <w:right w:w="0" w:type="dxa"/>
        </w:tblCellMar>
      </w:tblPr>
      <w:tblGrid>
        <w:gridCol w:w="5051"/>
        <w:gridCol w:w="390"/>
        <w:gridCol w:w="190"/>
        <w:gridCol w:w="941"/>
        <w:gridCol w:w="110"/>
        <w:gridCol w:w="390"/>
        <w:gridCol w:w="210"/>
        <w:gridCol w:w="1033"/>
        <w:gridCol w:w="110"/>
        <w:gridCol w:w="390"/>
        <w:gridCol w:w="215"/>
        <w:gridCol w:w="1058"/>
        <w:gridCol w:w="117"/>
      </w:tblGrid>
      <w:tr>
        <w:trPr/>
        <w:tc>
          <w:tcPr>
            <w:tcW w:w="5051"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131" w:type="dxa"/>
            <w:gridSpan w:val="2"/>
            <w:tcBorders/>
            <w:shd w:fill="auto" w:val="clear"/>
            <w:vAlign w:val="bottom"/>
          </w:tcPr>
          <w:p>
            <w:pPr>
              <w:pStyle w:val="TableContents"/>
              <w:spacing w:before="0" w:after="283"/>
              <w:jc w:val="center"/>
              <w:rPr/>
            </w:pPr>
            <w:r>
              <w:rPr/>
              <w:t>EZPAWN</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43" w:type="dxa"/>
            <w:gridSpan w:val="2"/>
            <w:tcBorders/>
            <w:shd w:fill="auto" w:val="clear"/>
            <w:vAlign w:val="bottom"/>
          </w:tcPr>
          <w:p>
            <w:pPr>
              <w:pStyle w:val="TableContents"/>
              <w:spacing w:before="0" w:after="283"/>
              <w:jc w:val="center"/>
              <w:rPr/>
            </w:pPr>
            <w:r>
              <w:rPr/>
              <w:t>EZMONEY</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73"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131"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43"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73"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17"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4647" w:type="dxa"/>
            <w:gridSpan w:val="10"/>
            <w:tcBorders/>
            <w:shd w:fill="auto" w:val="clear"/>
            <w:vAlign w:val="bottom"/>
          </w:tcPr>
          <w:p>
            <w:pPr>
              <w:pStyle w:val="TableContents"/>
              <w:spacing w:before="0" w:after="283"/>
              <w:jc w:val="center"/>
              <w:rPr>
                <w:i/>
              </w:rPr>
            </w:pPr>
            <w:r>
              <w:rPr>
                <w:i/>
              </w:rPr>
              <w:t>(in thousands)</w:t>
            </w:r>
          </w:p>
        </w:tc>
        <w:tc>
          <w:tcPr>
            <w:tcW w:w="117"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225" w:right="0" w:hanging="225"/>
              <w:rPr/>
            </w:pPr>
            <w:r>
              <w:rPr/>
              <w:t> </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51" w:type="dxa"/>
            <w:tcBorders/>
            <w:shd w:fill="CCEEFF" w:val="clear"/>
            <w:vAlign w:val="bottom"/>
          </w:tcPr>
          <w:p>
            <w:pPr>
              <w:pStyle w:val="TableContents"/>
              <w:spacing w:before="0" w:after="0"/>
              <w:ind w:left="225" w:right="0" w:hanging="225"/>
              <w:rPr>
                <w:b/>
              </w:rPr>
            </w:pPr>
            <w:r>
              <w:rPr>
                <w:b/>
              </w:rPr>
              <w:t>Three Months Ended March 31, 2007:</w:t>
            </w:r>
          </w:p>
        </w:tc>
        <w:tc>
          <w:tcPr>
            <w:tcW w:w="3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225" w:right="0" w:hanging="225"/>
              <w:rPr/>
            </w:pPr>
            <w:r>
              <w:rPr/>
              <w:t>Revenues:</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51" w:type="dxa"/>
            <w:tcBorders/>
            <w:shd w:fill="CCEEFF" w:val="clear"/>
            <w:vAlign w:val="bottom"/>
          </w:tcPr>
          <w:p>
            <w:pPr>
              <w:pStyle w:val="TableContents"/>
              <w:spacing w:before="0" w:after="0"/>
              <w:ind w:left="450" w:right="0" w:hanging="225"/>
              <w:rPr/>
            </w:pPr>
            <w:r>
              <w:rPr/>
              <w:t>Sales</w:t>
            </w:r>
          </w:p>
        </w:tc>
        <w:tc>
          <w:tcPr>
            <w:tcW w:w="3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941" w:type="dxa"/>
            <w:tcBorders/>
            <w:shd w:fill="CCEEFF" w:val="clear"/>
            <w:vAlign w:val="bottom"/>
          </w:tcPr>
          <w:p>
            <w:pPr>
              <w:pStyle w:val="TableContents"/>
              <w:spacing w:before="0" w:after="283"/>
              <w:jc w:val="right"/>
              <w:rPr/>
            </w:pPr>
            <w:r>
              <w:rPr/>
              <w:t>50,032</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3"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058" w:type="dxa"/>
            <w:tcBorders/>
            <w:shd w:fill="CCEEFF" w:val="clear"/>
            <w:vAlign w:val="bottom"/>
          </w:tcPr>
          <w:p>
            <w:pPr>
              <w:pStyle w:val="TableContents"/>
              <w:spacing w:before="0" w:after="283"/>
              <w:jc w:val="right"/>
              <w:rPr/>
            </w:pPr>
            <w:r>
              <w:rPr/>
              <w:t>50,032</w:t>
            </w:r>
          </w:p>
        </w:tc>
        <w:tc>
          <w:tcPr>
            <w:tcW w:w="117" w:type="dxa"/>
            <w:tcBorders/>
            <w:shd w:fill="CCEEFF"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450" w:right="0" w:hanging="225"/>
              <w:rPr/>
            </w:pPr>
            <w:r>
              <w:rPr/>
              <w:t>Pawn service charges</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16,556</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16,556</w:t>
            </w:r>
          </w:p>
        </w:tc>
        <w:tc>
          <w:tcPr>
            <w:tcW w:w="117" w:type="dxa"/>
            <w:tcBorders/>
            <w:shd w:fill="auto" w:val="clear"/>
            <w:vAlign w:val="bottom"/>
          </w:tcPr>
          <w:p>
            <w:pPr>
              <w:pStyle w:val="TableContents"/>
              <w:spacing w:before="0" w:after="283"/>
              <w:rPr/>
            </w:pPr>
            <w:r>
              <w:rPr/>
              <w:t> </w:t>
            </w:r>
          </w:p>
        </w:tc>
      </w:tr>
      <w:tr>
        <w:trPr/>
        <w:tc>
          <w:tcPr>
            <w:tcW w:w="5051" w:type="dxa"/>
            <w:tcBorders/>
            <w:shd w:fill="CCEEFF" w:val="clear"/>
            <w:vAlign w:val="bottom"/>
          </w:tcPr>
          <w:p>
            <w:pPr>
              <w:pStyle w:val="TableContents"/>
              <w:spacing w:before="0" w:after="0"/>
              <w:ind w:left="450" w:right="0" w:hanging="225"/>
              <w:rPr/>
            </w:pPr>
            <w:r>
              <w:rPr/>
              <w:t>Credit service fees</w:t>
            </w:r>
          </w:p>
        </w:tc>
        <w:tc>
          <w:tcPr>
            <w:tcW w:w="3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501</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19,540</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20,041</w:t>
            </w:r>
          </w:p>
        </w:tc>
        <w:tc>
          <w:tcPr>
            <w:tcW w:w="117" w:type="dxa"/>
            <w:tcBorders/>
            <w:shd w:fill="CCEEFF"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450" w:right="0" w:hanging="225"/>
              <w:rPr/>
            </w:pPr>
            <w:r>
              <w:rPr/>
              <w:t>Payday loan fees</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313</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2,359</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2,672</w:t>
            </w:r>
          </w:p>
        </w:tc>
        <w:tc>
          <w:tcPr>
            <w:tcW w:w="117" w:type="dxa"/>
            <w:tcBorders/>
            <w:shd w:fill="auto" w:val="clear"/>
            <w:vAlign w:val="bottom"/>
          </w:tcPr>
          <w:p>
            <w:pPr>
              <w:pStyle w:val="TableContents"/>
              <w:spacing w:before="0" w:after="283"/>
              <w:rPr/>
            </w:pPr>
            <w:r>
              <w:rPr/>
              <w:t> </w:t>
            </w:r>
          </w:p>
        </w:tc>
      </w:tr>
      <w:tr>
        <w:trPr/>
        <w:tc>
          <w:tcPr>
            <w:tcW w:w="5051" w:type="dxa"/>
            <w:tcBorders/>
            <w:shd w:fill="CCEEFF" w:val="clear"/>
            <w:vAlign w:val="bottom"/>
          </w:tcPr>
          <w:p>
            <w:pPr>
              <w:pStyle w:val="TableContents"/>
              <w:spacing w:before="0" w:after="0"/>
              <w:ind w:left="450" w:right="0" w:hanging="225"/>
              <w:rPr/>
            </w:pPr>
            <w:r>
              <w:rPr/>
              <w:t>Other</w:t>
            </w:r>
          </w:p>
        </w:tc>
        <w:tc>
          <w:tcPr>
            <w:tcW w:w="3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342</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342</w:t>
            </w:r>
          </w:p>
        </w:tc>
        <w:tc>
          <w:tcPr>
            <w:tcW w:w="117" w:type="dxa"/>
            <w:tcBorders/>
            <w:shd w:fill="CCEEFF" w:val="clear"/>
            <w:vAlign w:val="bottom"/>
          </w:tcPr>
          <w:p>
            <w:pPr>
              <w:pStyle w:val="TableContents"/>
              <w:spacing w:before="0" w:after="283"/>
              <w:rPr/>
            </w:pPr>
            <w:r>
              <w:rPr/>
              <w:t> </w:t>
            </w:r>
          </w:p>
        </w:tc>
      </w:tr>
      <w:tr>
        <w:trPr/>
        <w:tc>
          <w:tcPr>
            <w:tcW w:w="5051" w:type="dxa"/>
            <w:tcBorders/>
            <w:shd w:fill="auto" w:val="clear"/>
            <w:vAlign w:val="center"/>
          </w:tcPr>
          <w:p>
            <w:pPr>
              <w:pStyle w:val="TableContents"/>
              <w:spacing w:before="0" w:after="0"/>
              <w:ind w:left="225" w:right="0" w:hanging="225"/>
              <w:rPr/>
            </w:pPr>
            <w:r>
              <w:rPr/>
              <w:t> </w:t>
            </w:r>
          </w:p>
        </w:tc>
        <w:tc>
          <w:tcPr>
            <w:tcW w:w="390" w:type="dxa"/>
            <w:tcBorders/>
            <w:shd w:fill="auto" w:val="clear"/>
            <w:vAlign w:val="center"/>
          </w:tcPr>
          <w:p>
            <w:pPr>
              <w:pStyle w:val="TableContents"/>
              <w:spacing w:before="0" w:after="283"/>
              <w:rPr/>
            </w:pPr>
            <w:r>
              <w:rPr/>
              <w:t> </w:t>
            </w:r>
          </w:p>
        </w:tc>
        <w:tc>
          <w:tcPr>
            <w:tcW w:w="11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51" w:type="dxa"/>
            <w:tcBorders/>
            <w:shd w:fill="auto" w:val="clear"/>
            <w:vAlign w:val="bottom"/>
          </w:tcPr>
          <w:p>
            <w:pPr>
              <w:pStyle w:val="TableContents"/>
              <w:spacing w:before="0" w:after="0"/>
              <w:ind w:left="675" w:right="0" w:hanging="225"/>
              <w:rPr/>
            </w:pPr>
            <w:r>
              <w:rPr/>
              <w:t>Total revenues</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67,744</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21,899</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89,643</w:t>
            </w:r>
          </w:p>
        </w:tc>
        <w:tc>
          <w:tcPr>
            <w:tcW w:w="117"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225" w:right="0" w:hanging="225"/>
              <w:rPr/>
            </w:pPr>
            <w:r>
              <w:rPr/>
              <w:t> </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51" w:type="dxa"/>
            <w:tcBorders/>
            <w:shd w:fill="CCEEFF" w:val="clear"/>
            <w:vAlign w:val="bottom"/>
          </w:tcPr>
          <w:p>
            <w:pPr>
              <w:pStyle w:val="TableContents"/>
              <w:spacing w:before="0" w:after="0"/>
              <w:ind w:left="225" w:right="0" w:hanging="225"/>
              <w:rPr/>
            </w:pPr>
            <w:r>
              <w:rPr/>
              <w:t>Cost of goods sold</w:t>
            </w:r>
          </w:p>
        </w:tc>
        <w:tc>
          <w:tcPr>
            <w:tcW w:w="3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30,374</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30,374</w:t>
            </w:r>
          </w:p>
        </w:tc>
        <w:tc>
          <w:tcPr>
            <w:tcW w:w="117" w:type="dxa"/>
            <w:tcBorders/>
            <w:shd w:fill="CCEEFF" w:val="clear"/>
            <w:vAlign w:val="bottom"/>
          </w:tcPr>
          <w:p>
            <w:pPr>
              <w:pStyle w:val="TableContents"/>
              <w:spacing w:before="0" w:after="283"/>
              <w:rPr/>
            </w:pPr>
            <w:r>
              <w:rPr/>
              <w:t> </w:t>
            </w:r>
          </w:p>
        </w:tc>
      </w:tr>
      <w:tr>
        <w:trPr/>
        <w:tc>
          <w:tcPr>
            <w:tcW w:w="5051" w:type="dxa"/>
            <w:tcBorders/>
            <w:shd w:fill="auto" w:val="clear"/>
            <w:vAlign w:val="center"/>
          </w:tcPr>
          <w:p>
            <w:pPr>
              <w:pStyle w:val="TableContents"/>
              <w:spacing w:before="0" w:after="0"/>
              <w:ind w:left="225" w:right="0" w:hanging="225"/>
              <w:rPr/>
            </w:pPr>
            <w:r>
              <w:rPr/>
              <w:t> </w:t>
            </w:r>
          </w:p>
        </w:tc>
        <w:tc>
          <w:tcPr>
            <w:tcW w:w="390" w:type="dxa"/>
            <w:tcBorders/>
            <w:shd w:fill="auto" w:val="clear"/>
            <w:vAlign w:val="center"/>
          </w:tcPr>
          <w:p>
            <w:pPr>
              <w:pStyle w:val="TableContents"/>
              <w:spacing w:before="0" w:after="283"/>
              <w:rPr/>
            </w:pPr>
            <w:r>
              <w:rPr/>
              <w:t> </w:t>
            </w:r>
          </w:p>
        </w:tc>
        <w:tc>
          <w:tcPr>
            <w:tcW w:w="11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51" w:type="dxa"/>
            <w:tcBorders/>
            <w:shd w:fill="auto" w:val="clear"/>
            <w:vAlign w:val="bottom"/>
          </w:tcPr>
          <w:p>
            <w:pPr>
              <w:pStyle w:val="TableContents"/>
              <w:spacing w:before="0" w:after="0"/>
              <w:ind w:left="675" w:right="0" w:hanging="225"/>
              <w:rPr/>
            </w:pPr>
            <w:r>
              <w:rPr/>
              <w:t>Net revenues</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37,370</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21,899</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59,269</w:t>
            </w:r>
          </w:p>
        </w:tc>
        <w:tc>
          <w:tcPr>
            <w:tcW w:w="117"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225" w:right="0" w:hanging="225"/>
              <w:rPr/>
            </w:pPr>
            <w:r>
              <w:rPr/>
              <w:t> </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51" w:type="dxa"/>
            <w:tcBorders/>
            <w:shd w:fill="CCEEFF" w:val="clear"/>
            <w:vAlign w:val="bottom"/>
          </w:tcPr>
          <w:p>
            <w:pPr>
              <w:pStyle w:val="TableContents"/>
              <w:spacing w:before="0" w:after="0"/>
              <w:ind w:left="225" w:right="0" w:hanging="225"/>
              <w:rPr/>
            </w:pPr>
            <w:r>
              <w:rPr/>
              <w:t>Operating expenses:</w:t>
            </w:r>
          </w:p>
        </w:tc>
        <w:tc>
          <w:tcPr>
            <w:tcW w:w="3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450" w:right="0" w:hanging="225"/>
              <w:rPr/>
            </w:pPr>
            <w:r>
              <w:rPr/>
              <w:t>Operations expense</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21,569</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9,535</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31,104</w:t>
            </w:r>
          </w:p>
        </w:tc>
        <w:tc>
          <w:tcPr>
            <w:tcW w:w="117" w:type="dxa"/>
            <w:tcBorders/>
            <w:shd w:fill="auto" w:val="clear"/>
            <w:vAlign w:val="bottom"/>
          </w:tcPr>
          <w:p>
            <w:pPr>
              <w:pStyle w:val="TableContents"/>
              <w:spacing w:before="0" w:after="283"/>
              <w:rPr/>
            </w:pPr>
            <w:r>
              <w:rPr/>
              <w:t> </w:t>
            </w:r>
          </w:p>
        </w:tc>
      </w:tr>
      <w:tr>
        <w:trPr/>
        <w:tc>
          <w:tcPr>
            <w:tcW w:w="5051" w:type="dxa"/>
            <w:tcBorders/>
            <w:shd w:fill="CCEEFF" w:val="clear"/>
            <w:vAlign w:val="bottom"/>
          </w:tcPr>
          <w:p>
            <w:pPr>
              <w:pStyle w:val="TableContents"/>
              <w:spacing w:before="0" w:after="0"/>
              <w:ind w:left="450" w:right="0" w:hanging="225"/>
              <w:rPr/>
            </w:pPr>
            <w:r>
              <w:rPr/>
              <w:t>Credit service bad debt</w:t>
            </w:r>
          </w:p>
        </w:tc>
        <w:tc>
          <w:tcPr>
            <w:tcW w:w="3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91</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2,311</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2,402</w:t>
            </w:r>
          </w:p>
        </w:tc>
        <w:tc>
          <w:tcPr>
            <w:tcW w:w="117" w:type="dxa"/>
            <w:tcBorders/>
            <w:shd w:fill="CCEEFF"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450" w:right="0" w:hanging="225"/>
              <w:rPr/>
            </w:pPr>
            <w:r>
              <w:rPr/>
              <w:t>Payday loan bad debt</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62</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452</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514</w:t>
            </w:r>
          </w:p>
        </w:tc>
        <w:tc>
          <w:tcPr>
            <w:tcW w:w="117" w:type="dxa"/>
            <w:tcBorders/>
            <w:shd w:fill="auto" w:val="clear"/>
            <w:vAlign w:val="bottom"/>
          </w:tcPr>
          <w:p>
            <w:pPr>
              <w:pStyle w:val="TableContents"/>
              <w:spacing w:before="0" w:after="283"/>
              <w:rPr/>
            </w:pPr>
            <w:r>
              <w:rPr/>
              <w:t> </w:t>
            </w:r>
          </w:p>
        </w:tc>
      </w:tr>
      <w:tr>
        <w:trPr/>
        <w:tc>
          <w:tcPr>
            <w:tcW w:w="5051" w:type="dxa"/>
            <w:tcBorders/>
            <w:shd w:fill="auto" w:val="clear"/>
            <w:vAlign w:val="center"/>
          </w:tcPr>
          <w:p>
            <w:pPr>
              <w:pStyle w:val="TableContents"/>
              <w:spacing w:before="0" w:after="0"/>
              <w:ind w:left="225" w:right="0" w:hanging="225"/>
              <w:rPr/>
            </w:pPr>
            <w:r>
              <w:rPr/>
              <w:t> </w:t>
            </w:r>
          </w:p>
        </w:tc>
        <w:tc>
          <w:tcPr>
            <w:tcW w:w="390" w:type="dxa"/>
            <w:tcBorders/>
            <w:shd w:fill="auto" w:val="clear"/>
            <w:vAlign w:val="center"/>
          </w:tcPr>
          <w:p>
            <w:pPr>
              <w:pStyle w:val="TableContents"/>
              <w:spacing w:before="0" w:after="283"/>
              <w:rPr/>
            </w:pPr>
            <w:r>
              <w:rPr/>
              <w:t> </w:t>
            </w:r>
          </w:p>
        </w:tc>
        <w:tc>
          <w:tcPr>
            <w:tcW w:w="11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51" w:type="dxa"/>
            <w:tcBorders/>
            <w:shd w:fill="CCEEFF" w:val="clear"/>
            <w:vAlign w:val="bottom"/>
          </w:tcPr>
          <w:p>
            <w:pPr>
              <w:pStyle w:val="TableContents"/>
              <w:spacing w:before="0" w:after="0"/>
              <w:ind w:left="675" w:right="0" w:hanging="225"/>
              <w:rPr/>
            </w:pPr>
            <w:r>
              <w:rPr/>
              <w:t>Total operating expenses</w:t>
            </w:r>
          </w:p>
        </w:tc>
        <w:tc>
          <w:tcPr>
            <w:tcW w:w="3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21,722</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12,298</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34,020</w:t>
            </w:r>
          </w:p>
        </w:tc>
        <w:tc>
          <w:tcPr>
            <w:tcW w:w="117" w:type="dxa"/>
            <w:tcBorders/>
            <w:shd w:fill="CCEEFF" w:val="clear"/>
            <w:vAlign w:val="bottom"/>
          </w:tcPr>
          <w:p>
            <w:pPr>
              <w:pStyle w:val="TableContents"/>
              <w:spacing w:before="0" w:after="283"/>
              <w:rPr/>
            </w:pPr>
            <w:r>
              <w:rPr/>
              <w:t> </w:t>
            </w:r>
          </w:p>
        </w:tc>
      </w:tr>
      <w:tr>
        <w:trPr/>
        <w:tc>
          <w:tcPr>
            <w:tcW w:w="5051" w:type="dxa"/>
            <w:tcBorders/>
            <w:shd w:fill="auto" w:val="clear"/>
            <w:vAlign w:val="center"/>
          </w:tcPr>
          <w:p>
            <w:pPr>
              <w:pStyle w:val="TableContents"/>
              <w:spacing w:before="0" w:after="0"/>
              <w:ind w:left="225" w:right="0" w:hanging="225"/>
              <w:rPr/>
            </w:pPr>
            <w:r>
              <w:rPr/>
              <w:t> </w:t>
            </w:r>
          </w:p>
        </w:tc>
        <w:tc>
          <w:tcPr>
            <w:tcW w:w="390" w:type="dxa"/>
            <w:tcBorders/>
            <w:shd w:fill="auto" w:val="clear"/>
            <w:vAlign w:val="center"/>
          </w:tcPr>
          <w:p>
            <w:pPr>
              <w:pStyle w:val="TableContents"/>
              <w:spacing w:before="0" w:after="283"/>
              <w:rPr/>
            </w:pPr>
            <w:r>
              <w:rPr/>
              <w:t> </w:t>
            </w:r>
          </w:p>
        </w:tc>
        <w:tc>
          <w:tcPr>
            <w:tcW w:w="11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51" w:type="dxa"/>
            <w:tcBorders/>
            <w:shd w:fill="auto" w:val="clear"/>
            <w:vAlign w:val="bottom"/>
          </w:tcPr>
          <w:p>
            <w:pPr>
              <w:pStyle w:val="TableContents"/>
              <w:spacing w:before="0" w:after="0"/>
              <w:ind w:left="675" w:right="0" w:hanging="225"/>
              <w:rPr/>
            </w:pPr>
            <w:r>
              <w:rPr/>
              <w:t>Store operating income</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15,648</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3" w:type="dxa"/>
            <w:tcBorders/>
            <w:shd w:fill="auto" w:val="clear"/>
            <w:vAlign w:val="bottom"/>
          </w:tcPr>
          <w:p>
            <w:pPr>
              <w:pStyle w:val="TableContents"/>
              <w:spacing w:before="0" w:after="283"/>
              <w:jc w:val="right"/>
              <w:rPr/>
            </w:pPr>
            <w:r>
              <w:rPr/>
              <w:t>9,601</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058" w:type="dxa"/>
            <w:tcBorders/>
            <w:shd w:fill="auto" w:val="clear"/>
            <w:vAlign w:val="bottom"/>
          </w:tcPr>
          <w:p>
            <w:pPr>
              <w:pStyle w:val="TableContents"/>
              <w:spacing w:before="0" w:after="283"/>
              <w:jc w:val="right"/>
              <w:rPr/>
            </w:pPr>
            <w:r>
              <w:rPr/>
              <w:t>25,249</w:t>
            </w:r>
          </w:p>
        </w:tc>
        <w:tc>
          <w:tcPr>
            <w:tcW w:w="117" w:type="dxa"/>
            <w:tcBorders/>
            <w:shd w:fill="auto" w:val="clear"/>
            <w:vAlign w:val="bottom"/>
          </w:tcPr>
          <w:p>
            <w:pPr>
              <w:pStyle w:val="TableContents"/>
              <w:spacing w:before="0" w:after="283"/>
              <w:rPr/>
            </w:pPr>
            <w:r>
              <w:rPr/>
              <w:t> </w:t>
            </w:r>
          </w:p>
        </w:tc>
      </w:tr>
      <w:tr>
        <w:trPr/>
        <w:tc>
          <w:tcPr>
            <w:tcW w:w="5051" w:type="dxa"/>
            <w:tcBorders/>
            <w:shd w:fill="auto" w:val="clear"/>
            <w:vAlign w:val="center"/>
          </w:tcPr>
          <w:p>
            <w:pPr>
              <w:pStyle w:val="TableContents"/>
              <w:spacing w:before="0" w:after="0"/>
              <w:ind w:left="225" w:right="0" w:hanging="225"/>
              <w:rPr/>
            </w:pPr>
            <w:r>
              <w:rPr/>
              <w:t> </w:t>
            </w:r>
          </w:p>
        </w:tc>
        <w:tc>
          <w:tcPr>
            <w:tcW w:w="390" w:type="dxa"/>
            <w:tcBorders/>
            <w:shd w:fill="auto" w:val="clear"/>
            <w:vAlign w:val="center"/>
          </w:tcPr>
          <w:p>
            <w:pPr>
              <w:pStyle w:val="TableContents"/>
              <w:spacing w:before="0" w:after="283"/>
              <w:rPr/>
            </w:pPr>
            <w:r>
              <w:rPr/>
              <w:t> </w:t>
            </w:r>
          </w:p>
        </w:tc>
        <w:tc>
          <w:tcPr>
            <w:tcW w:w="113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51" w:type="dxa"/>
            <w:tcBorders/>
            <w:shd w:fill="auto" w:val="clear"/>
            <w:vAlign w:val="bottom"/>
          </w:tcPr>
          <w:p>
            <w:pPr>
              <w:pStyle w:val="TableContents"/>
              <w:spacing w:before="0" w:after="0"/>
              <w:ind w:left="225" w:right="0" w:hanging="225"/>
              <w:rPr/>
            </w:pPr>
            <w:r>
              <w:rPr/>
              <w:t> </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51" w:type="dxa"/>
            <w:tcBorders/>
            <w:shd w:fill="CCEEFF" w:val="clear"/>
            <w:vAlign w:val="bottom"/>
          </w:tcPr>
          <w:p>
            <w:pPr>
              <w:pStyle w:val="TableContents"/>
              <w:spacing w:before="0" w:after="0"/>
              <w:ind w:left="225" w:right="0" w:hanging="225"/>
              <w:rPr>
                <w:b/>
              </w:rPr>
            </w:pPr>
            <w:r>
              <w:rPr>
                <w:b/>
              </w:rPr>
              <w:t>Three Months Ended March 31, 2006:</w:t>
            </w:r>
          </w:p>
        </w:tc>
        <w:tc>
          <w:tcPr>
            <w:tcW w:w="3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225" w:right="0" w:hanging="225"/>
              <w:rPr/>
            </w:pPr>
            <w:r>
              <w:rPr/>
              <w:t>Revenues:</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51" w:type="dxa"/>
            <w:tcBorders/>
            <w:shd w:fill="CCEEFF" w:val="clear"/>
            <w:vAlign w:val="bottom"/>
          </w:tcPr>
          <w:p>
            <w:pPr>
              <w:pStyle w:val="TableContents"/>
              <w:spacing w:before="0" w:after="0"/>
              <w:ind w:left="450" w:right="0" w:hanging="225"/>
              <w:rPr/>
            </w:pPr>
            <w:r>
              <w:rPr/>
              <w:t>Sales</w:t>
            </w:r>
          </w:p>
        </w:tc>
        <w:tc>
          <w:tcPr>
            <w:tcW w:w="3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941" w:type="dxa"/>
            <w:tcBorders/>
            <w:shd w:fill="CCEEFF" w:val="clear"/>
            <w:vAlign w:val="bottom"/>
          </w:tcPr>
          <w:p>
            <w:pPr>
              <w:pStyle w:val="TableContents"/>
              <w:spacing w:before="0" w:after="283"/>
              <w:jc w:val="right"/>
              <w:rPr/>
            </w:pPr>
            <w:r>
              <w:rPr/>
              <w:t>47,605</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3"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058" w:type="dxa"/>
            <w:tcBorders/>
            <w:shd w:fill="CCEEFF" w:val="clear"/>
            <w:vAlign w:val="bottom"/>
          </w:tcPr>
          <w:p>
            <w:pPr>
              <w:pStyle w:val="TableContents"/>
              <w:spacing w:before="0" w:after="283"/>
              <w:jc w:val="right"/>
              <w:rPr/>
            </w:pPr>
            <w:r>
              <w:rPr/>
              <w:t>47,605</w:t>
            </w:r>
          </w:p>
        </w:tc>
        <w:tc>
          <w:tcPr>
            <w:tcW w:w="117" w:type="dxa"/>
            <w:tcBorders/>
            <w:shd w:fill="CCEEFF"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450" w:right="0" w:hanging="225"/>
              <w:rPr/>
            </w:pPr>
            <w:r>
              <w:rPr/>
              <w:t>Pawn service charges</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15,453</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15,453</w:t>
            </w:r>
          </w:p>
        </w:tc>
        <w:tc>
          <w:tcPr>
            <w:tcW w:w="117" w:type="dxa"/>
            <w:tcBorders/>
            <w:shd w:fill="auto" w:val="clear"/>
            <w:vAlign w:val="bottom"/>
          </w:tcPr>
          <w:p>
            <w:pPr>
              <w:pStyle w:val="TableContents"/>
              <w:spacing w:before="0" w:after="283"/>
              <w:rPr/>
            </w:pPr>
            <w:r>
              <w:rPr/>
              <w:t> </w:t>
            </w:r>
          </w:p>
        </w:tc>
      </w:tr>
      <w:tr>
        <w:trPr/>
        <w:tc>
          <w:tcPr>
            <w:tcW w:w="5051" w:type="dxa"/>
            <w:tcBorders/>
            <w:shd w:fill="CCEEFF" w:val="clear"/>
            <w:vAlign w:val="bottom"/>
          </w:tcPr>
          <w:p>
            <w:pPr>
              <w:pStyle w:val="TableContents"/>
              <w:spacing w:before="0" w:after="0"/>
              <w:ind w:left="450" w:right="0" w:hanging="225"/>
              <w:rPr/>
            </w:pPr>
            <w:r>
              <w:rPr/>
              <w:t>Credit service fees</w:t>
            </w:r>
          </w:p>
        </w:tc>
        <w:tc>
          <w:tcPr>
            <w:tcW w:w="3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430</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14,021</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14,451</w:t>
            </w:r>
          </w:p>
        </w:tc>
        <w:tc>
          <w:tcPr>
            <w:tcW w:w="117" w:type="dxa"/>
            <w:tcBorders/>
            <w:shd w:fill="CCEEFF"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450" w:right="0" w:hanging="225"/>
              <w:rPr/>
            </w:pPr>
            <w:r>
              <w:rPr/>
              <w:t>Payday loan fees</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308</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795</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1,103</w:t>
            </w:r>
          </w:p>
        </w:tc>
        <w:tc>
          <w:tcPr>
            <w:tcW w:w="117" w:type="dxa"/>
            <w:tcBorders/>
            <w:shd w:fill="auto" w:val="clear"/>
            <w:vAlign w:val="bottom"/>
          </w:tcPr>
          <w:p>
            <w:pPr>
              <w:pStyle w:val="TableContents"/>
              <w:spacing w:before="0" w:after="283"/>
              <w:rPr/>
            </w:pPr>
            <w:r>
              <w:rPr/>
              <w:t> </w:t>
            </w:r>
          </w:p>
        </w:tc>
      </w:tr>
      <w:tr>
        <w:trPr/>
        <w:tc>
          <w:tcPr>
            <w:tcW w:w="5051" w:type="dxa"/>
            <w:tcBorders/>
            <w:shd w:fill="CCEEFF" w:val="clear"/>
            <w:vAlign w:val="bottom"/>
          </w:tcPr>
          <w:p>
            <w:pPr>
              <w:pStyle w:val="TableContents"/>
              <w:spacing w:before="0" w:after="0"/>
              <w:ind w:left="450" w:right="0" w:hanging="225"/>
              <w:rPr/>
            </w:pPr>
            <w:r>
              <w:rPr/>
              <w:t>Other</w:t>
            </w:r>
          </w:p>
        </w:tc>
        <w:tc>
          <w:tcPr>
            <w:tcW w:w="3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329</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329</w:t>
            </w:r>
          </w:p>
        </w:tc>
        <w:tc>
          <w:tcPr>
            <w:tcW w:w="117" w:type="dxa"/>
            <w:tcBorders/>
            <w:shd w:fill="CCEEFF" w:val="clear"/>
            <w:vAlign w:val="bottom"/>
          </w:tcPr>
          <w:p>
            <w:pPr>
              <w:pStyle w:val="TableContents"/>
              <w:spacing w:before="0" w:after="283"/>
              <w:rPr/>
            </w:pPr>
            <w:r>
              <w:rPr/>
              <w:t> </w:t>
            </w:r>
          </w:p>
        </w:tc>
      </w:tr>
      <w:tr>
        <w:trPr/>
        <w:tc>
          <w:tcPr>
            <w:tcW w:w="5051" w:type="dxa"/>
            <w:tcBorders/>
            <w:shd w:fill="auto" w:val="clear"/>
            <w:vAlign w:val="center"/>
          </w:tcPr>
          <w:p>
            <w:pPr>
              <w:pStyle w:val="TableContents"/>
              <w:spacing w:before="0" w:after="0"/>
              <w:ind w:left="225" w:right="0" w:hanging="225"/>
              <w:rPr/>
            </w:pPr>
            <w:r>
              <w:rPr/>
              <w:t> </w:t>
            </w:r>
          </w:p>
        </w:tc>
        <w:tc>
          <w:tcPr>
            <w:tcW w:w="390" w:type="dxa"/>
            <w:tcBorders/>
            <w:shd w:fill="auto" w:val="clear"/>
            <w:vAlign w:val="center"/>
          </w:tcPr>
          <w:p>
            <w:pPr>
              <w:pStyle w:val="TableContents"/>
              <w:spacing w:before="0" w:after="283"/>
              <w:rPr/>
            </w:pPr>
            <w:r>
              <w:rPr/>
              <w:t> </w:t>
            </w:r>
          </w:p>
        </w:tc>
        <w:tc>
          <w:tcPr>
            <w:tcW w:w="11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51" w:type="dxa"/>
            <w:tcBorders/>
            <w:shd w:fill="auto" w:val="clear"/>
            <w:vAlign w:val="bottom"/>
          </w:tcPr>
          <w:p>
            <w:pPr>
              <w:pStyle w:val="TableContents"/>
              <w:spacing w:before="0" w:after="0"/>
              <w:ind w:left="675" w:right="0" w:hanging="225"/>
              <w:rPr/>
            </w:pPr>
            <w:r>
              <w:rPr/>
              <w:t>Total revenues</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64,125</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14,816</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78,941</w:t>
            </w:r>
          </w:p>
        </w:tc>
        <w:tc>
          <w:tcPr>
            <w:tcW w:w="117"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225" w:right="0" w:hanging="225"/>
              <w:rPr/>
            </w:pPr>
            <w:r>
              <w:rPr/>
              <w:t> </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51" w:type="dxa"/>
            <w:tcBorders/>
            <w:shd w:fill="CCEEFF" w:val="clear"/>
            <w:vAlign w:val="bottom"/>
          </w:tcPr>
          <w:p>
            <w:pPr>
              <w:pStyle w:val="TableContents"/>
              <w:spacing w:before="0" w:after="0"/>
              <w:ind w:left="225" w:right="0" w:hanging="225"/>
              <w:rPr/>
            </w:pPr>
            <w:r>
              <w:rPr/>
              <w:t>Cost of goods sold</w:t>
            </w:r>
          </w:p>
        </w:tc>
        <w:tc>
          <w:tcPr>
            <w:tcW w:w="3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28,337</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28,337</w:t>
            </w:r>
          </w:p>
        </w:tc>
        <w:tc>
          <w:tcPr>
            <w:tcW w:w="117" w:type="dxa"/>
            <w:tcBorders/>
            <w:shd w:fill="CCEEFF" w:val="clear"/>
            <w:vAlign w:val="bottom"/>
          </w:tcPr>
          <w:p>
            <w:pPr>
              <w:pStyle w:val="TableContents"/>
              <w:spacing w:before="0" w:after="283"/>
              <w:rPr/>
            </w:pPr>
            <w:r>
              <w:rPr/>
              <w:t> </w:t>
            </w:r>
          </w:p>
        </w:tc>
      </w:tr>
      <w:tr>
        <w:trPr/>
        <w:tc>
          <w:tcPr>
            <w:tcW w:w="5051" w:type="dxa"/>
            <w:tcBorders/>
            <w:shd w:fill="auto" w:val="clear"/>
            <w:vAlign w:val="center"/>
          </w:tcPr>
          <w:p>
            <w:pPr>
              <w:pStyle w:val="TableContents"/>
              <w:spacing w:before="0" w:after="0"/>
              <w:ind w:left="225" w:right="0" w:hanging="225"/>
              <w:rPr/>
            </w:pPr>
            <w:r>
              <w:rPr/>
              <w:t> </w:t>
            </w:r>
          </w:p>
        </w:tc>
        <w:tc>
          <w:tcPr>
            <w:tcW w:w="390" w:type="dxa"/>
            <w:tcBorders/>
            <w:shd w:fill="auto" w:val="clear"/>
            <w:vAlign w:val="center"/>
          </w:tcPr>
          <w:p>
            <w:pPr>
              <w:pStyle w:val="TableContents"/>
              <w:spacing w:before="0" w:after="283"/>
              <w:rPr/>
            </w:pPr>
            <w:r>
              <w:rPr/>
              <w:t> </w:t>
            </w:r>
          </w:p>
        </w:tc>
        <w:tc>
          <w:tcPr>
            <w:tcW w:w="11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51" w:type="dxa"/>
            <w:tcBorders/>
            <w:shd w:fill="auto" w:val="clear"/>
            <w:vAlign w:val="bottom"/>
          </w:tcPr>
          <w:p>
            <w:pPr>
              <w:pStyle w:val="TableContents"/>
              <w:spacing w:before="0" w:after="0"/>
              <w:ind w:left="675" w:right="0" w:hanging="225"/>
              <w:rPr/>
            </w:pPr>
            <w:r>
              <w:rPr/>
              <w:t>Net revenues</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35,788</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14,816</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50,604</w:t>
            </w:r>
          </w:p>
        </w:tc>
        <w:tc>
          <w:tcPr>
            <w:tcW w:w="117" w:type="dxa"/>
            <w:tcBorders/>
            <w:shd w:fill="auto"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225" w:right="0" w:hanging="225"/>
              <w:rPr/>
            </w:pPr>
            <w:r>
              <w:rPr/>
              <w:t> </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51" w:type="dxa"/>
            <w:tcBorders/>
            <w:shd w:fill="CCEEFF" w:val="clear"/>
            <w:vAlign w:val="bottom"/>
          </w:tcPr>
          <w:p>
            <w:pPr>
              <w:pStyle w:val="TableContents"/>
              <w:spacing w:before="0" w:after="0"/>
              <w:ind w:left="225" w:right="0" w:hanging="225"/>
              <w:rPr/>
            </w:pPr>
            <w:r>
              <w:rPr/>
              <w:t>Operating expenses:</w:t>
            </w:r>
          </w:p>
        </w:tc>
        <w:tc>
          <w:tcPr>
            <w:tcW w:w="3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450" w:right="0" w:hanging="225"/>
              <w:rPr/>
            </w:pPr>
            <w:r>
              <w:rPr/>
              <w:t>Operations expense</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21,938</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6,138</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28,076</w:t>
            </w:r>
          </w:p>
        </w:tc>
        <w:tc>
          <w:tcPr>
            <w:tcW w:w="117" w:type="dxa"/>
            <w:tcBorders/>
            <w:shd w:fill="auto" w:val="clear"/>
            <w:vAlign w:val="bottom"/>
          </w:tcPr>
          <w:p>
            <w:pPr>
              <w:pStyle w:val="TableContents"/>
              <w:spacing w:before="0" w:after="283"/>
              <w:rPr/>
            </w:pPr>
            <w:r>
              <w:rPr/>
              <w:t> </w:t>
            </w:r>
          </w:p>
        </w:tc>
      </w:tr>
      <w:tr>
        <w:trPr/>
        <w:tc>
          <w:tcPr>
            <w:tcW w:w="5051" w:type="dxa"/>
            <w:tcBorders/>
            <w:shd w:fill="CCEEFF" w:val="clear"/>
            <w:vAlign w:val="bottom"/>
          </w:tcPr>
          <w:p>
            <w:pPr>
              <w:pStyle w:val="TableContents"/>
              <w:spacing w:before="0" w:after="0"/>
              <w:ind w:left="450" w:right="0" w:hanging="225"/>
              <w:rPr/>
            </w:pPr>
            <w:r>
              <w:rPr/>
              <w:t>Credit service bad debt</w:t>
            </w:r>
          </w:p>
        </w:tc>
        <w:tc>
          <w:tcPr>
            <w:tcW w:w="3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123</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1,750</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1,873</w:t>
            </w:r>
          </w:p>
        </w:tc>
        <w:tc>
          <w:tcPr>
            <w:tcW w:w="117" w:type="dxa"/>
            <w:tcBorders/>
            <w:shd w:fill="CCEEFF" w:val="clear"/>
            <w:vAlign w:val="bottom"/>
          </w:tcPr>
          <w:p>
            <w:pPr>
              <w:pStyle w:val="TableContents"/>
              <w:spacing w:before="0" w:after="283"/>
              <w:rPr/>
            </w:pPr>
            <w:r>
              <w:rPr/>
              <w:t> </w:t>
            </w:r>
          </w:p>
        </w:tc>
      </w:tr>
      <w:tr>
        <w:trPr/>
        <w:tc>
          <w:tcPr>
            <w:tcW w:w="5051" w:type="dxa"/>
            <w:tcBorders/>
            <w:shd w:fill="auto" w:val="clear"/>
            <w:vAlign w:val="bottom"/>
          </w:tcPr>
          <w:p>
            <w:pPr>
              <w:pStyle w:val="TableContents"/>
              <w:spacing w:before="0" w:after="0"/>
              <w:ind w:left="450" w:right="0" w:hanging="225"/>
              <w:rPr/>
            </w:pPr>
            <w:r>
              <w:rPr/>
              <w:t>Payday loan bad debt</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jc w:val="right"/>
              <w:rPr/>
            </w:pPr>
            <w:r>
              <w:rPr/>
              <w:t>57</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227</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284</w:t>
            </w:r>
          </w:p>
        </w:tc>
        <w:tc>
          <w:tcPr>
            <w:tcW w:w="117" w:type="dxa"/>
            <w:tcBorders/>
            <w:shd w:fill="auto" w:val="clear"/>
            <w:vAlign w:val="bottom"/>
          </w:tcPr>
          <w:p>
            <w:pPr>
              <w:pStyle w:val="TableContents"/>
              <w:spacing w:before="0" w:after="283"/>
              <w:rPr/>
            </w:pPr>
            <w:r>
              <w:rPr/>
              <w:t> </w:t>
            </w:r>
          </w:p>
        </w:tc>
      </w:tr>
      <w:tr>
        <w:trPr/>
        <w:tc>
          <w:tcPr>
            <w:tcW w:w="5051" w:type="dxa"/>
            <w:tcBorders/>
            <w:shd w:fill="auto" w:val="clear"/>
            <w:vAlign w:val="center"/>
          </w:tcPr>
          <w:p>
            <w:pPr>
              <w:pStyle w:val="TableContents"/>
              <w:spacing w:before="0" w:after="0"/>
              <w:ind w:left="225" w:right="0" w:hanging="225"/>
              <w:rPr/>
            </w:pPr>
            <w:r>
              <w:rPr/>
              <w:t> </w:t>
            </w:r>
          </w:p>
        </w:tc>
        <w:tc>
          <w:tcPr>
            <w:tcW w:w="390" w:type="dxa"/>
            <w:tcBorders/>
            <w:shd w:fill="auto" w:val="clear"/>
            <w:vAlign w:val="center"/>
          </w:tcPr>
          <w:p>
            <w:pPr>
              <w:pStyle w:val="TableContents"/>
              <w:spacing w:before="0" w:after="283"/>
              <w:rPr/>
            </w:pPr>
            <w:r>
              <w:rPr/>
              <w:t> </w:t>
            </w:r>
          </w:p>
        </w:tc>
        <w:tc>
          <w:tcPr>
            <w:tcW w:w="11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51" w:type="dxa"/>
            <w:tcBorders/>
            <w:shd w:fill="CCEEFF" w:val="clear"/>
            <w:vAlign w:val="bottom"/>
          </w:tcPr>
          <w:p>
            <w:pPr>
              <w:pStyle w:val="TableContents"/>
              <w:spacing w:before="0" w:after="0"/>
              <w:ind w:left="675" w:right="0" w:hanging="225"/>
              <w:rPr/>
            </w:pPr>
            <w:r>
              <w:rPr/>
              <w:t>Total operating expenses</w:t>
            </w:r>
          </w:p>
        </w:tc>
        <w:tc>
          <w:tcPr>
            <w:tcW w:w="3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pPr>
            <w:r>
              <w:rPr/>
              <w:t>22,118</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8,115</w:t>
            </w:r>
          </w:p>
        </w:tc>
        <w:tc>
          <w:tcPr>
            <w:tcW w:w="11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30,233</w:t>
            </w:r>
          </w:p>
        </w:tc>
        <w:tc>
          <w:tcPr>
            <w:tcW w:w="117" w:type="dxa"/>
            <w:tcBorders/>
            <w:shd w:fill="CCEEFF" w:val="clear"/>
            <w:vAlign w:val="bottom"/>
          </w:tcPr>
          <w:p>
            <w:pPr>
              <w:pStyle w:val="TableContents"/>
              <w:spacing w:before="0" w:after="283"/>
              <w:rPr/>
            </w:pPr>
            <w:r>
              <w:rPr/>
              <w:t> </w:t>
            </w:r>
          </w:p>
        </w:tc>
      </w:tr>
      <w:tr>
        <w:trPr/>
        <w:tc>
          <w:tcPr>
            <w:tcW w:w="5051" w:type="dxa"/>
            <w:tcBorders/>
            <w:shd w:fill="auto" w:val="clear"/>
            <w:vAlign w:val="center"/>
          </w:tcPr>
          <w:p>
            <w:pPr>
              <w:pStyle w:val="TableContents"/>
              <w:spacing w:before="0" w:after="0"/>
              <w:ind w:left="225" w:right="0" w:hanging="225"/>
              <w:rPr/>
            </w:pPr>
            <w:r>
              <w:rPr/>
              <w:t> </w:t>
            </w:r>
          </w:p>
        </w:tc>
        <w:tc>
          <w:tcPr>
            <w:tcW w:w="390" w:type="dxa"/>
            <w:tcBorders/>
            <w:shd w:fill="auto" w:val="clear"/>
            <w:vAlign w:val="center"/>
          </w:tcPr>
          <w:p>
            <w:pPr>
              <w:pStyle w:val="TableContents"/>
              <w:spacing w:before="0" w:after="283"/>
              <w:rPr/>
            </w:pPr>
            <w:r>
              <w:rPr/>
              <w:t> </w:t>
            </w:r>
          </w:p>
        </w:tc>
        <w:tc>
          <w:tcPr>
            <w:tcW w:w="11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51" w:type="dxa"/>
            <w:tcBorders/>
            <w:shd w:fill="auto" w:val="clear"/>
            <w:vAlign w:val="bottom"/>
          </w:tcPr>
          <w:p>
            <w:pPr>
              <w:pStyle w:val="TableContents"/>
              <w:spacing w:before="0" w:after="0"/>
              <w:ind w:left="675" w:right="0" w:hanging="225"/>
              <w:rPr/>
            </w:pPr>
            <w:r>
              <w:rPr/>
              <w:t>Store operating income</w:t>
            </w:r>
          </w:p>
        </w:tc>
        <w:tc>
          <w:tcPr>
            <w:tcW w:w="3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941" w:type="dxa"/>
            <w:tcBorders/>
            <w:shd w:fill="auto" w:val="clear"/>
            <w:vAlign w:val="bottom"/>
          </w:tcPr>
          <w:p>
            <w:pPr>
              <w:pStyle w:val="TableContents"/>
              <w:spacing w:before="0" w:after="283"/>
              <w:jc w:val="right"/>
              <w:rPr/>
            </w:pPr>
            <w:r>
              <w:rPr/>
              <w:t>13,670</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3" w:type="dxa"/>
            <w:tcBorders/>
            <w:shd w:fill="auto" w:val="clear"/>
            <w:vAlign w:val="bottom"/>
          </w:tcPr>
          <w:p>
            <w:pPr>
              <w:pStyle w:val="TableContents"/>
              <w:spacing w:before="0" w:after="283"/>
              <w:jc w:val="right"/>
              <w:rPr/>
            </w:pPr>
            <w:r>
              <w:rPr/>
              <w:t>6,701</w:t>
            </w:r>
          </w:p>
        </w:tc>
        <w:tc>
          <w:tcPr>
            <w:tcW w:w="1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058" w:type="dxa"/>
            <w:tcBorders/>
            <w:shd w:fill="auto" w:val="clear"/>
            <w:vAlign w:val="bottom"/>
          </w:tcPr>
          <w:p>
            <w:pPr>
              <w:pStyle w:val="TableContents"/>
              <w:spacing w:before="0" w:after="283"/>
              <w:jc w:val="right"/>
              <w:rPr/>
            </w:pPr>
            <w:r>
              <w:rPr/>
              <w:t>20,371</w:t>
            </w:r>
          </w:p>
        </w:tc>
        <w:tc>
          <w:tcPr>
            <w:tcW w:w="117" w:type="dxa"/>
            <w:tcBorders/>
            <w:shd w:fill="auto" w:val="clear"/>
            <w:vAlign w:val="bottom"/>
          </w:tcPr>
          <w:p>
            <w:pPr>
              <w:pStyle w:val="TableContents"/>
              <w:spacing w:before="0" w:after="283"/>
              <w:rPr/>
            </w:pPr>
            <w:r>
              <w:rPr/>
              <w:t> </w:t>
            </w:r>
          </w:p>
        </w:tc>
      </w:tr>
      <w:tr>
        <w:trPr/>
        <w:tc>
          <w:tcPr>
            <w:tcW w:w="5051" w:type="dxa"/>
            <w:tcBorders/>
            <w:shd w:fill="auto" w:val="clear"/>
            <w:vAlign w:val="center"/>
          </w:tcPr>
          <w:p>
            <w:pPr>
              <w:pStyle w:val="TableContents"/>
              <w:spacing w:before="0" w:after="0"/>
              <w:ind w:left="225" w:right="0" w:hanging="225"/>
              <w:rPr/>
            </w:pPr>
            <w:r>
              <w:rPr/>
              <w:t> </w:t>
            </w:r>
          </w:p>
        </w:tc>
        <w:tc>
          <w:tcPr>
            <w:tcW w:w="390" w:type="dxa"/>
            <w:tcBorders/>
            <w:shd w:fill="auto" w:val="clear"/>
            <w:vAlign w:val="center"/>
          </w:tcPr>
          <w:p>
            <w:pPr>
              <w:pStyle w:val="TableContents"/>
              <w:spacing w:before="0" w:after="283"/>
              <w:rPr/>
            </w:pPr>
            <w:r>
              <w:rPr/>
              <w:t> </w:t>
            </w:r>
          </w:p>
        </w:tc>
        <w:tc>
          <w:tcPr>
            <w:tcW w:w="113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2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4902"/>
        <w:gridCol w:w="378"/>
        <w:gridCol w:w="178"/>
        <w:gridCol w:w="975"/>
        <w:gridCol w:w="109"/>
        <w:gridCol w:w="378"/>
        <w:gridCol w:w="233"/>
        <w:gridCol w:w="1145"/>
        <w:gridCol w:w="109"/>
        <w:gridCol w:w="378"/>
        <w:gridCol w:w="200"/>
        <w:gridCol w:w="1102"/>
        <w:gridCol w:w="118"/>
      </w:tblGrid>
      <w:tr>
        <w:trPr/>
        <w:tc>
          <w:tcPr>
            <w:tcW w:w="4902"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153" w:type="dxa"/>
            <w:gridSpan w:val="2"/>
            <w:tcBorders/>
            <w:shd w:fill="auto" w:val="clear"/>
            <w:vAlign w:val="bottom"/>
          </w:tcPr>
          <w:p>
            <w:pPr>
              <w:pStyle w:val="TableContents"/>
              <w:spacing w:before="0" w:after="283"/>
              <w:jc w:val="center"/>
              <w:rPr/>
            </w:pPr>
            <w:r>
              <w:rPr/>
              <w:t>EZPAWN</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78" w:type="dxa"/>
            <w:gridSpan w:val="2"/>
            <w:tcBorders/>
            <w:shd w:fill="auto" w:val="clear"/>
            <w:vAlign w:val="bottom"/>
          </w:tcPr>
          <w:p>
            <w:pPr>
              <w:pStyle w:val="TableContents"/>
              <w:spacing w:before="0" w:after="283"/>
              <w:jc w:val="center"/>
              <w:rPr/>
            </w:pPr>
            <w:r>
              <w:rPr/>
              <w:t>EZMONEY</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02" w:type="dxa"/>
            <w:gridSpan w:val="2"/>
            <w:tcBorders/>
            <w:shd w:fill="auto" w:val="clear"/>
            <w:vAlign w:val="bottom"/>
          </w:tcPr>
          <w:p>
            <w:pPr>
              <w:pStyle w:val="TableContents"/>
              <w:spacing w:before="0" w:after="283"/>
              <w:jc w:val="center"/>
              <w:rPr/>
            </w:pPr>
            <w:r>
              <w:rPr/>
              <w:t> </w:t>
            </w:r>
          </w:p>
        </w:tc>
        <w:tc>
          <w:tcPr>
            <w:tcW w:w="118" w:type="dxa"/>
            <w:tcBorders/>
            <w:shd w:fill="auto"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153"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78"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02"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18" w:type="dxa"/>
            <w:tcBorders/>
            <w:shd w:fill="auto"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78" w:type="dxa"/>
            <w:gridSpan w:val="2"/>
            <w:tcBorders/>
            <w:shd w:fill="auto" w:val="clear"/>
            <w:vAlign w:val="bottom"/>
          </w:tcPr>
          <w:p>
            <w:pPr>
              <w:pStyle w:val="TableContents"/>
              <w:spacing w:before="0" w:after="283"/>
              <w:jc w:val="center"/>
              <w:rPr>
                <w:i/>
              </w:rPr>
            </w:pPr>
            <w:r>
              <w:rPr>
                <w:i/>
              </w:rPr>
              <w:t>(in thousands)</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902" w:type="dxa"/>
            <w:tcBorders/>
            <w:shd w:fill="CCEEFF" w:val="clear"/>
            <w:vAlign w:val="bottom"/>
          </w:tcPr>
          <w:p>
            <w:pPr>
              <w:pStyle w:val="TableContents"/>
              <w:spacing w:before="0" w:after="0"/>
              <w:ind w:left="225" w:right="0" w:hanging="225"/>
              <w:rPr>
                <w:b/>
              </w:rPr>
            </w:pPr>
            <w:r>
              <w:rPr>
                <w:b/>
              </w:rPr>
              <w:t>Six Months Ended March 31, 2007:</w:t>
            </w:r>
          </w:p>
        </w:tc>
        <w:tc>
          <w:tcPr>
            <w:tcW w:w="3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0"/>
              <w:ind w:left="225" w:right="0" w:hanging="225"/>
              <w:rPr/>
            </w:pPr>
            <w:r>
              <w:rPr/>
              <w:t>Revenues:</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902" w:type="dxa"/>
            <w:tcBorders/>
            <w:shd w:fill="CCEEFF" w:val="clear"/>
            <w:vAlign w:val="bottom"/>
          </w:tcPr>
          <w:p>
            <w:pPr>
              <w:pStyle w:val="TableContents"/>
              <w:spacing w:before="0" w:after="0"/>
              <w:ind w:left="450" w:right="0" w:hanging="225"/>
              <w:rPr/>
            </w:pPr>
            <w:r>
              <w:rPr/>
              <w:t>Sales</w:t>
            </w:r>
          </w:p>
        </w:tc>
        <w:tc>
          <w:tcPr>
            <w:tcW w:w="3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975" w:type="dxa"/>
            <w:tcBorders/>
            <w:shd w:fill="CCEEFF" w:val="clear"/>
            <w:vAlign w:val="bottom"/>
          </w:tcPr>
          <w:p>
            <w:pPr>
              <w:pStyle w:val="TableContents"/>
              <w:spacing w:before="0" w:after="283"/>
              <w:jc w:val="right"/>
              <w:rPr/>
            </w:pPr>
            <w:r>
              <w:rPr/>
              <w:t>99,012</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w:t>
            </w:r>
          </w:p>
        </w:tc>
        <w:tc>
          <w:tcPr>
            <w:tcW w:w="1145"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left"/>
              <w:rPr/>
            </w:pPr>
            <w:r>
              <w:rPr/>
              <w:t>$</w:t>
            </w:r>
          </w:p>
        </w:tc>
        <w:tc>
          <w:tcPr>
            <w:tcW w:w="1102" w:type="dxa"/>
            <w:tcBorders/>
            <w:shd w:fill="CCEEFF" w:val="clear"/>
            <w:vAlign w:val="bottom"/>
          </w:tcPr>
          <w:p>
            <w:pPr>
              <w:pStyle w:val="TableContents"/>
              <w:spacing w:before="0" w:after="283"/>
              <w:jc w:val="right"/>
              <w:rPr/>
            </w:pPr>
            <w:r>
              <w:rPr/>
              <w:t>99,012</w:t>
            </w:r>
          </w:p>
        </w:tc>
        <w:tc>
          <w:tcPr>
            <w:tcW w:w="118" w:type="dxa"/>
            <w:tcBorders/>
            <w:shd w:fill="CCEEFF"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0"/>
              <w:ind w:left="450" w:right="0" w:hanging="225"/>
              <w:rPr/>
            </w:pPr>
            <w:r>
              <w:rPr/>
              <w:t>Pawn service charges</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34,518</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34,518</w:t>
            </w:r>
          </w:p>
        </w:tc>
        <w:tc>
          <w:tcPr>
            <w:tcW w:w="118" w:type="dxa"/>
            <w:tcBorders/>
            <w:shd w:fill="auto" w:val="clear"/>
            <w:vAlign w:val="bottom"/>
          </w:tcPr>
          <w:p>
            <w:pPr>
              <w:pStyle w:val="TableContents"/>
              <w:spacing w:before="0" w:after="283"/>
              <w:rPr/>
            </w:pPr>
            <w:r>
              <w:rPr/>
              <w:t> </w:t>
            </w:r>
          </w:p>
        </w:tc>
      </w:tr>
      <w:tr>
        <w:trPr/>
        <w:tc>
          <w:tcPr>
            <w:tcW w:w="4902" w:type="dxa"/>
            <w:tcBorders/>
            <w:shd w:fill="CCEEFF" w:val="clear"/>
            <w:vAlign w:val="bottom"/>
          </w:tcPr>
          <w:p>
            <w:pPr>
              <w:pStyle w:val="TableContents"/>
              <w:spacing w:before="0" w:after="0"/>
              <w:ind w:left="450" w:right="0" w:hanging="225"/>
              <w:rPr/>
            </w:pPr>
            <w:r>
              <w:rPr/>
              <w:t>Credit service fees</w:t>
            </w:r>
          </w:p>
        </w:tc>
        <w:tc>
          <w:tcPr>
            <w:tcW w:w="3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1,078</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40,990</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42,068</w:t>
            </w:r>
          </w:p>
        </w:tc>
        <w:tc>
          <w:tcPr>
            <w:tcW w:w="118" w:type="dxa"/>
            <w:tcBorders/>
            <w:shd w:fill="CCEEFF"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0"/>
              <w:ind w:left="450" w:right="0" w:hanging="225"/>
              <w:rPr/>
            </w:pPr>
            <w:r>
              <w:rPr/>
              <w:t>Payday loan fees</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668</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4,372</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5,040</w:t>
            </w:r>
          </w:p>
        </w:tc>
        <w:tc>
          <w:tcPr>
            <w:tcW w:w="118" w:type="dxa"/>
            <w:tcBorders/>
            <w:shd w:fill="auto" w:val="clear"/>
            <w:vAlign w:val="bottom"/>
          </w:tcPr>
          <w:p>
            <w:pPr>
              <w:pStyle w:val="TableContents"/>
              <w:spacing w:before="0" w:after="283"/>
              <w:rPr/>
            </w:pPr>
            <w:r>
              <w:rPr/>
              <w:t> </w:t>
            </w:r>
          </w:p>
        </w:tc>
      </w:tr>
      <w:tr>
        <w:trPr/>
        <w:tc>
          <w:tcPr>
            <w:tcW w:w="4902" w:type="dxa"/>
            <w:tcBorders/>
            <w:shd w:fill="CCEEFF" w:val="clear"/>
            <w:vAlign w:val="bottom"/>
          </w:tcPr>
          <w:p>
            <w:pPr>
              <w:pStyle w:val="TableContents"/>
              <w:spacing w:before="0" w:after="0"/>
              <w:ind w:left="450" w:right="0" w:hanging="225"/>
              <w:rPr/>
            </w:pPr>
            <w:r>
              <w:rPr/>
              <w:t>Other</w:t>
            </w:r>
          </w:p>
        </w:tc>
        <w:tc>
          <w:tcPr>
            <w:tcW w:w="3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692</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692</w:t>
            </w:r>
          </w:p>
        </w:tc>
        <w:tc>
          <w:tcPr>
            <w:tcW w:w="118" w:type="dxa"/>
            <w:tcBorders/>
            <w:shd w:fill="CCEEFF" w:val="clear"/>
            <w:vAlign w:val="bottom"/>
          </w:tcPr>
          <w:p>
            <w:pPr>
              <w:pStyle w:val="TableContents"/>
              <w:spacing w:before="0" w:after="283"/>
              <w:rPr/>
            </w:pPr>
            <w:r>
              <w:rPr/>
              <w:t> </w:t>
            </w:r>
          </w:p>
        </w:tc>
      </w:tr>
      <w:tr>
        <w:trPr/>
        <w:tc>
          <w:tcPr>
            <w:tcW w:w="4902"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902" w:type="dxa"/>
            <w:tcBorders/>
            <w:shd w:fill="auto" w:val="clear"/>
            <w:vAlign w:val="bottom"/>
          </w:tcPr>
          <w:p>
            <w:pPr>
              <w:pStyle w:val="TableContents"/>
              <w:spacing w:before="0" w:after="0"/>
              <w:ind w:left="675" w:right="0" w:hanging="225"/>
              <w:rPr/>
            </w:pPr>
            <w:r>
              <w:rPr/>
              <w:t>Total revenues</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135,968</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45,362</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181,330</w:t>
            </w:r>
          </w:p>
        </w:tc>
        <w:tc>
          <w:tcPr>
            <w:tcW w:w="118" w:type="dxa"/>
            <w:tcBorders/>
            <w:shd w:fill="auto"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0"/>
              <w:ind w:left="225" w:right="0" w:hanging="225"/>
              <w:rPr/>
            </w:pPr>
            <w:r>
              <w:rPr/>
              <w:t> </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902" w:type="dxa"/>
            <w:tcBorders/>
            <w:shd w:fill="CCEEFF" w:val="clear"/>
            <w:vAlign w:val="bottom"/>
          </w:tcPr>
          <w:p>
            <w:pPr>
              <w:pStyle w:val="TableContents"/>
              <w:spacing w:before="0" w:after="0"/>
              <w:ind w:left="225" w:right="0" w:hanging="225"/>
              <w:rPr/>
            </w:pPr>
            <w:r>
              <w:rPr/>
              <w:t>Cost of goods sold</w:t>
            </w:r>
          </w:p>
        </w:tc>
        <w:tc>
          <w:tcPr>
            <w:tcW w:w="3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60,197</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60,197</w:t>
            </w:r>
          </w:p>
        </w:tc>
        <w:tc>
          <w:tcPr>
            <w:tcW w:w="118" w:type="dxa"/>
            <w:tcBorders/>
            <w:shd w:fill="CCEEFF" w:val="clear"/>
            <w:vAlign w:val="bottom"/>
          </w:tcPr>
          <w:p>
            <w:pPr>
              <w:pStyle w:val="TableContents"/>
              <w:spacing w:before="0" w:after="283"/>
              <w:rPr/>
            </w:pPr>
            <w:r>
              <w:rPr/>
              <w:t> </w:t>
            </w:r>
          </w:p>
        </w:tc>
      </w:tr>
      <w:tr>
        <w:trPr/>
        <w:tc>
          <w:tcPr>
            <w:tcW w:w="4902"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902" w:type="dxa"/>
            <w:tcBorders/>
            <w:shd w:fill="auto" w:val="clear"/>
            <w:vAlign w:val="bottom"/>
          </w:tcPr>
          <w:p>
            <w:pPr>
              <w:pStyle w:val="TableContents"/>
              <w:spacing w:before="0" w:after="0"/>
              <w:ind w:left="675" w:right="0" w:hanging="225"/>
              <w:rPr/>
            </w:pPr>
            <w:r>
              <w:rPr/>
              <w:t>Net revenues</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75,771</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45,362</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121,133</w:t>
            </w:r>
          </w:p>
        </w:tc>
        <w:tc>
          <w:tcPr>
            <w:tcW w:w="118" w:type="dxa"/>
            <w:tcBorders/>
            <w:shd w:fill="auto"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0"/>
              <w:ind w:left="225" w:right="0" w:hanging="225"/>
              <w:rPr/>
            </w:pPr>
            <w:r>
              <w:rPr/>
              <w:t> </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902" w:type="dxa"/>
            <w:tcBorders/>
            <w:shd w:fill="CCEEFF" w:val="clear"/>
            <w:vAlign w:val="bottom"/>
          </w:tcPr>
          <w:p>
            <w:pPr>
              <w:pStyle w:val="TableContents"/>
              <w:spacing w:before="0" w:after="0"/>
              <w:ind w:left="225" w:right="0" w:hanging="225"/>
              <w:rPr/>
            </w:pPr>
            <w:r>
              <w:rPr/>
              <w:t>Operating expenses:</w:t>
            </w:r>
          </w:p>
        </w:tc>
        <w:tc>
          <w:tcPr>
            <w:tcW w:w="3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0"/>
              <w:ind w:left="450" w:right="0" w:hanging="225"/>
              <w:rPr/>
            </w:pPr>
            <w:r>
              <w:rPr/>
              <w:t>Operations expense</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43,311</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19,181</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62,492</w:t>
            </w:r>
          </w:p>
        </w:tc>
        <w:tc>
          <w:tcPr>
            <w:tcW w:w="118" w:type="dxa"/>
            <w:tcBorders/>
            <w:shd w:fill="auto" w:val="clear"/>
            <w:vAlign w:val="bottom"/>
          </w:tcPr>
          <w:p>
            <w:pPr>
              <w:pStyle w:val="TableContents"/>
              <w:spacing w:before="0" w:after="283"/>
              <w:rPr/>
            </w:pPr>
            <w:r>
              <w:rPr/>
              <w:t> </w:t>
            </w:r>
          </w:p>
        </w:tc>
      </w:tr>
      <w:tr>
        <w:trPr/>
        <w:tc>
          <w:tcPr>
            <w:tcW w:w="4902" w:type="dxa"/>
            <w:tcBorders/>
            <w:shd w:fill="CCEEFF" w:val="clear"/>
            <w:vAlign w:val="bottom"/>
          </w:tcPr>
          <w:p>
            <w:pPr>
              <w:pStyle w:val="TableContents"/>
              <w:spacing w:before="0" w:after="0"/>
              <w:ind w:left="450" w:right="0" w:hanging="225"/>
              <w:rPr/>
            </w:pPr>
            <w:r>
              <w:rPr/>
              <w:t>Credit service bad debt</w:t>
            </w:r>
          </w:p>
        </w:tc>
        <w:tc>
          <w:tcPr>
            <w:tcW w:w="3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294</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7,312</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7,606</w:t>
            </w:r>
          </w:p>
        </w:tc>
        <w:tc>
          <w:tcPr>
            <w:tcW w:w="118" w:type="dxa"/>
            <w:tcBorders/>
            <w:shd w:fill="CCEEFF"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0"/>
              <w:ind w:left="450" w:right="0" w:hanging="225"/>
              <w:rPr/>
            </w:pPr>
            <w:r>
              <w:rPr/>
              <w:t>Payday loan bad debt</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206</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1,132</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1,338</w:t>
            </w:r>
          </w:p>
        </w:tc>
        <w:tc>
          <w:tcPr>
            <w:tcW w:w="118" w:type="dxa"/>
            <w:tcBorders/>
            <w:shd w:fill="auto" w:val="clear"/>
            <w:vAlign w:val="bottom"/>
          </w:tcPr>
          <w:p>
            <w:pPr>
              <w:pStyle w:val="TableContents"/>
              <w:spacing w:before="0" w:after="283"/>
              <w:rPr/>
            </w:pPr>
            <w:r>
              <w:rPr/>
              <w:t> </w:t>
            </w:r>
          </w:p>
        </w:tc>
      </w:tr>
      <w:tr>
        <w:trPr/>
        <w:tc>
          <w:tcPr>
            <w:tcW w:w="4902"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902" w:type="dxa"/>
            <w:tcBorders/>
            <w:shd w:fill="CCEEFF" w:val="clear"/>
            <w:vAlign w:val="bottom"/>
          </w:tcPr>
          <w:p>
            <w:pPr>
              <w:pStyle w:val="TableContents"/>
              <w:spacing w:before="0" w:after="0"/>
              <w:ind w:left="675" w:right="0" w:hanging="225"/>
              <w:rPr/>
            </w:pPr>
            <w:r>
              <w:rPr/>
              <w:t>Total operating expenses</w:t>
            </w:r>
          </w:p>
        </w:tc>
        <w:tc>
          <w:tcPr>
            <w:tcW w:w="3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43,811</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27,625</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71,436</w:t>
            </w:r>
          </w:p>
        </w:tc>
        <w:tc>
          <w:tcPr>
            <w:tcW w:w="118" w:type="dxa"/>
            <w:tcBorders/>
            <w:shd w:fill="CCEEFF" w:val="clear"/>
            <w:vAlign w:val="bottom"/>
          </w:tcPr>
          <w:p>
            <w:pPr>
              <w:pStyle w:val="TableContents"/>
              <w:spacing w:before="0" w:after="283"/>
              <w:rPr/>
            </w:pPr>
            <w:r>
              <w:rPr/>
              <w:t> </w:t>
            </w:r>
          </w:p>
        </w:tc>
      </w:tr>
      <w:tr>
        <w:trPr/>
        <w:tc>
          <w:tcPr>
            <w:tcW w:w="4902"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902" w:type="dxa"/>
            <w:tcBorders/>
            <w:shd w:fill="auto" w:val="clear"/>
            <w:vAlign w:val="bottom"/>
          </w:tcPr>
          <w:p>
            <w:pPr>
              <w:pStyle w:val="TableContents"/>
              <w:spacing w:before="0" w:after="0"/>
              <w:ind w:left="675" w:right="0" w:hanging="225"/>
              <w:rPr/>
            </w:pPr>
            <w:r>
              <w:rPr/>
              <w:t>Store operating income</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975" w:type="dxa"/>
            <w:tcBorders/>
            <w:shd w:fill="auto" w:val="clear"/>
            <w:vAlign w:val="bottom"/>
          </w:tcPr>
          <w:p>
            <w:pPr>
              <w:pStyle w:val="TableContents"/>
              <w:spacing w:before="0" w:after="283"/>
              <w:jc w:val="right"/>
              <w:rPr/>
            </w:pPr>
            <w:r>
              <w:rPr/>
              <w:t>31,960</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left"/>
              <w:rPr/>
            </w:pPr>
            <w:r>
              <w:rPr/>
              <w:t>$</w:t>
            </w:r>
          </w:p>
        </w:tc>
        <w:tc>
          <w:tcPr>
            <w:tcW w:w="1145" w:type="dxa"/>
            <w:tcBorders/>
            <w:shd w:fill="auto" w:val="clear"/>
            <w:vAlign w:val="bottom"/>
          </w:tcPr>
          <w:p>
            <w:pPr>
              <w:pStyle w:val="TableContents"/>
              <w:spacing w:before="0" w:after="283"/>
              <w:jc w:val="right"/>
              <w:rPr/>
            </w:pPr>
            <w:r>
              <w:rPr/>
              <w:t>17,737</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w:t>
            </w:r>
          </w:p>
        </w:tc>
        <w:tc>
          <w:tcPr>
            <w:tcW w:w="1102" w:type="dxa"/>
            <w:tcBorders/>
            <w:shd w:fill="auto" w:val="clear"/>
            <w:vAlign w:val="bottom"/>
          </w:tcPr>
          <w:p>
            <w:pPr>
              <w:pStyle w:val="TableContents"/>
              <w:spacing w:before="0" w:after="283"/>
              <w:jc w:val="right"/>
              <w:rPr/>
            </w:pPr>
            <w:r>
              <w:rPr/>
              <w:t>49,697</w:t>
            </w:r>
          </w:p>
        </w:tc>
        <w:tc>
          <w:tcPr>
            <w:tcW w:w="118" w:type="dxa"/>
            <w:tcBorders/>
            <w:shd w:fill="auto" w:val="clear"/>
            <w:vAlign w:val="bottom"/>
          </w:tcPr>
          <w:p>
            <w:pPr>
              <w:pStyle w:val="TableContents"/>
              <w:spacing w:before="0" w:after="283"/>
              <w:rPr/>
            </w:pPr>
            <w:r>
              <w:rPr/>
              <w:t> </w:t>
            </w:r>
          </w:p>
        </w:tc>
      </w:tr>
      <w:tr>
        <w:trPr/>
        <w:tc>
          <w:tcPr>
            <w:tcW w:w="4902"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1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902" w:type="dxa"/>
            <w:tcBorders/>
            <w:shd w:fill="auto" w:val="clear"/>
            <w:vAlign w:val="bottom"/>
          </w:tcPr>
          <w:p>
            <w:pPr>
              <w:pStyle w:val="TableContents"/>
              <w:spacing w:before="0" w:after="0"/>
              <w:ind w:left="225" w:right="0" w:hanging="225"/>
              <w:rPr/>
            </w:pPr>
            <w:r>
              <w:rPr/>
              <w:t> </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902" w:type="dxa"/>
            <w:tcBorders/>
            <w:shd w:fill="CCEEFF" w:val="clear"/>
            <w:vAlign w:val="bottom"/>
          </w:tcPr>
          <w:p>
            <w:pPr>
              <w:pStyle w:val="TableContents"/>
              <w:spacing w:before="0" w:after="0"/>
              <w:ind w:left="225" w:right="0" w:hanging="225"/>
              <w:rPr>
                <w:b/>
              </w:rPr>
            </w:pPr>
            <w:r>
              <w:rPr>
                <w:b/>
              </w:rPr>
              <w:t>Six Months Ended March 31, 2006:</w:t>
            </w:r>
          </w:p>
        </w:tc>
        <w:tc>
          <w:tcPr>
            <w:tcW w:w="3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0"/>
              <w:ind w:left="225" w:right="0" w:hanging="225"/>
              <w:rPr/>
            </w:pPr>
            <w:r>
              <w:rPr/>
              <w:t>Revenues:</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902" w:type="dxa"/>
            <w:tcBorders/>
            <w:shd w:fill="CCEEFF" w:val="clear"/>
            <w:vAlign w:val="bottom"/>
          </w:tcPr>
          <w:p>
            <w:pPr>
              <w:pStyle w:val="TableContents"/>
              <w:spacing w:before="0" w:after="0"/>
              <w:ind w:left="450" w:right="0" w:hanging="225"/>
              <w:rPr/>
            </w:pPr>
            <w:r>
              <w:rPr/>
              <w:t>Sales</w:t>
            </w:r>
          </w:p>
        </w:tc>
        <w:tc>
          <w:tcPr>
            <w:tcW w:w="3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975" w:type="dxa"/>
            <w:tcBorders/>
            <w:shd w:fill="CCEEFF" w:val="clear"/>
            <w:vAlign w:val="bottom"/>
          </w:tcPr>
          <w:p>
            <w:pPr>
              <w:pStyle w:val="TableContents"/>
              <w:spacing w:before="0" w:after="283"/>
              <w:jc w:val="right"/>
              <w:rPr/>
            </w:pPr>
            <w:r>
              <w:rPr/>
              <w:t>89,958</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w:t>
            </w:r>
          </w:p>
        </w:tc>
        <w:tc>
          <w:tcPr>
            <w:tcW w:w="1145"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left"/>
              <w:rPr/>
            </w:pPr>
            <w:r>
              <w:rPr/>
              <w:t>$</w:t>
            </w:r>
          </w:p>
        </w:tc>
        <w:tc>
          <w:tcPr>
            <w:tcW w:w="1102" w:type="dxa"/>
            <w:tcBorders/>
            <w:shd w:fill="CCEEFF" w:val="clear"/>
            <w:vAlign w:val="bottom"/>
          </w:tcPr>
          <w:p>
            <w:pPr>
              <w:pStyle w:val="TableContents"/>
              <w:spacing w:before="0" w:after="283"/>
              <w:jc w:val="right"/>
              <w:rPr/>
            </w:pPr>
            <w:r>
              <w:rPr/>
              <w:t>89,958</w:t>
            </w:r>
          </w:p>
        </w:tc>
        <w:tc>
          <w:tcPr>
            <w:tcW w:w="118" w:type="dxa"/>
            <w:tcBorders/>
            <w:shd w:fill="CCEEFF"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0"/>
              <w:ind w:left="450" w:right="0" w:hanging="225"/>
              <w:rPr/>
            </w:pPr>
            <w:r>
              <w:rPr/>
              <w:t>Pawn service charges</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31,967</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31,967</w:t>
            </w:r>
          </w:p>
        </w:tc>
        <w:tc>
          <w:tcPr>
            <w:tcW w:w="118" w:type="dxa"/>
            <w:tcBorders/>
            <w:shd w:fill="auto" w:val="clear"/>
            <w:vAlign w:val="bottom"/>
          </w:tcPr>
          <w:p>
            <w:pPr>
              <w:pStyle w:val="TableContents"/>
              <w:spacing w:before="0" w:after="283"/>
              <w:rPr/>
            </w:pPr>
            <w:r>
              <w:rPr/>
              <w:t> </w:t>
            </w:r>
          </w:p>
        </w:tc>
      </w:tr>
      <w:tr>
        <w:trPr/>
        <w:tc>
          <w:tcPr>
            <w:tcW w:w="4902" w:type="dxa"/>
            <w:tcBorders/>
            <w:shd w:fill="CCEEFF" w:val="clear"/>
            <w:vAlign w:val="bottom"/>
          </w:tcPr>
          <w:p>
            <w:pPr>
              <w:pStyle w:val="TableContents"/>
              <w:spacing w:before="0" w:after="0"/>
              <w:ind w:left="450" w:right="0" w:hanging="225"/>
              <w:rPr/>
            </w:pPr>
            <w:r>
              <w:rPr/>
              <w:t>Credit service fees</w:t>
            </w:r>
          </w:p>
        </w:tc>
        <w:tc>
          <w:tcPr>
            <w:tcW w:w="3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652</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29,221</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29,873</w:t>
            </w:r>
          </w:p>
        </w:tc>
        <w:tc>
          <w:tcPr>
            <w:tcW w:w="118" w:type="dxa"/>
            <w:tcBorders/>
            <w:shd w:fill="CCEEFF"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0"/>
              <w:ind w:left="450" w:right="0" w:hanging="225"/>
              <w:rPr/>
            </w:pPr>
            <w:r>
              <w:rPr/>
              <w:t>Payday loan fees</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749</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1,506</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2,255</w:t>
            </w:r>
          </w:p>
        </w:tc>
        <w:tc>
          <w:tcPr>
            <w:tcW w:w="118" w:type="dxa"/>
            <w:tcBorders/>
            <w:shd w:fill="auto" w:val="clear"/>
            <w:vAlign w:val="bottom"/>
          </w:tcPr>
          <w:p>
            <w:pPr>
              <w:pStyle w:val="TableContents"/>
              <w:spacing w:before="0" w:after="283"/>
              <w:rPr/>
            </w:pPr>
            <w:r>
              <w:rPr/>
              <w:t> </w:t>
            </w:r>
          </w:p>
        </w:tc>
      </w:tr>
      <w:tr>
        <w:trPr/>
        <w:tc>
          <w:tcPr>
            <w:tcW w:w="4902" w:type="dxa"/>
            <w:tcBorders/>
            <w:shd w:fill="CCEEFF" w:val="clear"/>
            <w:vAlign w:val="bottom"/>
          </w:tcPr>
          <w:p>
            <w:pPr>
              <w:pStyle w:val="TableContents"/>
              <w:spacing w:before="0" w:after="0"/>
              <w:ind w:left="450" w:right="0" w:hanging="225"/>
              <w:rPr/>
            </w:pPr>
            <w:r>
              <w:rPr/>
              <w:t>Other</w:t>
            </w:r>
          </w:p>
        </w:tc>
        <w:tc>
          <w:tcPr>
            <w:tcW w:w="3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658</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658</w:t>
            </w:r>
          </w:p>
        </w:tc>
        <w:tc>
          <w:tcPr>
            <w:tcW w:w="118" w:type="dxa"/>
            <w:tcBorders/>
            <w:shd w:fill="CCEEFF" w:val="clear"/>
            <w:vAlign w:val="bottom"/>
          </w:tcPr>
          <w:p>
            <w:pPr>
              <w:pStyle w:val="TableContents"/>
              <w:spacing w:before="0" w:after="283"/>
              <w:rPr/>
            </w:pPr>
            <w:r>
              <w:rPr/>
              <w:t> </w:t>
            </w:r>
          </w:p>
        </w:tc>
      </w:tr>
      <w:tr>
        <w:trPr/>
        <w:tc>
          <w:tcPr>
            <w:tcW w:w="4902"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902" w:type="dxa"/>
            <w:tcBorders/>
            <w:shd w:fill="auto" w:val="clear"/>
            <w:vAlign w:val="bottom"/>
          </w:tcPr>
          <w:p>
            <w:pPr>
              <w:pStyle w:val="TableContents"/>
              <w:spacing w:before="0" w:after="0"/>
              <w:ind w:left="675" w:right="0" w:hanging="225"/>
              <w:rPr/>
            </w:pPr>
            <w:r>
              <w:rPr/>
              <w:t>Total revenues</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123,984</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30,727</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154,711</w:t>
            </w:r>
          </w:p>
        </w:tc>
        <w:tc>
          <w:tcPr>
            <w:tcW w:w="118" w:type="dxa"/>
            <w:tcBorders/>
            <w:shd w:fill="auto"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0"/>
              <w:ind w:left="225" w:right="0" w:hanging="225"/>
              <w:rPr/>
            </w:pPr>
            <w:r>
              <w:rPr/>
              <w:t> </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902" w:type="dxa"/>
            <w:tcBorders/>
            <w:shd w:fill="CCEEFF" w:val="clear"/>
            <w:vAlign w:val="bottom"/>
          </w:tcPr>
          <w:p>
            <w:pPr>
              <w:pStyle w:val="TableContents"/>
              <w:spacing w:before="0" w:after="0"/>
              <w:ind w:left="225" w:right="0" w:hanging="225"/>
              <w:rPr/>
            </w:pPr>
            <w:r>
              <w:rPr/>
              <w:t>Cost of goods sold</w:t>
            </w:r>
          </w:p>
        </w:tc>
        <w:tc>
          <w:tcPr>
            <w:tcW w:w="3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53,998</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53,998</w:t>
            </w:r>
          </w:p>
        </w:tc>
        <w:tc>
          <w:tcPr>
            <w:tcW w:w="118" w:type="dxa"/>
            <w:tcBorders/>
            <w:shd w:fill="CCEEFF" w:val="clear"/>
            <w:vAlign w:val="bottom"/>
          </w:tcPr>
          <w:p>
            <w:pPr>
              <w:pStyle w:val="TableContents"/>
              <w:spacing w:before="0" w:after="283"/>
              <w:rPr/>
            </w:pPr>
            <w:r>
              <w:rPr/>
              <w:t> </w:t>
            </w:r>
          </w:p>
        </w:tc>
      </w:tr>
      <w:tr>
        <w:trPr/>
        <w:tc>
          <w:tcPr>
            <w:tcW w:w="4902"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902" w:type="dxa"/>
            <w:tcBorders/>
            <w:shd w:fill="auto" w:val="clear"/>
            <w:vAlign w:val="bottom"/>
          </w:tcPr>
          <w:p>
            <w:pPr>
              <w:pStyle w:val="TableContents"/>
              <w:spacing w:before="0" w:after="0"/>
              <w:ind w:left="675" w:right="0" w:hanging="225"/>
              <w:rPr/>
            </w:pPr>
            <w:r>
              <w:rPr/>
              <w:t>Net revenues</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69,986</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30,727</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100,713</w:t>
            </w:r>
          </w:p>
        </w:tc>
        <w:tc>
          <w:tcPr>
            <w:tcW w:w="118" w:type="dxa"/>
            <w:tcBorders/>
            <w:shd w:fill="auto"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0"/>
              <w:ind w:left="225" w:right="0" w:hanging="225"/>
              <w:rPr/>
            </w:pPr>
            <w:r>
              <w:rPr/>
              <w:t> </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902" w:type="dxa"/>
            <w:tcBorders/>
            <w:shd w:fill="CCEEFF" w:val="clear"/>
            <w:vAlign w:val="bottom"/>
          </w:tcPr>
          <w:p>
            <w:pPr>
              <w:pStyle w:val="TableContents"/>
              <w:spacing w:before="0" w:after="0"/>
              <w:ind w:left="225" w:right="0" w:hanging="225"/>
              <w:rPr/>
            </w:pPr>
            <w:r>
              <w:rPr/>
              <w:t>Operating expenses:</w:t>
            </w:r>
          </w:p>
        </w:tc>
        <w:tc>
          <w:tcPr>
            <w:tcW w:w="3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0"/>
              <w:ind w:left="450" w:right="0" w:hanging="225"/>
              <w:rPr/>
            </w:pPr>
            <w:r>
              <w:rPr/>
              <w:t>Operations expense</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42,656</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11,895</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54,551</w:t>
            </w:r>
          </w:p>
        </w:tc>
        <w:tc>
          <w:tcPr>
            <w:tcW w:w="118" w:type="dxa"/>
            <w:tcBorders/>
            <w:shd w:fill="auto" w:val="clear"/>
            <w:vAlign w:val="bottom"/>
          </w:tcPr>
          <w:p>
            <w:pPr>
              <w:pStyle w:val="TableContents"/>
              <w:spacing w:before="0" w:after="283"/>
              <w:rPr/>
            </w:pPr>
            <w:r>
              <w:rPr/>
              <w:t> </w:t>
            </w:r>
          </w:p>
        </w:tc>
      </w:tr>
      <w:tr>
        <w:trPr/>
        <w:tc>
          <w:tcPr>
            <w:tcW w:w="4902" w:type="dxa"/>
            <w:tcBorders/>
            <w:shd w:fill="CCEEFF" w:val="clear"/>
            <w:vAlign w:val="bottom"/>
          </w:tcPr>
          <w:p>
            <w:pPr>
              <w:pStyle w:val="TableContents"/>
              <w:spacing w:before="0" w:after="0"/>
              <w:ind w:left="450" w:right="0" w:hanging="225"/>
              <w:rPr/>
            </w:pPr>
            <w:r>
              <w:rPr/>
              <w:t>Credit service bad debt</w:t>
            </w:r>
          </w:p>
        </w:tc>
        <w:tc>
          <w:tcPr>
            <w:tcW w:w="3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225</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5,418</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5,643</w:t>
            </w:r>
          </w:p>
        </w:tc>
        <w:tc>
          <w:tcPr>
            <w:tcW w:w="118" w:type="dxa"/>
            <w:tcBorders/>
            <w:shd w:fill="CCEEFF" w:val="clear"/>
            <w:vAlign w:val="bottom"/>
          </w:tcPr>
          <w:p>
            <w:pPr>
              <w:pStyle w:val="TableContents"/>
              <w:spacing w:before="0" w:after="283"/>
              <w:rPr/>
            </w:pPr>
            <w:r>
              <w:rPr/>
              <w:t> </w:t>
            </w:r>
          </w:p>
        </w:tc>
      </w:tr>
      <w:tr>
        <w:trPr/>
        <w:tc>
          <w:tcPr>
            <w:tcW w:w="4902" w:type="dxa"/>
            <w:tcBorders/>
            <w:shd w:fill="auto" w:val="clear"/>
            <w:vAlign w:val="bottom"/>
          </w:tcPr>
          <w:p>
            <w:pPr>
              <w:pStyle w:val="TableContents"/>
              <w:spacing w:before="0" w:after="0"/>
              <w:ind w:left="450" w:right="0" w:hanging="225"/>
              <w:rPr/>
            </w:pPr>
            <w:r>
              <w:rPr/>
              <w:t>Payday loan bad debt</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297</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591</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888</w:t>
            </w:r>
          </w:p>
        </w:tc>
        <w:tc>
          <w:tcPr>
            <w:tcW w:w="118" w:type="dxa"/>
            <w:tcBorders/>
            <w:shd w:fill="auto" w:val="clear"/>
            <w:vAlign w:val="bottom"/>
          </w:tcPr>
          <w:p>
            <w:pPr>
              <w:pStyle w:val="TableContents"/>
              <w:spacing w:before="0" w:after="283"/>
              <w:rPr/>
            </w:pPr>
            <w:r>
              <w:rPr/>
              <w:t> </w:t>
            </w:r>
          </w:p>
        </w:tc>
      </w:tr>
      <w:tr>
        <w:trPr/>
        <w:tc>
          <w:tcPr>
            <w:tcW w:w="4902"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902" w:type="dxa"/>
            <w:tcBorders/>
            <w:shd w:fill="CCEEFF" w:val="clear"/>
            <w:vAlign w:val="bottom"/>
          </w:tcPr>
          <w:p>
            <w:pPr>
              <w:pStyle w:val="TableContents"/>
              <w:spacing w:before="0" w:after="0"/>
              <w:ind w:left="675" w:right="0" w:hanging="225"/>
              <w:rPr/>
            </w:pPr>
            <w:r>
              <w:rPr/>
              <w:t>Total operating expenses</w:t>
            </w:r>
          </w:p>
        </w:tc>
        <w:tc>
          <w:tcPr>
            <w:tcW w:w="37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43,178</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17,904</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61,082</w:t>
            </w:r>
          </w:p>
        </w:tc>
        <w:tc>
          <w:tcPr>
            <w:tcW w:w="118" w:type="dxa"/>
            <w:tcBorders/>
            <w:shd w:fill="CCEEFF" w:val="clear"/>
            <w:vAlign w:val="bottom"/>
          </w:tcPr>
          <w:p>
            <w:pPr>
              <w:pStyle w:val="TableContents"/>
              <w:spacing w:before="0" w:after="283"/>
              <w:rPr/>
            </w:pPr>
            <w:r>
              <w:rPr/>
              <w:t> </w:t>
            </w:r>
          </w:p>
        </w:tc>
      </w:tr>
      <w:tr>
        <w:trPr/>
        <w:tc>
          <w:tcPr>
            <w:tcW w:w="4902"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902" w:type="dxa"/>
            <w:tcBorders/>
            <w:shd w:fill="auto" w:val="clear"/>
            <w:vAlign w:val="bottom"/>
          </w:tcPr>
          <w:p>
            <w:pPr>
              <w:pStyle w:val="TableContents"/>
              <w:spacing w:before="0" w:after="0"/>
              <w:ind w:left="675" w:right="0" w:hanging="225"/>
              <w:rPr/>
            </w:pPr>
            <w:r>
              <w:rPr/>
              <w:t>Store operating income</w:t>
            </w:r>
          </w:p>
        </w:tc>
        <w:tc>
          <w:tcPr>
            <w:tcW w:w="37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975" w:type="dxa"/>
            <w:tcBorders/>
            <w:shd w:fill="auto" w:val="clear"/>
            <w:vAlign w:val="bottom"/>
          </w:tcPr>
          <w:p>
            <w:pPr>
              <w:pStyle w:val="TableContents"/>
              <w:spacing w:before="0" w:after="283"/>
              <w:jc w:val="right"/>
              <w:rPr/>
            </w:pPr>
            <w:r>
              <w:rPr/>
              <w:t>26,808</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left"/>
              <w:rPr/>
            </w:pPr>
            <w:r>
              <w:rPr/>
              <w:t>$</w:t>
            </w:r>
          </w:p>
        </w:tc>
        <w:tc>
          <w:tcPr>
            <w:tcW w:w="1145" w:type="dxa"/>
            <w:tcBorders/>
            <w:shd w:fill="auto" w:val="clear"/>
            <w:vAlign w:val="bottom"/>
          </w:tcPr>
          <w:p>
            <w:pPr>
              <w:pStyle w:val="TableContents"/>
              <w:spacing w:before="0" w:after="283"/>
              <w:jc w:val="right"/>
              <w:rPr/>
            </w:pPr>
            <w:r>
              <w:rPr/>
              <w:t>12,823</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w:t>
            </w:r>
          </w:p>
        </w:tc>
        <w:tc>
          <w:tcPr>
            <w:tcW w:w="1102" w:type="dxa"/>
            <w:tcBorders/>
            <w:shd w:fill="auto" w:val="clear"/>
            <w:vAlign w:val="bottom"/>
          </w:tcPr>
          <w:p>
            <w:pPr>
              <w:pStyle w:val="TableContents"/>
              <w:spacing w:before="0" w:after="283"/>
              <w:jc w:val="right"/>
              <w:rPr/>
            </w:pPr>
            <w:r>
              <w:rPr/>
              <w:t>39,631</w:t>
            </w:r>
          </w:p>
        </w:tc>
        <w:tc>
          <w:tcPr>
            <w:tcW w:w="118" w:type="dxa"/>
            <w:tcBorders/>
            <w:shd w:fill="auto" w:val="clear"/>
            <w:vAlign w:val="bottom"/>
          </w:tcPr>
          <w:p>
            <w:pPr>
              <w:pStyle w:val="TableContents"/>
              <w:spacing w:before="0" w:after="283"/>
              <w:rPr/>
            </w:pPr>
            <w:r>
              <w:rPr/>
              <w:t> </w:t>
            </w:r>
          </w:p>
        </w:tc>
      </w:tr>
      <w:tr>
        <w:trPr/>
        <w:tc>
          <w:tcPr>
            <w:tcW w:w="4902"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1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store operating income, as shown above, to our consolidated income before income taxes: </w:t>
      </w:r>
    </w:p>
    <w:tbl>
      <w:tblPr>
        <w:tblW w:w="5000" w:type="pct"/>
        <w:jc w:val="center"/>
        <w:tblInd w:w="0" w:type="dxa"/>
        <w:tblCellMar>
          <w:top w:w="0" w:type="dxa"/>
          <w:left w:w="0" w:type="dxa"/>
          <w:bottom w:w="0" w:type="dxa"/>
          <w:right w:w="0" w:type="dxa"/>
        </w:tblCellMar>
      </w:tblPr>
      <w:tblGrid>
        <w:gridCol w:w="4440"/>
        <w:gridCol w:w="395"/>
        <w:gridCol w:w="159"/>
        <w:gridCol w:w="787"/>
        <w:gridCol w:w="131"/>
        <w:gridCol w:w="399"/>
        <w:gridCol w:w="159"/>
        <w:gridCol w:w="788"/>
        <w:gridCol w:w="124"/>
        <w:gridCol w:w="395"/>
        <w:gridCol w:w="149"/>
        <w:gridCol w:w="738"/>
        <w:gridCol w:w="124"/>
        <w:gridCol w:w="395"/>
        <w:gridCol w:w="148"/>
        <w:gridCol w:w="738"/>
        <w:gridCol w:w="136"/>
      </w:tblGrid>
      <w:tr>
        <w:trPr/>
        <w:tc>
          <w:tcPr>
            <w:tcW w:w="444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423" w:type="dxa"/>
            <w:gridSpan w:val="6"/>
            <w:tcBorders/>
            <w:shd w:fill="auto" w:val="clear"/>
            <w:vAlign w:val="bottom"/>
          </w:tcPr>
          <w:p>
            <w:pPr>
              <w:pStyle w:val="TableContents"/>
              <w:spacing w:before="0" w:after="283"/>
              <w:jc w:val="center"/>
              <w:rPr/>
            </w:pPr>
            <w:r>
              <w:rPr/>
              <w:t>Three Months Ended</w:t>
            </w:r>
          </w:p>
        </w:tc>
        <w:tc>
          <w:tcPr>
            <w:tcW w:w="12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292" w:type="dxa"/>
            <w:gridSpan w:val="6"/>
            <w:tcBorders/>
            <w:shd w:fill="auto" w:val="clear"/>
            <w:vAlign w:val="bottom"/>
          </w:tcPr>
          <w:p>
            <w:pPr>
              <w:pStyle w:val="TableContents"/>
              <w:spacing w:before="0" w:after="283"/>
              <w:jc w:val="center"/>
              <w:rPr/>
            </w:pPr>
            <w:r>
              <w:rPr/>
              <w:t>Six Months Ended</w:t>
            </w:r>
          </w:p>
        </w:tc>
        <w:tc>
          <w:tcPr>
            <w:tcW w:w="136" w:type="dxa"/>
            <w:tcBorders/>
            <w:shd w:fill="auto"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423"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12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292" w:type="dxa"/>
            <w:gridSpan w:val="6"/>
            <w:tcBorders>
              <w:bottom w:val="single" w:sz="2" w:space="0" w:color="000000"/>
            </w:tcBorders>
            <w:shd w:fill="auto" w:val="clear"/>
            <w:tcMar>
              <w:bottom w:w="28" w:type="dxa"/>
            </w:tcMar>
            <w:vAlign w:val="bottom"/>
          </w:tcPr>
          <w:p>
            <w:pPr>
              <w:pStyle w:val="TableContents"/>
              <w:spacing w:before="0" w:after="283"/>
              <w:jc w:val="center"/>
              <w:rPr/>
            </w:pPr>
            <w:r>
              <w:rPr/>
              <w:t>March 31,</w:t>
            </w:r>
          </w:p>
        </w:tc>
        <w:tc>
          <w:tcPr>
            <w:tcW w:w="136" w:type="dxa"/>
            <w:tcBorders/>
            <w:shd w:fill="auto"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94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31"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94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2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88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2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88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36" w:type="dxa"/>
            <w:tcBorders/>
            <w:shd w:fill="auto"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5234" w:type="dxa"/>
            <w:gridSpan w:val="14"/>
            <w:tcBorders/>
            <w:shd w:fill="auto" w:val="clear"/>
            <w:vAlign w:val="bottom"/>
          </w:tcPr>
          <w:p>
            <w:pPr>
              <w:pStyle w:val="TableContents"/>
              <w:spacing w:before="0" w:after="283"/>
              <w:jc w:val="center"/>
              <w:rPr>
                <w:i/>
              </w:rPr>
            </w:pPr>
            <w:r>
              <w:rPr>
                <w:i/>
              </w:rPr>
              <w:t>(in thousands)</w:t>
            </w:r>
          </w:p>
        </w:tc>
        <w:tc>
          <w:tcPr>
            <w:tcW w:w="136" w:type="dxa"/>
            <w:tcBorders/>
            <w:shd w:fill="auto" w:val="clear"/>
            <w:vAlign w:val="bottom"/>
          </w:tcPr>
          <w:p>
            <w:pPr>
              <w:pStyle w:val="TableContents"/>
              <w:spacing w:before="0" w:after="283"/>
              <w:rPr/>
            </w:pPr>
            <w:r>
              <w:rPr/>
              <w:t> </w:t>
            </w:r>
          </w:p>
        </w:tc>
      </w:tr>
      <w:tr>
        <w:trPr/>
        <w:tc>
          <w:tcPr>
            <w:tcW w:w="4440" w:type="dxa"/>
            <w:tcBorders/>
            <w:shd w:fill="CCEEFF" w:val="clear"/>
            <w:vAlign w:val="bottom"/>
          </w:tcPr>
          <w:p>
            <w:pPr>
              <w:pStyle w:val="TableContents"/>
              <w:spacing w:before="0" w:after="0"/>
              <w:ind w:left="225" w:right="0" w:hanging="225"/>
              <w:rPr/>
            </w:pPr>
            <w:r>
              <w:rPr/>
              <w:t>Consolidated store operating income</w:t>
            </w:r>
          </w:p>
        </w:tc>
        <w:tc>
          <w:tcPr>
            <w:tcW w:w="39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25,249</w:t>
            </w:r>
          </w:p>
        </w:tc>
        <w:tc>
          <w:tcPr>
            <w:tcW w:w="131"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788" w:type="dxa"/>
            <w:tcBorders/>
            <w:shd w:fill="CCEEFF" w:val="clear"/>
            <w:vAlign w:val="bottom"/>
          </w:tcPr>
          <w:p>
            <w:pPr>
              <w:pStyle w:val="TableContents"/>
              <w:spacing w:before="0" w:after="283"/>
              <w:jc w:val="right"/>
              <w:rPr/>
            </w:pPr>
            <w:r>
              <w:rPr/>
              <w:t>20,371</w:t>
            </w:r>
          </w:p>
        </w:tc>
        <w:tc>
          <w:tcPr>
            <w:tcW w:w="124"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w:t>
            </w:r>
          </w:p>
        </w:tc>
        <w:tc>
          <w:tcPr>
            <w:tcW w:w="738" w:type="dxa"/>
            <w:tcBorders/>
            <w:shd w:fill="CCEEFF" w:val="clear"/>
            <w:vAlign w:val="bottom"/>
          </w:tcPr>
          <w:p>
            <w:pPr>
              <w:pStyle w:val="TableContents"/>
              <w:spacing w:before="0" w:after="283"/>
              <w:jc w:val="right"/>
              <w:rPr/>
            </w:pPr>
            <w:r>
              <w:rPr/>
              <w:t>49,697</w:t>
            </w:r>
          </w:p>
        </w:tc>
        <w:tc>
          <w:tcPr>
            <w:tcW w:w="124"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738" w:type="dxa"/>
            <w:tcBorders/>
            <w:shd w:fill="CCEEFF" w:val="clear"/>
            <w:vAlign w:val="bottom"/>
          </w:tcPr>
          <w:p>
            <w:pPr>
              <w:pStyle w:val="TableContents"/>
              <w:spacing w:before="0" w:after="283"/>
              <w:jc w:val="right"/>
              <w:rPr/>
            </w:pPr>
            <w:r>
              <w:rPr/>
              <w:t>39,631</w:t>
            </w:r>
          </w:p>
        </w:tc>
        <w:tc>
          <w:tcPr>
            <w:tcW w:w="136" w:type="dxa"/>
            <w:tcBorders/>
            <w:shd w:fill="CCEEFF"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0"/>
              <w:ind w:left="225" w:right="0" w:hanging="225"/>
              <w:rPr/>
            </w:pPr>
            <w:r>
              <w:rPr/>
              <w:t>Depreciation and amortization</w:t>
            </w:r>
          </w:p>
        </w:tc>
        <w:tc>
          <w:tcPr>
            <w:tcW w:w="39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2,401</w:t>
            </w:r>
          </w:p>
        </w:tc>
        <w:tc>
          <w:tcPr>
            <w:tcW w:w="131"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2,136</w:t>
            </w:r>
          </w:p>
        </w:tc>
        <w:tc>
          <w:tcPr>
            <w:tcW w:w="12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4,699</w:t>
            </w:r>
          </w:p>
        </w:tc>
        <w:tc>
          <w:tcPr>
            <w:tcW w:w="12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4,259</w:t>
            </w:r>
          </w:p>
        </w:tc>
        <w:tc>
          <w:tcPr>
            <w:tcW w:w="136" w:type="dxa"/>
            <w:tcBorders/>
            <w:shd w:fill="auto" w:val="clear"/>
            <w:vAlign w:val="bottom"/>
          </w:tcPr>
          <w:p>
            <w:pPr>
              <w:pStyle w:val="TableContents"/>
              <w:spacing w:before="0" w:after="283"/>
              <w:rPr/>
            </w:pPr>
            <w:r>
              <w:rPr/>
              <w:t> </w:t>
            </w:r>
          </w:p>
        </w:tc>
      </w:tr>
      <w:tr>
        <w:trPr/>
        <w:tc>
          <w:tcPr>
            <w:tcW w:w="4440" w:type="dxa"/>
            <w:tcBorders/>
            <w:shd w:fill="CCEEFF" w:val="clear"/>
            <w:vAlign w:val="bottom"/>
          </w:tcPr>
          <w:p>
            <w:pPr>
              <w:pStyle w:val="TableContents"/>
              <w:spacing w:before="0" w:after="0"/>
              <w:ind w:left="225" w:right="0" w:hanging="225"/>
              <w:rPr/>
            </w:pPr>
            <w:r>
              <w:rPr/>
              <w:t>Administrative expenses</w:t>
            </w:r>
          </w:p>
        </w:tc>
        <w:tc>
          <w:tcPr>
            <w:tcW w:w="39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7,968</w:t>
            </w:r>
          </w:p>
        </w:tc>
        <w:tc>
          <w:tcPr>
            <w:tcW w:w="131"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6,695</w:t>
            </w:r>
          </w:p>
        </w:tc>
        <w:tc>
          <w:tcPr>
            <w:tcW w:w="124"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15,495</w:t>
            </w:r>
          </w:p>
        </w:tc>
        <w:tc>
          <w:tcPr>
            <w:tcW w:w="124"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13,517</w:t>
            </w:r>
          </w:p>
        </w:tc>
        <w:tc>
          <w:tcPr>
            <w:tcW w:w="136" w:type="dxa"/>
            <w:tcBorders/>
            <w:shd w:fill="CCEEFF"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0"/>
              <w:ind w:left="225" w:right="0" w:hanging="225"/>
              <w:rPr/>
            </w:pPr>
            <w:r>
              <w:rPr/>
              <w:t>Interest income</w:t>
            </w:r>
          </w:p>
        </w:tc>
        <w:tc>
          <w:tcPr>
            <w:tcW w:w="39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787" w:type="dxa"/>
            <w:tcBorders/>
            <w:shd w:fill="auto" w:val="clear"/>
            <w:vAlign w:val="bottom"/>
          </w:tcPr>
          <w:p>
            <w:pPr>
              <w:pStyle w:val="TableContents"/>
              <w:spacing w:before="0" w:after="283"/>
              <w:jc w:val="right"/>
              <w:rPr/>
            </w:pPr>
            <w:r>
              <w:rPr/>
              <w:t>(567</w:t>
            </w:r>
          </w:p>
        </w:tc>
        <w:tc>
          <w:tcPr>
            <w:tcW w:w="131" w:type="dxa"/>
            <w:tcBorders/>
            <w:shd w:fill="auto" w:val="clear"/>
            <w:vAlign w:val="bottom"/>
          </w:tcPr>
          <w:p>
            <w:pPr>
              <w:pStyle w:val="TableContents"/>
              <w:spacing w:before="0" w:after="283"/>
              <w:rPr/>
            </w:pPr>
            <w:r>
              <w:rPr/>
              <w:t>)</w:t>
            </w:r>
          </w:p>
        </w:tc>
        <w:tc>
          <w:tcPr>
            <w:tcW w:w="399"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(90</w:t>
            </w:r>
          </w:p>
        </w:tc>
        <w:tc>
          <w:tcPr>
            <w:tcW w:w="124" w:type="dxa"/>
            <w:tcBorders/>
            <w:shd w:fill="auto" w:val="clear"/>
            <w:vAlign w:val="bottom"/>
          </w:tcPr>
          <w:p>
            <w:pPr>
              <w:pStyle w:val="TableContents"/>
              <w:spacing w:before="0" w:after="283"/>
              <w:rPr/>
            </w:pPr>
            <w:r>
              <w:rPr/>
              <w:t>)</w:t>
            </w:r>
          </w:p>
        </w:tc>
        <w:tc>
          <w:tcPr>
            <w:tcW w:w="3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38" w:type="dxa"/>
            <w:tcBorders/>
            <w:shd w:fill="auto" w:val="clear"/>
            <w:vAlign w:val="bottom"/>
          </w:tcPr>
          <w:p>
            <w:pPr>
              <w:pStyle w:val="TableContents"/>
              <w:spacing w:before="0" w:after="283"/>
              <w:jc w:val="right"/>
              <w:rPr/>
            </w:pPr>
            <w:r>
              <w:rPr/>
              <w:t>(881</w:t>
            </w:r>
          </w:p>
        </w:tc>
        <w:tc>
          <w:tcPr>
            <w:tcW w:w="124" w:type="dxa"/>
            <w:tcBorders/>
            <w:shd w:fill="auto" w:val="clear"/>
            <w:vAlign w:val="bottom"/>
          </w:tcPr>
          <w:p>
            <w:pPr>
              <w:pStyle w:val="TableContents"/>
              <w:spacing w:before="0" w:after="283"/>
              <w:rPr/>
            </w:pPr>
            <w:r>
              <w:rPr/>
              <w:t>)</w:t>
            </w:r>
          </w:p>
        </w:tc>
        <w:tc>
          <w:tcPr>
            <w:tcW w:w="39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738" w:type="dxa"/>
            <w:tcBorders/>
            <w:shd w:fill="auto" w:val="clear"/>
            <w:vAlign w:val="bottom"/>
          </w:tcPr>
          <w:p>
            <w:pPr>
              <w:pStyle w:val="TableContents"/>
              <w:spacing w:before="0" w:after="283"/>
              <w:jc w:val="right"/>
              <w:rPr/>
            </w:pPr>
            <w:r>
              <w:rPr/>
              <w:t>(90</w:t>
            </w:r>
          </w:p>
        </w:tc>
        <w:tc>
          <w:tcPr>
            <w:tcW w:w="136" w:type="dxa"/>
            <w:tcBorders/>
            <w:shd w:fill="auto" w:val="clear"/>
            <w:vAlign w:val="bottom"/>
          </w:tcPr>
          <w:p>
            <w:pPr>
              <w:pStyle w:val="TableContents"/>
              <w:spacing w:before="0" w:after="283"/>
              <w:rPr/>
            </w:pPr>
            <w:r>
              <w:rPr/>
              <w:t>)</w:t>
            </w:r>
          </w:p>
        </w:tc>
      </w:tr>
      <w:tr>
        <w:trPr/>
        <w:tc>
          <w:tcPr>
            <w:tcW w:w="4440" w:type="dxa"/>
            <w:tcBorders/>
            <w:shd w:fill="CCEEFF" w:val="clear"/>
            <w:vAlign w:val="bottom"/>
          </w:tcPr>
          <w:p>
            <w:pPr>
              <w:pStyle w:val="TableContents"/>
              <w:spacing w:before="0" w:after="0"/>
              <w:ind w:left="225" w:right="0" w:hanging="225"/>
              <w:rPr/>
            </w:pPr>
            <w:r>
              <w:rPr/>
              <w:t>Interest expense</w:t>
            </w:r>
          </w:p>
        </w:tc>
        <w:tc>
          <w:tcPr>
            <w:tcW w:w="39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83</w:t>
            </w:r>
          </w:p>
        </w:tc>
        <w:tc>
          <w:tcPr>
            <w:tcW w:w="131"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131</w:t>
            </w:r>
          </w:p>
        </w:tc>
        <w:tc>
          <w:tcPr>
            <w:tcW w:w="124"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147</w:t>
            </w:r>
          </w:p>
        </w:tc>
        <w:tc>
          <w:tcPr>
            <w:tcW w:w="124"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353</w:t>
            </w:r>
          </w:p>
        </w:tc>
        <w:tc>
          <w:tcPr>
            <w:tcW w:w="136" w:type="dxa"/>
            <w:tcBorders/>
            <w:shd w:fill="CCEEFF"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0"/>
              <w:ind w:left="225" w:right="0" w:hanging="225"/>
              <w:rPr/>
            </w:pPr>
            <w:r>
              <w:rPr/>
              <w:t>Equity in net income of unconsolidated affiliate</w:t>
            </w:r>
          </w:p>
        </w:tc>
        <w:tc>
          <w:tcPr>
            <w:tcW w:w="39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787" w:type="dxa"/>
            <w:tcBorders/>
            <w:shd w:fill="auto" w:val="clear"/>
            <w:vAlign w:val="bottom"/>
          </w:tcPr>
          <w:p>
            <w:pPr>
              <w:pStyle w:val="TableContents"/>
              <w:spacing w:before="0" w:after="283"/>
              <w:jc w:val="right"/>
              <w:rPr/>
            </w:pPr>
            <w:r>
              <w:rPr/>
              <w:t>(820</w:t>
            </w:r>
          </w:p>
        </w:tc>
        <w:tc>
          <w:tcPr>
            <w:tcW w:w="131" w:type="dxa"/>
            <w:tcBorders/>
            <w:shd w:fill="auto" w:val="clear"/>
            <w:vAlign w:val="bottom"/>
          </w:tcPr>
          <w:p>
            <w:pPr>
              <w:pStyle w:val="TableContents"/>
              <w:spacing w:before="0" w:after="283"/>
              <w:rPr/>
            </w:pPr>
            <w:r>
              <w:rPr/>
              <w:t>)</w:t>
            </w:r>
          </w:p>
        </w:tc>
        <w:tc>
          <w:tcPr>
            <w:tcW w:w="399"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(673</w:t>
            </w:r>
          </w:p>
        </w:tc>
        <w:tc>
          <w:tcPr>
            <w:tcW w:w="124" w:type="dxa"/>
            <w:tcBorders/>
            <w:shd w:fill="auto" w:val="clear"/>
            <w:vAlign w:val="bottom"/>
          </w:tcPr>
          <w:p>
            <w:pPr>
              <w:pStyle w:val="TableContents"/>
              <w:spacing w:before="0" w:after="283"/>
              <w:rPr/>
            </w:pPr>
            <w:r>
              <w:rPr/>
              <w:t>)</w:t>
            </w:r>
          </w:p>
        </w:tc>
        <w:tc>
          <w:tcPr>
            <w:tcW w:w="3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38" w:type="dxa"/>
            <w:tcBorders/>
            <w:shd w:fill="auto" w:val="clear"/>
            <w:vAlign w:val="bottom"/>
          </w:tcPr>
          <w:p>
            <w:pPr>
              <w:pStyle w:val="TableContents"/>
              <w:spacing w:before="0" w:after="283"/>
              <w:jc w:val="right"/>
              <w:rPr/>
            </w:pPr>
            <w:r>
              <w:rPr/>
              <w:t>(1,465</w:t>
            </w:r>
          </w:p>
        </w:tc>
        <w:tc>
          <w:tcPr>
            <w:tcW w:w="124" w:type="dxa"/>
            <w:tcBorders/>
            <w:shd w:fill="auto" w:val="clear"/>
            <w:vAlign w:val="bottom"/>
          </w:tcPr>
          <w:p>
            <w:pPr>
              <w:pStyle w:val="TableContents"/>
              <w:spacing w:before="0" w:after="283"/>
              <w:rPr/>
            </w:pPr>
            <w:r>
              <w:rPr/>
              <w:t>)</w:t>
            </w:r>
          </w:p>
        </w:tc>
        <w:tc>
          <w:tcPr>
            <w:tcW w:w="39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738" w:type="dxa"/>
            <w:tcBorders/>
            <w:shd w:fill="auto" w:val="clear"/>
            <w:vAlign w:val="bottom"/>
          </w:tcPr>
          <w:p>
            <w:pPr>
              <w:pStyle w:val="TableContents"/>
              <w:spacing w:before="0" w:after="283"/>
              <w:jc w:val="right"/>
              <w:rPr/>
            </w:pPr>
            <w:r>
              <w:rPr/>
              <w:t>(1,188</w:t>
            </w:r>
          </w:p>
        </w:tc>
        <w:tc>
          <w:tcPr>
            <w:tcW w:w="136" w:type="dxa"/>
            <w:tcBorders/>
            <w:shd w:fill="auto" w:val="clear"/>
            <w:vAlign w:val="bottom"/>
          </w:tcPr>
          <w:p>
            <w:pPr>
              <w:pStyle w:val="TableContents"/>
              <w:spacing w:before="0" w:after="283"/>
              <w:rPr/>
            </w:pPr>
            <w:r>
              <w:rPr/>
              <w:t>)</w:t>
            </w:r>
          </w:p>
        </w:tc>
      </w:tr>
      <w:tr>
        <w:trPr/>
        <w:tc>
          <w:tcPr>
            <w:tcW w:w="4440" w:type="dxa"/>
            <w:tcBorders/>
            <w:shd w:fill="CCEEFF" w:val="clear"/>
            <w:vAlign w:val="bottom"/>
          </w:tcPr>
          <w:p>
            <w:pPr>
              <w:pStyle w:val="TableContents"/>
              <w:spacing w:before="0" w:after="0"/>
              <w:ind w:left="225" w:right="0" w:hanging="225"/>
              <w:rPr/>
            </w:pPr>
            <w:r>
              <w:rPr/>
              <w:t>Loss on sale / disposal of assets</w:t>
            </w:r>
          </w:p>
        </w:tc>
        <w:tc>
          <w:tcPr>
            <w:tcW w:w="39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pPr>
            <w:r>
              <w:rPr/>
              <w:t>23</w:t>
            </w:r>
          </w:p>
        </w:tc>
        <w:tc>
          <w:tcPr>
            <w:tcW w:w="124"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24</w:t>
            </w:r>
          </w:p>
        </w:tc>
        <w:tc>
          <w:tcPr>
            <w:tcW w:w="124"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8</w:t>
            </w:r>
          </w:p>
        </w:tc>
        <w:tc>
          <w:tcPr>
            <w:tcW w:w="136" w:type="dxa"/>
            <w:tcBorders/>
            <w:shd w:fill="CCEEFF" w:val="clear"/>
            <w:vAlign w:val="bottom"/>
          </w:tcPr>
          <w:p>
            <w:pPr>
              <w:pStyle w:val="TableContents"/>
              <w:spacing w:before="0" w:after="283"/>
              <w:rPr/>
            </w:pPr>
            <w:r>
              <w:rPr/>
              <w:t> </w:t>
            </w:r>
          </w:p>
        </w:tc>
      </w:tr>
      <w:tr>
        <w:trPr/>
        <w:tc>
          <w:tcPr>
            <w:tcW w:w="4440" w:type="dxa"/>
            <w:tcBorders/>
            <w:shd w:fill="auto" w:val="clear"/>
            <w:vAlign w:val="center"/>
          </w:tcPr>
          <w:p>
            <w:pPr>
              <w:pStyle w:val="TableContents"/>
              <w:spacing w:before="0" w:after="0"/>
              <w:ind w:left="225" w:right="0" w:hanging="225"/>
              <w:rPr/>
            </w:pPr>
            <w:r>
              <w:rPr/>
              <w:t> </w:t>
            </w:r>
          </w:p>
        </w:tc>
        <w:tc>
          <w:tcPr>
            <w:tcW w:w="395" w:type="dxa"/>
            <w:tcBorders/>
            <w:shd w:fill="auto" w:val="clear"/>
            <w:vAlign w:val="center"/>
          </w:tcPr>
          <w:p>
            <w:pPr>
              <w:pStyle w:val="TableContents"/>
              <w:spacing w:before="0" w:after="283"/>
              <w:rPr/>
            </w:pPr>
            <w:r>
              <w:rPr/>
              <w:t> </w:t>
            </w:r>
          </w:p>
        </w:tc>
        <w:tc>
          <w:tcPr>
            <w:tcW w:w="9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8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8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4440" w:type="dxa"/>
            <w:tcBorders/>
            <w:shd w:fill="auto" w:val="clear"/>
            <w:vAlign w:val="bottom"/>
          </w:tcPr>
          <w:p>
            <w:pPr>
              <w:pStyle w:val="TableContents"/>
              <w:spacing w:before="0" w:after="0"/>
              <w:ind w:left="225" w:right="0" w:hanging="225"/>
              <w:rPr/>
            </w:pPr>
            <w:r>
              <w:rPr/>
              <w:t>Consolidated income before income taxes</w:t>
            </w:r>
          </w:p>
        </w:tc>
        <w:tc>
          <w:tcPr>
            <w:tcW w:w="39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16,184</w:t>
            </w:r>
          </w:p>
        </w:tc>
        <w:tc>
          <w:tcPr>
            <w:tcW w:w="131"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788" w:type="dxa"/>
            <w:tcBorders/>
            <w:shd w:fill="auto" w:val="clear"/>
            <w:vAlign w:val="bottom"/>
          </w:tcPr>
          <w:p>
            <w:pPr>
              <w:pStyle w:val="TableContents"/>
              <w:spacing w:before="0" w:after="283"/>
              <w:jc w:val="right"/>
              <w:rPr/>
            </w:pPr>
            <w:r>
              <w:rPr/>
              <w:t>12,149</w:t>
            </w:r>
          </w:p>
        </w:tc>
        <w:tc>
          <w:tcPr>
            <w:tcW w:w="12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w:t>
            </w:r>
          </w:p>
        </w:tc>
        <w:tc>
          <w:tcPr>
            <w:tcW w:w="738" w:type="dxa"/>
            <w:tcBorders/>
            <w:shd w:fill="auto" w:val="clear"/>
            <w:vAlign w:val="bottom"/>
          </w:tcPr>
          <w:p>
            <w:pPr>
              <w:pStyle w:val="TableContents"/>
              <w:spacing w:before="0" w:after="283"/>
              <w:jc w:val="right"/>
              <w:rPr/>
            </w:pPr>
            <w:r>
              <w:rPr/>
              <w:t>31,678</w:t>
            </w:r>
          </w:p>
        </w:tc>
        <w:tc>
          <w:tcPr>
            <w:tcW w:w="12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738" w:type="dxa"/>
            <w:tcBorders/>
            <w:shd w:fill="auto" w:val="clear"/>
            <w:vAlign w:val="bottom"/>
          </w:tcPr>
          <w:p>
            <w:pPr>
              <w:pStyle w:val="TableContents"/>
              <w:spacing w:before="0" w:after="283"/>
              <w:jc w:val="right"/>
              <w:rPr/>
            </w:pPr>
            <w:r>
              <w:rPr/>
              <w:t>22,772</w:t>
            </w:r>
          </w:p>
        </w:tc>
        <w:tc>
          <w:tcPr>
            <w:tcW w:w="136" w:type="dxa"/>
            <w:tcBorders/>
            <w:shd w:fill="auto" w:val="clear"/>
            <w:vAlign w:val="bottom"/>
          </w:tcPr>
          <w:p>
            <w:pPr>
              <w:pStyle w:val="TableContents"/>
              <w:spacing w:before="0" w:after="283"/>
              <w:rPr/>
            </w:pPr>
            <w:r>
              <w:rPr/>
              <w:t> </w:t>
            </w:r>
          </w:p>
        </w:tc>
      </w:tr>
      <w:tr>
        <w:trPr/>
        <w:tc>
          <w:tcPr>
            <w:tcW w:w="4440" w:type="dxa"/>
            <w:tcBorders/>
            <w:shd w:fill="auto" w:val="clear"/>
            <w:vAlign w:val="center"/>
          </w:tcPr>
          <w:p>
            <w:pPr>
              <w:pStyle w:val="TableContents"/>
              <w:spacing w:before="0" w:after="0"/>
              <w:ind w:left="225" w:right="0" w:hanging="225"/>
              <w:rPr/>
            </w:pPr>
            <w:r>
              <w:rPr/>
              <w:t> </w:t>
            </w:r>
          </w:p>
        </w:tc>
        <w:tc>
          <w:tcPr>
            <w:tcW w:w="395" w:type="dxa"/>
            <w:tcBorders/>
            <w:shd w:fill="auto" w:val="clear"/>
            <w:vAlign w:val="center"/>
          </w:tcPr>
          <w:p>
            <w:pPr>
              <w:pStyle w:val="TableContents"/>
              <w:spacing w:before="0" w:after="283"/>
              <w:rPr/>
            </w:pPr>
            <w:r>
              <w:rPr/>
              <w:t> </w:t>
            </w:r>
          </w:p>
        </w:tc>
        <w:tc>
          <w:tcPr>
            <w:tcW w:w="9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8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8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separately identified segment assets: </w:t>
      </w:r>
    </w:p>
    <w:tbl>
      <w:tblPr>
        <w:tblW w:w="5000" w:type="pct"/>
        <w:jc w:val="center"/>
        <w:tblInd w:w="0" w:type="dxa"/>
        <w:tblCellMar>
          <w:top w:w="0" w:type="dxa"/>
          <w:left w:w="0" w:type="dxa"/>
          <w:bottom w:w="0" w:type="dxa"/>
          <w:right w:w="0" w:type="dxa"/>
        </w:tblCellMar>
      </w:tblPr>
      <w:tblGrid>
        <w:gridCol w:w="5086"/>
        <w:gridCol w:w="370"/>
        <w:gridCol w:w="191"/>
        <w:gridCol w:w="947"/>
        <w:gridCol w:w="107"/>
        <w:gridCol w:w="370"/>
        <w:gridCol w:w="212"/>
        <w:gridCol w:w="1043"/>
        <w:gridCol w:w="107"/>
        <w:gridCol w:w="370"/>
        <w:gridCol w:w="217"/>
        <w:gridCol w:w="1070"/>
        <w:gridCol w:w="115"/>
      </w:tblGrid>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jc w:val="center"/>
              <w:rPr/>
            </w:pPr>
            <w:r>
              <w:rPr/>
              <w:t>EZPAWN</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283"/>
              <w:jc w:val="center"/>
              <w:rPr/>
            </w:pPr>
            <w:r>
              <w:rPr/>
              <w:t>EZMONEY</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87" w:type="dxa"/>
            <w:gridSpan w:val="2"/>
            <w:tcBorders/>
            <w:shd w:fill="auto" w:val="clear"/>
            <w:vAlign w:val="bottom"/>
          </w:tcPr>
          <w:p>
            <w:pPr>
              <w:pStyle w:val="TableContents"/>
              <w:spacing w:before="0" w:after="283"/>
              <w:jc w:val="center"/>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138"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87"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4634" w:type="dxa"/>
            <w:gridSpan w:val="10"/>
            <w:tcBorders/>
            <w:shd w:fill="auto" w:val="clear"/>
            <w:vAlign w:val="bottom"/>
          </w:tcPr>
          <w:p>
            <w:pPr>
              <w:pStyle w:val="TableContents"/>
              <w:spacing w:before="0" w:after="283"/>
              <w:jc w:val="center"/>
              <w:rPr>
                <w:i/>
              </w:rPr>
            </w:pPr>
            <w:r>
              <w:rPr>
                <w:i/>
              </w:rPr>
              <w:t>(in thousands)</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b/>
              </w:rPr>
            </w:pPr>
            <w:r>
              <w:rPr>
                <w:b/>
              </w:rPr>
              <w:t>Assets at March 31, 2007:</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Pawn loans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43,109</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070" w:type="dxa"/>
            <w:tcBorders/>
            <w:shd w:fill="auto" w:val="clear"/>
            <w:vAlign w:val="bottom"/>
          </w:tcPr>
          <w:p>
            <w:pPr>
              <w:pStyle w:val="TableContents"/>
              <w:spacing w:before="0" w:after="283"/>
              <w:jc w:val="right"/>
              <w:rPr/>
            </w:pPr>
            <w:r>
              <w:rPr/>
              <w:t>43,109</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450" w:right="0" w:hanging="225"/>
              <w:rPr/>
            </w:pPr>
            <w:r>
              <w:rPr/>
              <w:t>Payday loans, net</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465</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2,849</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3,314</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Inventory, net</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28,649</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28,649</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675" w:right="0" w:hanging="225"/>
              <w:rPr/>
            </w:pPr>
            <w:r>
              <w:rPr/>
              <w:t>Total separately identified recorded segment assets</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72,223</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2,849</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w:t>
            </w:r>
          </w:p>
        </w:tc>
        <w:tc>
          <w:tcPr>
            <w:tcW w:w="1070" w:type="dxa"/>
            <w:tcBorders/>
            <w:shd w:fill="CCEEFF" w:val="clear"/>
            <w:vAlign w:val="bottom"/>
          </w:tcPr>
          <w:p>
            <w:pPr>
              <w:pStyle w:val="TableContents"/>
              <w:spacing w:before="0" w:after="283"/>
              <w:jc w:val="right"/>
              <w:rPr/>
            </w:pPr>
            <w:r>
              <w:rPr/>
              <w:t>75,072</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auto" w:val="clear"/>
            <w:vAlign w:val="bottom"/>
          </w:tcPr>
          <w:p>
            <w:pPr>
              <w:pStyle w:val="TableContents"/>
              <w:spacing w:before="0" w:after="0"/>
              <w:ind w:left="675" w:right="0" w:hanging="225"/>
              <w:rPr/>
            </w:pPr>
            <w:r>
              <w:rPr/>
              <w:t>Brokered loans outstanding from unaffiliated lenders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411</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16,474</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070" w:type="dxa"/>
            <w:tcBorders/>
            <w:shd w:fill="auto" w:val="clear"/>
            <w:vAlign w:val="bottom"/>
          </w:tcPr>
          <w:p>
            <w:pPr>
              <w:pStyle w:val="TableContents"/>
              <w:spacing w:before="0" w:after="283"/>
              <w:jc w:val="right"/>
              <w:rPr/>
            </w:pPr>
            <w:r>
              <w:rPr/>
              <w:t>16,885</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b/>
              </w:rPr>
            </w:pPr>
            <w:r>
              <w:rPr>
                <w:b/>
              </w:rPr>
              <w:t>Assets at March 31, 2006:</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Pawn loans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39,044</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070" w:type="dxa"/>
            <w:tcBorders/>
            <w:shd w:fill="auto" w:val="clear"/>
            <w:vAlign w:val="bottom"/>
          </w:tcPr>
          <w:p>
            <w:pPr>
              <w:pStyle w:val="TableContents"/>
              <w:spacing w:before="0" w:after="283"/>
              <w:jc w:val="right"/>
              <w:rPr/>
            </w:pPr>
            <w:r>
              <w:rPr/>
              <w:t>39,044</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450" w:right="0" w:hanging="225"/>
              <w:rPr/>
            </w:pPr>
            <w:r>
              <w:rPr/>
              <w:t>Payday loans, net</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410</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1,097</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1,507</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Inventory, net</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30,764</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30,764</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675" w:right="0" w:hanging="225"/>
              <w:rPr/>
            </w:pPr>
            <w:r>
              <w:rPr/>
              <w:t>Total separately identified recorded segment assets</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70,218</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1,097</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w:t>
            </w:r>
          </w:p>
        </w:tc>
        <w:tc>
          <w:tcPr>
            <w:tcW w:w="1070" w:type="dxa"/>
            <w:tcBorders/>
            <w:shd w:fill="CCEEFF" w:val="clear"/>
            <w:vAlign w:val="bottom"/>
          </w:tcPr>
          <w:p>
            <w:pPr>
              <w:pStyle w:val="TableContents"/>
              <w:spacing w:before="0" w:after="283"/>
              <w:jc w:val="right"/>
              <w:rPr/>
            </w:pPr>
            <w:r>
              <w:rPr/>
              <w:t>71,315</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auto" w:val="clear"/>
            <w:vAlign w:val="bottom"/>
          </w:tcPr>
          <w:p>
            <w:pPr>
              <w:pStyle w:val="TableContents"/>
              <w:spacing w:before="0" w:after="0"/>
              <w:ind w:left="675" w:right="0" w:hanging="225"/>
              <w:rPr/>
            </w:pPr>
            <w:r>
              <w:rPr/>
              <w:t>Brokered loans outstanding from unaffiliated lenders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355</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11,685</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070" w:type="dxa"/>
            <w:tcBorders/>
            <w:shd w:fill="auto" w:val="clear"/>
            <w:vAlign w:val="bottom"/>
          </w:tcPr>
          <w:p>
            <w:pPr>
              <w:pStyle w:val="TableContents"/>
              <w:spacing w:before="0" w:after="283"/>
              <w:jc w:val="right"/>
              <w:rPr/>
            </w:pPr>
            <w:r>
              <w:rPr/>
              <w:t>12,040</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b/>
              </w:rPr>
            </w:pPr>
            <w:r>
              <w:rPr>
                <w:b/>
              </w:rPr>
              <w:t>Assets at September 30, 2006:</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Pawn loans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50,304</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070" w:type="dxa"/>
            <w:tcBorders/>
            <w:shd w:fill="auto" w:val="clear"/>
            <w:vAlign w:val="bottom"/>
          </w:tcPr>
          <w:p>
            <w:pPr>
              <w:pStyle w:val="TableContents"/>
              <w:spacing w:before="0" w:after="283"/>
              <w:jc w:val="right"/>
              <w:rPr/>
            </w:pPr>
            <w:r>
              <w:rPr/>
              <w:t>50,304</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450" w:right="0" w:hanging="225"/>
              <w:rPr/>
            </w:pPr>
            <w:r>
              <w:rPr/>
              <w:t>Payday loans, net</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489</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1,954</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2,443</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Inventory, net</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35,616</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35,616</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675" w:right="0" w:hanging="225"/>
              <w:rPr/>
            </w:pPr>
            <w:r>
              <w:rPr/>
              <w:t>Total separately identified recorded segment assets</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86,409</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1,954</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w:t>
            </w:r>
          </w:p>
        </w:tc>
        <w:tc>
          <w:tcPr>
            <w:tcW w:w="1070" w:type="dxa"/>
            <w:tcBorders/>
            <w:shd w:fill="CCEEFF" w:val="clear"/>
            <w:vAlign w:val="bottom"/>
          </w:tcPr>
          <w:p>
            <w:pPr>
              <w:pStyle w:val="TableContents"/>
              <w:spacing w:before="0" w:after="283"/>
              <w:jc w:val="right"/>
              <w:rPr/>
            </w:pPr>
            <w:r>
              <w:rPr/>
              <w:t>88,363</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auto" w:val="clear"/>
            <w:vAlign w:val="bottom"/>
          </w:tcPr>
          <w:p>
            <w:pPr>
              <w:pStyle w:val="TableContents"/>
              <w:spacing w:before="0" w:after="0"/>
              <w:ind w:left="675" w:right="0" w:hanging="225"/>
              <w:rPr/>
            </w:pPr>
            <w:r>
              <w:rPr/>
              <w:t>Brokered loans outstanding from unaffiliated lenders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553</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17,657</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070" w:type="dxa"/>
            <w:tcBorders/>
            <w:shd w:fill="auto" w:val="clear"/>
            <w:vAlign w:val="bottom"/>
          </w:tcPr>
          <w:p>
            <w:pPr>
              <w:pStyle w:val="TableContents"/>
              <w:spacing w:before="0" w:after="283"/>
              <w:jc w:val="right"/>
              <w:rPr/>
            </w:pPr>
            <w:r>
              <w:rPr/>
              <w:t>18,210</w:t>
            </w:r>
          </w:p>
        </w:tc>
        <w:tc>
          <w:tcPr>
            <w:tcW w:w="115"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Brokered loans outstanding from unaffiliated lenders, a term not defined by generally accepted accounting principles, are not recorded as an asset on our balance sheet, as we do not own a participation in the loans made by these lenders. We monitor the principal balance of these loans, as our credit service fees and bad debt are directly related to their volume due to the letters of credit we issue to secure these amounts. The balance shown above is the gross principal balance of the loans outstanding.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L: Subsequent Event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April 2007, we announced our plans to acquire fifteen additional pawn stores from a competitor in Colorado for approximately $23 million cash. We expect the transaction to be completed in June 2007 following customary due diligence procedures and obtaining new leases or lease assignments and necessary licenses.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9" w:name="306"/>
      <w:bookmarkEnd w:id="9"/>
      <w:r>
        <w:rPr>
          <w:rFonts w:ascii="Times New Roman;Times;serif" w:hAnsi="Times New Roman;Times;serif"/>
          <w:b/>
          <w:i/>
          <w:sz w:val="17"/>
        </w:rPr>
        <w:t>Item 2. 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discussion in this section contains forward-looking statements that involve risks and uncertainties. Our actual results could differ materially from those forward-looking statements. Factors that could cause or contribute to these differences include, but are not limited to, those discussed in this section and throughout this report. </w:t>
      </w:r>
    </w:p>
    <w:p>
      <w:pPr>
        <w:pStyle w:val="TextBody"/>
        <w:spacing w:before="240" w:after="283"/>
        <w:jc w:val="left"/>
        <w:rPr>
          <w:rFonts w:ascii="Times New Roman;Times;serif" w:hAnsi="Times New Roman;Times;serif"/>
          <w:sz w:val="17"/>
        </w:rPr>
      </w:pPr>
      <w:r>
        <w:rPr>
          <w:rFonts w:ascii="Times New Roman;Times;serif" w:hAnsi="Times New Roman;Times;serif"/>
          <w:sz w:val="17"/>
          <w:u w:val="single"/>
        </w:rPr>
        <w:t>Second Quarter Ended March 31, 2007 vs. Second Quarter Ended March 31, 2006</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unaudited, consolidated financial data for our three-month periods ended March 31, 2007 and 2006 (current quarter and prior year quarter): </w:t>
      </w:r>
    </w:p>
    <w:tbl>
      <w:tblPr>
        <w:tblW w:w="5000" w:type="pct"/>
        <w:jc w:val="center"/>
        <w:tblInd w:w="0" w:type="dxa"/>
        <w:tblCellMar>
          <w:top w:w="0" w:type="dxa"/>
          <w:left w:w="0" w:type="dxa"/>
          <w:bottom w:w="0" w:type="dxa"/>
          <w:right w:w="0" w:type="dxa"/>
        </w:tblCellMar>
      </w:tblPr>
      <w:tblGrid>
        <w:gridCol w:w="4564"/>
        <w:gridCol w:w="364"/>
        <w:gridCol w:w="243"/>
        <w:gridCol w:w="1194"/>
        <w:gridCol w:w="140"/>
        <w:gridCol w:w="396"/>
        <w:gridCol w:w="243"/>
        <w:gridCol w:w="1197"/>
        <w:gridCol w:w="108"/>
        <w:gridCol w:w="364"/>
        <w:gridCol w:w="139"/>
        <w:gridCol w:w="1023"/>
        <w:gridCol w:w="230"/>
      </w:tblGrid>
      <w:tr>
        <w:trPr/>
        <w:tc>
          <w:tcPr>
            <w:tcW w:w="456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456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3413" w:type="dxa"/>
            <w:gridSpan w:val="6"/>
            <w:tcBorders>
              <w:bottom w:val="single" w:sz="2" w:space="0" w:color="FFFFFF"/>
            </w:tcBorders>
            <w:shd w:fill="auto" w:val="clear"/>
            <w:tcMar>
              <w:bottom w:w="28" w:type="dxa"/>
            </w:tcMar>
            <w:vAlign w:val="bottom"/>
          </w:tcPr>
          <w:p>
            <w:pPr>
              <w:pStyle w:val="TableContents"/>
              <w:spacing w:before="0" w:after="283"/>
              <w:jc w:val="center"/>
              <w:rPr/>
            </w:pPr>
            <w:r>
              <w:rPr/>
              <w:t>Three Months Ended March 31,</w:t>
            </w:r>
          </w:p>
        </w:tc>
        <w:tc>
          <w:tcPr>
            <w:tcW w:w="10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162" w:type="dxa"/>
            <w:gridSpan w:val="2"/>
            <w:tcBorders/>
            <w:shd w:fill="auto" w:val="clear"/>
            <w:vAlign w:val="bottom"/>
          </w:tcPr>
          <w:p>
            <w:pPr>
              <w:pStyle w:val="TableContents"/>
              <w:spacing w:before="0" w:after="283"/>
              <w:jc w:val="center"/>
              <w:rPr/>
            </w:pPr>
            <w:r>
              <w:rPr/>
              <w:t>Percentage</w:t>
            </w:r>
          </w:p>
        </w:tc>
        <w:tc>
          <w:tcPr>
            <w:tcW w:w="230" w:type="dxa"/>
            <w:tcBorders/>
            <w:shd w:fill="auto" w:val="clear"/>
            <w:vAlign w:val="bottom"/>
          </w:tcPr>
          <w:p>
            <w:pPr>
              <w:pStyle w:val="TableContents"/>
              <w:spacing w:before="0" w:after="283"/>
              <w:rPr/>
            </w:pPr>
            <w:r>
              <w:rPr/>
              <w:t> </w:t>
            </w:r>
          </w:p>
        </w:tc>
      </w:tr>
      <w:tr>
        <w:trPr/>
        <w:tc>
          <w:tcPr>
            <w:tcW w:w="456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43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40" w:type="dxa"/>
            <w:tcBorders>
              <w:bottom w:val="single" w:sz="2" w:space="0" w:color="000000"/>
            </w:tcBorders>
            <w:shd w:fill="auto" w:val="clear"/>
            <w:tcMar>
              <w:bottom w:w="28" w:type="dxa"/>
            </w:tcMar>
            <w:vAlign w:val="bottom"/>
          </w:tcPr>
          <w:p>
            <w:pPr>
              <w:pStyle w:val="TableContents"/>
              <w:spacing w:before="0" w:after="283"/>
              <w:rPr/>
            </w:pPr>
            <w:r>
              <w:rPr/>
              <w:t> </w:t>
            </w:r>
          </w:p>
        </w:tc>
        <w:tc>
          <w:tcPr>
            <w:tcW w:w="396" w:type="dxa"/>
            <w:tcBorders>
              <w:bottom w:val="single" w:sz="2" w:space="0" w:color="000000"/>
            </w:tcBorders>
            <w:shd w:fill="auto" w:val="clear"/>
            <w:tcMar>
              <w:bottom w:w="28" w:type="dxa"/>
            </w:tcMar>
            <w:vAlign w:val="bottom"/>
          </w:tcPr>
          <w:p>
            <w:pPr>
              <w:pStyle w:val="TableContents"/>
              <w:spacing w:before="0" w:after="283"/>
              <w:rPr/>
            </w:pPr>
            <w:r>
              <w:rPr/>
              <w:t> </w:t>
            </w:r>
          </w:p>
        </w:tc>
        <w:tc>
          <w:tcPr>
            <w:tcW w:w="144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0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162" w:type="dxa"/>
            <w:gridSpan w:val="2"/>
            <w:tcBorders>
              <w:bottom w:val="single" w:sz="2" w:space="0" w:color="000000"/>
            </w:tcBorders>
            <w:shd w:fill="auto" w:val="clear"/>
            <w:tcMar>
              <w:bottom w:w="28" w:type="dxa"/>
            </w:tcMar>
            <w:vAlign w:val="bottom"/>
          </w:tcPr>
          <w:p>
            <w:pPr>
              <w:pStyle w:val="TableContents"/>
              <w:spacing w:before="0" w:after="283"/>
              <w:jc w:val="center"/>
              <w:rPr/>
            </w:pPr>
            <w:r>
              <w:rPr/>
              <w:t>Change</w:t>
            </w:r>
          </w:p>
        </w:tc>
        <w:tc>
          <w:tcPr>
            <w:tcW w:w="230" w:type="dxa"/>
            <w:tcBorders/>
            <w:shd w:fill="auto" w:val="clear"/>
            <w:vAlign w:val="bottom"/>
          </w:tcPr>
          <w:p>
            <w:pPr>
              <w:pStyle w:val="TableContents"/>
              <w:spacing w:before="0" w:after="283"/>
              <w:rPr/>
            </w:pPr>
            <w:r>
              <w:rPr/>
              <w:t> </w:t>
            </w:r>
          </w:p>
        </w:tc>
      </w:tr>
      <w:tr>
        <w:trPr/>
        <w:tc>
          <w:tcPr>
            <w:tcW w:w="456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3413" w:type="dxa"/>
            <w:gridSpan w:val="6"/>
            <w:tcBorders/>
            <w:shd w:fill="auto" w:val="clear"/>
            <w:vAlign w:val="bottom"/>
          </w:tcPr>
          <w:p>
            <w:pPr>
              <w:pStyle w:val="TableContents"/>
              <w:spacing w:before="0" w:after="283"/>
              <w:jc w:val="center"/>
              <w:rPr>
                <w:i/>
              </w:rPr>
            </w:pPr>
            <w:r>
              <w:rPr>
                <w:i/>
              </w:rPr>
              <w:t>(Dollars in thousands)</w:t>
            </w:r>
          </w:p>
        </w:tc>
        <w:tc>
          <w:tcPr>
            <w:tcW w:w="10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4564" w:type="dxa"/>
            <w:tcBorders/>
            <w:shd w:fill="CCEEFF" w:val="clear"/>
            <w:vAlign w:val="bottom"/>
          </w:tcPr>
          <w:p>
            <w:pPr>
              <w:pStyle w:val="TableContents"/>
              <w:spacing w:before="0" w:after="0"/>
              <w:ind w:left="225" w:right="0" w:hanging="225"/>
              <w:rPr/>
            </w:pPr>
            <w:r>
              <w:rPr/>
              <w:t>Net revenues:</w:t>
            </w:r>
          </w:p>
        </w:tc>
        <w:tc>
          <w:tcPr>
            <w:tcW w:w="364"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23"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r>
      <w:tr>
        <w:trPr/>
        <w:tc>
          <w:tcPr>
            <w:tcW w:w="4564" w:type="dxa"/>
            <w:tcBorders/>
            <w:shd w:fill="auto" w:val="clear"/>
            <w:vAlign w:val="bottom"/>
          </w:tcPr>
          <w:p>
            <w:pPr>
              <w:pStyle w:val="TableContents"/>
              <w:spacing w:before="0" w:after="0"/>
              <w:ind w:left="450" w:right="0" w:hanging="225"/>
              <w:rPr/>
            </w:pPr>
            <w:r>
              <w:rPr/>
              <w:t>Sales</w:t>
            </w:r>
          </w:p>
        </w:tc>
        <w:tc>
          <w:tcPr>
            <w:tcW w:w="364"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w:t>
            </w:r>
          </w:p>
        </w:tc>
        <w:tc>
          <w:tcPr>
            <w:tcW w:w="1194" w:type="dxa"/>
            <w:tcBorders/>
            <w:shd w:fill="auto" w:val="clear"/>
            <w:vAlign w:val="bottom"/>
          </w:tcPr>
          <w:p>
            <w:pPr>
              <w:pStyle w:val="TableContents"/>
              <w:spacing w:before="0" w:after="283"/>
              <w:jc w:val="right"/>
              <w:rPr/>
            </w:pPr>
            <w:r>
              <w:rPr/>
              <w:t>50,032</w:t>
            </w:r>
          </w:p>
        </w:tc>
        <w:tc>
          <w:tcPr>
            <w:tcW w:w="14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w:t>
            </w:r>
          </w:p>
        </w:tc>
        <w:tc>
          <w:tcPr>
            <w:tcW w:w="1197" w:type="dxa"/>
            <w:tcBorders/>
            <w:shd w:fill="auto" w:val="clear"/>
            <w:vAlign w:val="bottom"/>
          </w:tcPr>
          <w:p>
            <w:pPr>
              <w:pStyle w:val="TableContents"/>
              <w:spacing w:before="0" w:after="283"/>
              <w:jc w:val="right"/>
              <w:rPr/>
            </w:pPr>
            <w:r>
              <w:rPr/>
              <w:t>47,605</w:t>
            </w:r>
          </w:p>
        </w:tc>
        <w:tc>
          <w:tcPr>
            <w:tcW w:w="10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5.1</w:t>
            </w:r>
          </w:p>
        </w:tc>
        <w:tc>
          <w:tcPr>
            <w:tcW w:w="230" w:type="dxa"/>
            <w:tcBorders/>
            <w:shd w:fill="auto" w:val="clear"/>
            <w:vAlign w:val="bottom"/>
          </w:tcPr>
          <w:p>
            <w:pPr>
              <w:pStyle w:val="TableContents"/>
              <w:spacing w:before="0" w:after="283"/>
              <w:rPr/>
            </w:pPr>
            <w:r>
              <w:rPr/>
              <w:t>%</w:t>
            </w:r>
          </w:p>
        </w:tc>
      </w:tr>
      <w:tr>
        <w:trPr/>
        <w:tc>
          <w:tcPr>
            <w:tcW w:w="4564" w:type="dxa"/>
            <w:tcBorders/>
            <w:shd w:fill="CCEEFF" w:val="clear"/>
            <w:vAlign w:val="bottom"/>
          </w:tcPr>
          <w:p>
            <w:pPr>
              <w:pStyle w:val="TableContents"/>
              <w:spacing w:before="0" w:after="0"/>
              <w:ind w:left="450" w:right="0" w:hanging="225"/>
              <w:rPr/>
            </w:pPr>
            <w:r>
              <w:rPr/>
              <w:t>Pawn service charges</w:t>
            </w:r>
          </w:p>
        </w:tc>
        <w:tc>
          <w:tcPr>
            <w:tcW w:w="364"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283"/>
              <w:jc w:val="right"/>
              <w:rPr/>
            </w:pPr>
            <w:r>
              <w:rPr/>
              <w:t>16,556</w:t>
            </w:r>
          </w:p>
        </w:tc>
        <w:tc>
          <w:tcPr>
            <w:tcW w:w="140"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15,453</w:t>
            </w:r>
          </w:p>
        </w:tc>
        <w:tc>
          <w:tcPr>
            <w:tcW w:w="108"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283"/>
              <w:jc w:val="right"/>
              <w:rPr/>
            </w:pPr>
            <w:r>
              <w:rPr/>
              <w:t>7.1</w:t>
            </w:r>
          </w:p>
        </w:tc>
        <w:tc>
          <w:tcPr>
            <w:tcW w:w="230" w:type="dxa"/>
            <w:tcBorders/>
            <w:shd w:fill="CCEEFF" w:val="clear"/>
            <w:vAlign w:val="bottom"/>
          </w:tcPr>
          <w:p>
            <w:pPr>
              <w:pStyle w:val="TableContents"/>
              <w:spacing w:before="0" w:after="283"/>
              <w:rPr/>
            </w:pPr>
            <w:r>
              <w:rPr/>
              <w:t>%</w:t>
            </w:r>
          </w:p>
        </w:tc>
      </w:tr>
      <w:tr>
        <w:trPr/>
        <w:tc>
          <w:tcPr>
            <w:tcW w:w="4564" w:type="dxa"/>
            <w:tcBorders/>
            <w:shd w:fill="auto" w:val="clear"/>
            <w:vAlign w:val="bottom"/>
          </w:tcPr>
          <w:p>
            <w:pPr>
              <w:pStyle w:val="TableContents"/>
              <w:spacing w:before="0" w:after="0"/>
              <w:ind w:left="450" w:right="0" w:hanging="225"/>
              <w:rPr/>
            </w:pPr>
            <w:r>
              <w:rPr/>
              <w:t>Credit service fees</w:t>
            </w:r>
          </w:p>
        </w:tc>
        <w:tc>
          <w:tcPr>
            <w:tcW w:w="364"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20,041</w:t>
            </w:r>
          </w:p>
        </w:tc>
        <w:tc>
          <w:tcPr>
            <w:tcW w:w="14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14,451</w:t>
            </w:r>
          </w:p>
        </w:tc>
        <w:tc>
          <w:tcPr>
            <w:tcW w:w="10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38.7</w:t>
            </w:r>
          </w:p>
        </w:tc>
        <w:tc>
          <w:tcPr>
            <w:tcW w:w="230" w:type="dxa"/>
            <w:tcBorders/>
            <w:shd w:fill="auto" w:val="clear"/>
            <w:vAlign w:val="bottom"/>
          </w:tcPr>
          <w:p>
            <w:pPr>
              <w:pStyle w:val="TableContents"/>
              <w:spacing w:before="0" w:after="283"/>
              <w:rPr/>
            </w:pPr>
            <w:r>
              <w:rPr/>
              <w:t>%</w:t>
            </w:r>
          </w:p>
        </w:tc>
      </w:tr>
      <w:tr>
        <w:trPr/>
        <w:tc>
          <w:tcPr>
            <w:tcW w:w="4564" w:type="dxa"/>
            <w:tcBorders/>
            <w:shd w:fill="CCEEFF" w:val="clear"/>
            <w:vAlign w:val="bottom"/>
          </w:tcPr>
          <w:p>
            <w:pPr>
              <w:pStyle w:val="TableContents"/>
              <w:spacing w:before="0" w:after="0"/>
              <w:ind w:left="450" w:right="0" w:hanging="225"/>
              <w:rPr/>
            </w:pPr>
            <w:r>
              <w:rPr/>
              <w:t>Payday loan fees</w:t>
            </w:r>
          </w:p>
        </w:tc>
        <w:tc>
          <w:tcPr>
            <w:tcW w:w="364"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283"/>
              <w:jc w:val="right"/>
              <w:rPr/>
            </w:pPr>
            <w:r>
              <w:rPr/>
              <w:t>2,672</w:t>
            </w:r>
          </w:p>
        </w:tc>
        <w:tc>
          <w:tcPr>
            <w:tcW w:w="140"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1,103</w:t>
            </w:r>
          </w:p>
        </w:tc>
        <w:tc>
          <w:tcPr>
            <w:tcW w:w="108"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283"/>
              <w:jc w:val="right"/>
              <w:rPr/>
            </w:pPr>
            <w:r>
              <w:rPr/>
              <w:t>142.2</w:t>
            </w:r>
          </w:p>
        </w:tc>
        <w:tc>
          <w:tcPr>
            <w:tcW w:w="230" w:type="dxa"/>
            <w:tcBorders/>
            <w:shd w:fill="CCEEFF" w:val="clear"/>
            <w:vAlign w:val="bottom"/>
          </w:tcPr>
          <w:p>
            <w:pPr>
              <w:pStyle w:val="TableContents"/>
              <w:spacing w:before="0" w:after="283"/>
              <w:rPr/>
            </w:pPr>
            <w:r>
              <w:rPr/>
              <w:t>%</w:t>
            </w:r>
          </w:p>
        </w:tc>
      </w:tr>
      <w:tr>
        <w:trPr/>
        <w:tc>
          <w:tcPr>
            <w:tcW w:w="4564" w:type="dxa"/>
            <w:tcBorders/>
            <w:shd w:fill="auto" w:val="clear"/>
            <w:vAlign w:val="bottom"/>
          </w:tcPr>
          <w:p>
            <w:pPr>
              <w:pStyle w:val="TableContents"/>
              <w:spacing w:before="0" w:after="0"/>
              <w:ind w:left="450" w:right="0" w:hanging="225"/>
              <w:rPr/>
            </w:pPr>
            <w:r>
              <w:rPr/>
              <w:t>Other</w:t>
            </w:r>
          </w:p>
        </w:tc>
        <w:tc>
          <w:tcPr>
            <w:tcW w:w="364"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342</w:t>
            </w:r>
          </w:p>
        </w:tc>
        <w:tc>
          <w:tcPr>
            <w:tcW w:w="14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329</w:t>
            </w:r>
          </w:p>
        </w:tc>
        <w:tc>
          <w:tcPr>
            <w:tcW w:w="10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4.0</w:t>
            </w:r>
          </w:p>
        </w:tc>
        <w:tc>
          <w:tcPr>
            <w:tcW w:w="230" w:type="dxa"/>
            <w:tcBorders/>
            <w:shd w:fill="auto" w:val="clear"/>
            <w:vAlign w:val="bottom"/>
          </w:tcPr>
          <w:p>
            <w:pPr>
              <w:pStyle w:val="TableContents"/>
              <w:spacing w:before="0" w:after="283"/>
              <w:rPr/>
            </w:pPr>
            <w:r>
              <w:rPr/>
              <w:t>%</w:t>
            </w:r>
          </w:p>
        </w:tc>
      </w:tr>
      <w:tr>
        <w:trPr/>
        <w:tc>
          <w:tcPr>
            <w:tcW w:w="4564" w:type="dxa"/>
            <w:tcBorders/>
            <w:shd w:fill="auto" w:val="clear"/>
            <w:vAlign w:val="center"/>
          </w:tcPr>
          <w:p>
            <w:pPr>
              <w:pStyle w:val="TableContents"/>
              <w:spacing w:before="0" w:after="0"/>
              <w:ind w:left="225" w:right="0" w:hanging="225"/>
              <w:rPr/>
            </w:pPr>
            <w:r>
              <w:rPr/>
              <w:t> </w:t>
            </w:r>
          </w:p>
        </w:tc>
        <w:tc>
          <w:tcPr>
            <w:tcW w:w="364" w:type="dxa"/>
            <w:tcBorders/>
            <w:shd w:fill="auto" w:val="clear"/>
            <w:vAlign w:val="center"/>
          </w:tcPr>
          <w:p>
            <w:pPr>
              <w:pStyle w:val="TableContents"/>
              <w:spacing w:before="0" w:after="283"/>
              <w:rPr/>
            </w:pPr>
            <w:r>
              <w:rPr/>
              <w:t> </w:t>
            </w:r>
          </w:p>
        </w:tc>
        <w:tc>
          <w:tcPr>
            <w:tcW w:w="14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4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023"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r>
        <w:trPr/>
        <w:tc>
          <w:tcPr>
            <w:tcW w:w="4564" w:type="dxa"/>
            <w:tcBorders/>
            <w:shd w:fill="CCEEFF" w:val="clear"/>
            <w:vAlign w:val="bottom"/>
          </w:tcPr>
          <w:p>
            <w:pPr>
              <w:pStyle w:val="TableContents"/>
              <w:spacing w:before="0" w:after="0"/>
              <w:ind w:left="675" w:right="0" w:hanging="225"/>
              <w:rPr/>
            </w:pPr>
            <w:r>
              <w:rPr/>
              <w:t>Total revenues</w:t>
            </w:r>
          </w:p>
        </w:tc>
        <w:tc>
          <w:tcPr>
            <w:tcW w:w="364"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283"/>
              <w:jc w:val="right"/>
              <w:rPr/>
            </w:pPr>
            <w:r>
              <w:rPr/>
              <w:t>89,643</w:t>
            </w:r>
          </w:p>
        </w:tc>
        <w:tc>
          <w:tcPr>
            <w:tcW w:w="140"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78,941</w:t>
            </w:r>
          </w:p>
        </w:tc>
        <w:tc>
          <w:tcPr>
            <w:tcW w:w="108"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283"/>
              <w:jc w:val="right"/>
              <w:rPr/>
            </w:pPr>
            <w:r>
              <w:rPr/>
              <w:t>13.6</w:t>
            </w:r>
          </w:p>
        </w:tc>
        <w:tc>
          <w:tcPr>
            <w:tcW w:w="230" w:type="dxa"/>
            <w:tcBorders/>
            <w:shd w:fill="CCEEFF" w:val="clear"/>
            <w:vAlign w:val="bottom"/>
          </w:tcPr>
          <w:p>
            <w:pPr>
              <w:pStyle w:val="TableContents"/>
              <w:spacing w:before="0" w:after="283"/>
              <w:rPr/>
            </w:pPr>
            <w:r>
              <w:rPr/>
              <w:t>%</w:t>
            </w:r>
          </w:p>
        </w:tc>
      </w:tr>
      <w:tr>
        <w:trPr/>
        <w:tc>
          <w:tcPr>
            <w:tcW w:w="4564" w:type="dxa"/>
            <w:tcBorders/>
            <w:shd w:fill="auto" w:val="clear"/>
            <w:vAlign w:val="bottom"/>
          </w:tcPr>
          <w:p>
            <w:pPr>
              <w:pStyle w:val="TableContents"/>
              <w:spacing w:before="0" w:after="0"/>
              <w:ind w:left="450" w:right="0" w:hanging="225"/>
              <w:rPr/>
            </w:pPr>
            <w:r>
              <w:rPr/>
              <w:t>Cost of goods sold</w:t>
            </w:r>
          </w:p>
        </w:tc>
        <w:tc>
          <w:tcPr>
            <w:tcW w:w="364"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30,374</w:t>
            </w:r>
          </w:p>
        </w:tc>
        <w:tc>
          <w:tcPr>
            <w:tcW w:w="14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28,337</w:t>
            </w:r>
          </w:p>
        </w:tc>
        <w:tc>
          <w:tcPr>
            <w:tcW w:w="10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7.2</w:t>
            </w:r>
          </w:p>
        </w:tc>
        <w:tc>
          <w:tcPr>
            <w:tcW w:w="230" w:type="dxa"/>
            <w:tcBorders/>
            <w:shd w:fill="auto" w:val="clear"/>
            <w:vAlign w:val="bottom"/>
          </w:tcPr>
          <w:p>
            <w:pPr>
              <w:pStyle w:val="TableContents"/>
              <w:spacing w:before="0" w:after="283"/>
              <w:rPr/>
            </w:pPr>
            <w:r>
              <w:rPr/>
              <w:t>%</w:t>
            </w:r>
          </w:p>
        </w:tc>
      </w:tr>
      <w:tr>
        <w:trPr/>
        <w:tc>
          <w:tcPr>
            <w:tcW w:w="4564" w:type="dxa"/>
            <w:tcBorders/>
            <w:shd w:fill="auto" w:val="clear"/>
            <w:vAlign w:val="center"/>
          </w:tcPr>
          <w:p>
            <w:pPr>
              <w:pStyle w:val="TableContents"/>
              <w:spacing w:before="0" w:after="0"/>
              <w:ind w:left="225" w:right="0" w:hanging="225"/>
              <w:rPr/>
            </w:pPr>
            <w:r>
              <w:rPr/>
              <w:t> </w:t>
            </w:r>
          </w:p>
        </w:tc>
        <w:tc>
          <w:tcPr>
            <w:tcW w:w="364" w:type="dxa"/>
            <w:tcBorders/>
            <w:shd w:fill="auto" w:val="clear"/>
            <w:vAlign w:val="center"/>
          </w:tcPr>
          <w:p>
            <w:pPr>
              <w:pStyle w:val="TableContents"/>
              <w:spacing w:before="0" w:after="283"/>
              <w:rPr/>
            </w:pPr>
            <w:r>
              <w:rPr/>
              <w:t> </w:t>
            </w:r>
          </w:p>
        </w:tc>
        <w:tc>
          <w:tcPr>
            <w:tcW w:w="14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4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023"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r>
        <w:trPr/>
        <w:tc>
          <w:tcPr>
            <w:tcW w:w="4564" w:type="dxa"/>
            <w:tcBorders/>
            <w:shd w:fill="CCEEFF" w:val="clear"/>
            <w:vAlign w:val="bottom"/>
          </w:tcPr>
          <w:p>
            <w:pPr>
              <w:pStyle w:val="TableContents"/>
              <w:spacing w:before="0" w:after="0"/>
              <w:ind w:left="675" w:right="0" w:hanging="225"/>
              <w:rPr/>
            </w:pPr>
            <w:r>
              <w:rPr/>
              <w:t>Net revenues</w:t>
            </w:r>
          </w:p>
        </w:tc>
        <w:tc>
          <w:tcPr>
            <w:tcW w:w="364"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left"/>
              <w:rPr/>
            </w:pPr>
            <w:r>
              <w:rPr/>
              <w:t>$</w:t>
            </w:r>
          </w:p>
        </w:tc>
        <w:tc>
          <w:tcPr>
            <w:tcW w:w="1194" w:type="dxa"/>
            <w:tcBorders/>
            <w:shd w:fill="CCEEFF" w:val="clear"/>
            <w:vAlign w:val="bottom"/>
          </w:tcPr>
          <w:p>
            <w:pPr>
              <w:pStyle w:val="TableContents"/>
              <w:spacing w:before="0" w:after="283"/>
              <w:jc w:val="right"/>
              <w:rPr/>
            </w:pPr>
            <w:r>
              <w:rPr/>
              <w:t>59,269</w:t>
            </w:r>
          </w:p>
        </w:tc>
        <w:tc>
          <w:tcPr>
            <w:tcW w:w="140"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left"/>
              <w:rPr/>
            </w:pPr>
            <w:r>
              <w:rPr/>
              <w:t>$</w:t>
            </w:r>
          </w:p>
        </w:tc>
        <w:tc>
          <w:tcPr>
            <w:tcW w:w="1197" w:type="dxa"/>
            <w:tcBorders/>
            <w:shd w:fill="CCEEFF" w:val="clear"/>
            <w:vAlign w:val="bottom"/>
          </w:tcPr>
          <w:p>
            <w:pPr>
              <w:pStyle w:val="TableContents"/>
              <w:spacing w:before="0" w:after="283"/>
              <w:jc w:val="right"/>
              <w:rPr/>
            </w:pPr>
            <w:r>
              <w:rPr/>
              <w:t>50,604</w:t>
            </w:r>
          </w:p>
        </w:tc>
        <w:tc>
          <w:tcPr>
            <w:tcW w:w="108"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283"/>
              <w:jc w:val="right"/>
              <w:rPr/>
            </w:pPr>
            <w:r>
              <w:rPr/>
              <w:t>17.1</w:t>
            </w:r>
          </w:p>
        </w:tc>
        <w:tc>
          <w:tcPr>
            <w:tcW w:w="230" w:type="dxa"/>
            <w:tcBorders/>
            <w:shd w:fill="CCEEFF" w:val="clear"/>
            <w:vAlign w:val="bottom"/>
          </w:tcPr>
          <w:p>
            <w:pPr>
              <w:pStyle w:val="TableContents"/>
              <w:spacing w:before="0" w:after="283"/>
              <w:rPr/>
            </w:pPr>
            <w:r>
              <w:rPr/>
              <w:t>%</w:t>
            </w:r>
          </w:p>
        </w:tc>
      </w:tr>
      <w:tr>
        <w:trPr/>
        <w:tc>
          <w:tcPr>
            <w:tcW w:w="4564" w:type="dxa"/>
            <w:tcBorders/>
            <w:shd w:fill="auto" w:val="clear"/>
            <w:vAlign w:val="center"/>
          </w:tcPr>
          <w:p>
            <w:pPr>
              <w:pStyle w:val="TableContents"/>
              <w:spacing w:before="0" w:after="0"/>
              <w:ind w:left="225" w:right="0" w:hanging="225"/>
              <w:rPr/>
            </w:pPr>
            <w:r>
              <w:rPr/>
              <w:t> </w:t>
            </w:r>
          </w:p>
        </w:tc>
        <w:tc>
          <w:tcPr>
            <w:tcW w:w="364" w:type="dxa"/>
            <w:tcBorders/>
            <w:shd w:fill="auto" w:val="clear"/>
            <w:vAlign w:val="center"/>
          </w:tcPr>
          <w:p>
            <w:pPr>
              <w:pStyle w:val="TableContents"/>
              <w:spacing w:before="0" w:after="283"/>
              <w:rPr/>
            </w:pPr>
            <w:r>
              <w:rPr/>
              <w:t> </w:t>
            </w:r>
          </w:p>
        </w:tc>
        <w:tc>
          <w:tcPr>
            <w:tcW w:w="14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4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023"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r>
        <w:trPr/>
        <w:tc>
          <w:tcPr>
            <w:tcW w:w="4564" w:type="dxa"/>
            <w:tcBorders/>
            <w:shd w:fill="auto" w:val="clear"/>
            <w:vAlign w:val="bottom"/>
          </w:tcPr>
          <w:p>
            <w:pPr>
              <w:pStyle w:val="TableContents"/>
              <w:spacing w:before="0" w:after="0"/>
              <w:ind w:left="225" w:right="0" w:hanging="225"/>
              <w:rPr/>
            </w:pPr>
            <w:r>
              <w:rPr/>
              <w:t>Net income</w:t>
            </w:r>
          </w:p>
        </w:tc>
        <w:tc>
          <w:tcPr>
            <w:tcW w:w="364"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w:t>
            </w:r>
          </w:p>
        </w:tc>
        <w:tc>
          <w:tcPr>
            <w:tcW w:w="1194" w:type="dxa"/>
            <w:tcBorders/>
            <w:shd w:fill="auto" w:val="clear"/>
            <w:vAlign w:val="bottom"/>
          </w:tcPr>
          <w:p>
            <w:pPr>
              <w:pStyle w:val="TableContents"/>
              <w:spacing w:before="0" w:after="283"/>
              <w:jc w:val="right"/>
              <w:rPr/>
            </w:pPr>
            <w:r>
              <w:rPr/>
              <w:t>10,196</w:t>
            </w:r>
          </w:p>
        </w:tc>
        <w:tc>
          <w:tcPr>
            <w:tcW w:w="14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w:t>
            </w:r>
          </w:p>
        </w:tc>
        <w:tc>
          <w:tcPr>
            <w:tcW w:w="1197" w:type="dxa"/>
            <w:tcBorders/>
            <w:shd w:fill="auto" w:val="clear"/>
            <w:vAlign w:val="bottom"/>
          </w:tcPr>
          <w:p>
            <w:pPr>
              <w:pStyle w:val="TableContents"/>
              <w:spacing w:before="0" w:after="283"/>
              <w:jc w:val="right"/>
              <w:rPr/>
            </w:pPr>
            <w:r>
              <w:rPr/>
              <w:t>7,727</w:t>
            </w:r>
          </w:p>
        </w:tc>
        <w:tc>
          <w:tcPr>
            <w:tcW w:w="10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32.0</w:t>
            </w:r>
          </w:p>
        </w:tc>
        <w:tc>
          <w:tcPr>
            <w:tcW w:w="230" w:type="dxa"/>
            <w:tcBorders/>
            <w:shd w:fill="auto" w:val="clear"/>
            <w:vAlign w:val="bottom"/>
          </w:tcPr>
          <w:p>
            <w:pPr>
              <w:pStyle w:val="TableContents"/>
              <w:spacing w:before="0" w:after="283"/>
              <w:rPr/>
            </w:pPr>
            <w:r>
              <w:rPr/>
              <w:t>%</w:t>
            </w:r>
          </w:p>
        </w:tc>
      </w:tr>
      <w:tr>
        <w:trPr/>
        <w:tc>
          <w:tcPr>
            <w:tcW w:w="4564" w:type="dxa"/>
            <w:tcBorders/>
            <w:shd w:fill="auto" w:val="clear"/>
            <w:vAlign w:val="center"/>
          </w:tcPr>
          <w:p>
            <w:pPr>
              <w:pStyle w:val="TableContents"/>
              <w:spacing w:before="0" w:after="0"/>
              <w:ind w:left="225" w:right="0" w:hanging="225"/>
              <w:rPr/>
            </w:pPr>
            <w:r>
              <w:rPr/>
              <w:t> </w:t>
            </w:r>
          </w:p>
        </w:tc>
        <w:tc>
          <w:tcPr>
            <w:tcW w:w="364" w:type="dxa"/>
            <w:tcBorders/>
            <w:shd w:fill="auto" w:val="clear"/>
            <w:vAlign w:val="center"/>
          </w:tcPr>
          <w:p>
            <w:pPr>
              <w:pStyle w:val="TableContents"/>
              <w:spacing w:before="0" w:after="283"/>
              <w:rPr/>
            </w:pPr>
            <w:r>
              <w:rPr/>
              <w:t> </w:t>
            </w:r>
          </w:p>
        </w:tc>
        <w:tc>
          <w:tcPr>
            <w:tcW w:w="14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4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023"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u w:val="single"/>
        </w:rPr>
        <w:t>Six Months Ended March 31, 2007 vs. Six Months Ended March 31, 2006</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unaudited, consolidated financial data for our six-month periods ended March 31, 2007 and 2006 (current year and prior year): </w:t>
      </w:r>
    </w:p>
    <w:tbl>
      <w:tblPr>
        <w:tblW w:w="5000" w:type="pct"/>
        <w:jc w:val="center"/>
        <w:tblInd w:w="0" w:type="dxa"/>
        <w:tblCellMar>
          <w:top w:w="0" w:type="dxa"/>
          <w:left w:w="0" w:type="dxa"/>
          <w:bottom w:w="0" w:type="dxa"/>
          <w:right w:w="0" w:type="dxa"/>
        </w:tblCellMar>
      </w:tblPr>
      <w:tblGrid>
        <w:gridCol w:w="4742"/>
        <w:gridCol w:w="378"/>
        <w:gridCol w:w="207"/>
        <w:gridCol w:w="1141"/>
        <w:gridCol w:w="126"/>
        <w:gridCol w:w="395"/>
        <w:gridCol w:w="207"/>
        <w:gridCol w:w="1143"/>
        <w:gridCol w:w="109"/>
        <w:gridCol w:w="378"/>
        <w:gridCol w:w="139"/>
        <w:gridCol w:w="1014"/>
        <w:gridCol w:w="226"/>
      </w:tblGrid>
      <w:tr>
        <w:trPr/>
        <w:tc>
          <w:tcPr>
            <w:tcW w:w="4742"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r>
      <w:tr>
        <w:trPr/>
        <w:tc>
          <w:tcPr>
            <w:tcW w:w="4742"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3219" w:type="dxa"/>
            <w:gridSpan w:val="6"/>
            <w:tcBorders>
              <w:bottom w:val="single" w:sz="2" w:space="0" w:color="FFFFFF"/>
            </w:tcBorders>
            <w:shd w:fill="auto" w:val="clear"/>
            <w:tcMar>
              <w:bottom w:w="28" w:type="dxa"/>
            </w:tcMar>
            <w:vAlign w:val="bottom"/>
          </w:tcPr>
          <w:p>
            <w:pPr>
              <w:pStyle w:val="TableContents"/>
              <w:spacing w:before="0" w:after="283"/>
              <w:jc w:val="center"/>
              <w:rPr/>
            </w:pPr>
            <w:r>
              <w:rPr/>
              <w:t>Six Months Ended March 31,</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153" w:type="dxa"/>
            <w:gridSpan w:val="2"/>
            <w:tcBorders/>
            <w:shd w:fill="auto" w:val="clear"/>
            <w:vAlign w:val="bottom"/>
          </w:tcPr>
          <w:p>
            <w:pPr>
              <w:pStyle w:val="TableContents"/>
              <w:spacing w:before="0" w:after="283"/>
              <w:jc w:val="center"/>
              <w:rPr/>
            </w:pPr>
            <w:r>
              <w:rPr/>
              <w:t>Percentage</w:t>
            </w:r>
          </w:p>
        </w:tc>
        <w:tc>
          <w:tcPr>
            <w:tcW w:w="226" w:type="dxa"/>
            <w:tcBorders/>
            <w:shd w:fill="auto" w:val="clear"/>
            <w:vAlign w:val="bottom"/>
          </w:tcPr>
          <w:p>
            <w:pPr>
              <w:pStyle w:val="TableContents"/>
              <w:spacing w:before="0" w:after="283"/>
              <w:rPr/>
            </w:pPr>
            <w:r>
              <w:rPr/>
              <w:t> </w:t>
            </w:r>
          </w:p>
        </w:tc>
      </w:tr>
      <w:tr>
        <w:trPr/>
        <w:tc>
          <w:tcPr>
            <w:tcW w:w="4742"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26" w:type="dxa"/>
            <w:tcBorders>
              <w:bottom w:val="single" w:sz="2" w:space="0" w:color="000000"/>
            </w:tcBorders>
            <w:shd w:fill="auto" w:val="clear"/>
            <w:tcMar>
              <w:bottom w:w="28" w:type="dxa"/>
            </w:tcMar>
            <w:vAlign w:val="bottom"/>
          </w:tcPr>
          <w:p>
            <w:pPr>
              <w:pStyle w:val="TableContents"/>
              <w:spacing w:before="0" w:after="283"/>
              <w:rPr/>
            </w:pPr>
            <w:r>
              <w:rPr/>
              <w:t> </w:t>
            </w:r>
          </w:p>
        </w:tc>
        <w:tc>
          <w:tcPr>
            <w:tcW w:w="395" w:type="dxa"/>
            <w:tcBorders>
              <w:bottom w:val="single" w:sz="2" w:space="0" w:color="000000"/>
            </w:tcBorders>
            <w:shd w:fill="auto" w:val="clear"/>
            <w:tcMar>
              <w:bottom w:w="28" w:type="dxa"/>
            </w:tcMar>
            <w:vAlign w:val="bottom"/>
          </w:tcPr>
          <w:p>
            <w:pPr>
              <w:pStyle w:val="TableContents"/>
              <w:spacing w:before="0" w:after="283"/>
              <w:rPr/>
            </w:pPr>
            <w:r>
              <w:rPr/>
              <w:t> </w:t>
            </w:r>
          </w:p>
        </w:tc>
        <w:tc>
          <w:tcPr>
            <w:tcW w:w="135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153" w:type="dxa"/>
            <w:gridSpan w:val="2"/>
            <w:tcBorders>
              <w:bottom w:val="single" w:sz="2" w:space="0" w:color="000000"/>
            </w:tcBorders>
            <w:shd w:fill="auto" w:val="clear"/>
            <w:tcMar>
              <w:bottom w:w="28" w:type="dxa"/>
            </w:tcMar>
            <w:vAlign w:val="bottom"/>
          </w:tcPr>
          <w:p>
            <w:pPr>
              <w:pStyle w:val="TableContents"/>
              <w:spacing w:before="0" w:after="283"/>
              <w:jc w:val="center"/>
              <w:rPr/>
            </w:pPr>
            <w:r>
              <w:rPr/>
              <w:t>Change</w:t>
            </w:r>
          </w:p>
        </w:tc>
        <w:tc>
          <w:tcPr>
            <w:tcW w:w="226" w:type="dxa"/>
            <w:tcBorders/>
            <w:shd w:fill="auto" w:val="clear"/>
            <w:vAlign w:val="bottom"/>
          </w:tcPr>
          <w:p>
            <w:pPr>
              <w:pStyle w:val="TableContents"/>
              <w:spacing w:before="0" w:after="283"/>
              <w:rPr/>
            </w:pPr>
            <w:r>
              <w:rPr/>
              <w:t> </w:t>
            </w:r>
          </w:p>
        </w:tc>
      </w:tr>
      <w:tr>
        <w:trPr/>
        <w:tc>
          <w:tcPr>
            <w:tcW w:w="4742"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3219" w:type="dxa"/>
            <w:gridSpan w:val="6"/>
            <w:tcBorders/>
            <w:shd w:fill="auto" w:val="clear"/>
            <w:vAlign w:val="bottom"/>
          </w:tcPr>
          <w:p>
            <w:pPr>
              <w:pStyle w:val="TableContents"/>
              <w:spacing w:before="0" w:after="283"/>
              <w:jc w:val="center"/>
              <w:rPr>
                <w:i/>
              </w:rPr>
            </w:pPr>
            <w:r>
              <w:rPr>
                <w:i/>
              </w:rPr>
              <w:t>(Dollars in thousands)</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r>
      <w:tr>
        <w:trPr/>
        <w:tc>
          <w:tcPr>
            <w:tcW w:w="4742" w:type="dxa"/>
            <w:tcBorders/>
            <w:shd w:fill="CCEEFF" w:val="clear"/>
            <w:vAlign w:val="bottom"/>
          </w:tcPr>
          <w:p>
            <w:pPr>
              <w:pStyle w:val="TableContents"/>
              <w:spacing w:before="0" w:after="0"/>
              <w:ind w:left="225" w:right="0" w:hanging="225"/>
              <w:rPr/>
            </w:pPr>
            <w:r>
              <w:rPr/>
              <w:t>Net revenues:</w:t>
            </w:r>
          </w:p>
        </w:tc>
        <w:tc>
          <w:tcPr>
            <w:tcW w:w="37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r>
      <w:tr>
        <w:trPr/>
        <w:tc>
          <w:tcPr>
            <w:tcW w:w="4742" w:type="dxa"/>
            <w:tcBorders/>
            <w:shd w:fill="auto" w:val="clear"/>
            <w:vAlign w:val="bottom"/>
          </w:tcPr>
          <w:p>
            <w:pPr>
              <w:pStyle w:val="TableContents"/>
              <w:spacing w:before="0" w:after="0"/>
              <w:ind w:left="450" w:right="0" w:hanging="225"/>
              <w:rPr/>
            </w:pPr>
            <w:r>
              <w:rPr/>
              <w:t>Sales</w:t>
            </w:r>
          </w:p>
        </w:tc>
        <w:tc>
          <w:tcPr>
            <w:tcW w:w="37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41" w:type="dxa"/>
            <w:tcBorders/>
            <w:shd w:fill="auto" w:val="clear"/>
            <w:vAlign w:val="bottom"/>
          </w:tcPr>
          <w:p>
            <w:pPr>
              <w:pStyle w:val="TableContents"/>
              <w:spacing w:before="0" w:after="283"/>
              <w:jc w:val="right"/>
              <w:rPr/>
            </w:pPr>
            <w:r>
              <w:rPr/>
              <w:t>99,012</w:t>
            </w:r>
          </w:p>
        </w:tc>
        <w:tc>
          <w:tcPr>
            <w:tcW w:w="12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43" w:type="dxa"/>
            <w:tcBorders/>
            <w:shd w:fill="auto" w:val="clear"/>
            <w:vAlign w:val="bottom"/>
          </w:tcPr>
          <w:p>
            <w:pPr>
              <w:pStyle w:val="TableContents"/>
              <w:spacing w:before="0" w:after="283"/>
              <w:jc w:val="right"/>
              <w:rPr/>
            </w:pPr>
            <w:r>
              <w:rPr/>
              <w:t>89,958</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014" w:type="dxa"/>
            <w:tcBorders/>
            <w:shd w:fill="auto" w:val="clear"/>
            <w:vAlign w:val="bottom"/>
          </w:tcPr>
          <w:p>
            <w:pPr>
              <w:pStyle w:val="TableContents"/>
              <w:spacing w:before="0" w:after="283"/>
              <w:jc w:val="right"/>
              <w:rPr/>
            </w:pPr>
            <w:r>
              <w:rPr/>
              <w:t>10.1</w:t>
            </w:r>
          </w:p>
        </w:tc>
        <w:tc>
          <w:tcPr>
            <w:tcW w:w="226" w:type="dxa"/>
            <w:tcBorders/>
            <w:shd w:fill="auto" w:val="clear"/>
            <w:vAlign w:val="bottom"/>
          </w:tcPr>
          <w:p>
            <w:pPr>
              <w:pStyle w:val="TableContents"/>
              <w:spacing w:before="0" w:after="283"/>
              <w:rPr/>
            </w:pPr>
            <w:r>
              <w:rPr/>
              <w:t>%</w:t>
            </w:r>
          </w:p>
        </w:tc>
      </w:tr>
      <w:tr>
        <w:trPr/>
        <w:tc>
          <w:tcPr>
            <w:tcW w:w="4742" w:type="dxa"/>
            <w:tcBorders/>
            <w:shd w:fill="CCEEFF" w:val="clear"/>
            <w:vAlign w:val="bottom"/>
          </w:tcPr>
          <w:p>
            <w:pPr>
              <w:pStyle w:val="TableContents"/>
              <w:spacing w:before="0" w:after="0"/>
              <w:ind w:left="450" w:right="0" w:hanging="225"/>
              <w:rPr/>
            </w:pPr>
            <w:r>
              <w:rPr/>
              <w:t>Pawn service charges</w:t>
            </w:r>
          </w:p>
        </w:tc>
        <w:tc>
          <w:tcPr>
            <w:tcW w:w="37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pPr>
            <w:r>
              <w:rPr/>
              <w:t>34,518</w:t>
            </w:r>
          </w:p>
        </w:tc>
        <w:tc>
          <w:tcPr>
            <w:tcW w:w="126"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31,967</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8.0</w:t>
            </w:r>
          </w:p>
        </w:tc>
        <w:tc>
          <w:tcPr>
            <w:tcW w:w="226" w:type="dxa"/>
            <w:tcBorders/>
            <w:shd w:fill="CCEEFF" w:val="clear"/>
            <w:vAlign w:val="bottom"/>
          </w:tcPr>
          <w:p>
            <w:pPr>
              <w:pStyle w:val="TableContents"/>
              <w:spacing w:before="0" w:after="283"/>
              <w:rPr/>
            </w:pPr>
            <w:r>
              <w:rPr/>
              <w:t>%</w:t>
            </w:r>
          </w:p>
        </w:tc>
      </w:tr>
      <w:tr>
        <w:trPr/>
        <w:tc>
          <w:tcPr>
            <w:tcW w:w="4742" w:type="dxa"/>
            <w:tcBorders/>
            <w:shd w:fill="auto" w:val="clear"/>
            <w:vAlign w:val="bottom"/>
          </w:tcPr>
          <w:p>
            <w:pPr>
              <w:pStyle w:val="TableContents"/>
              <w:spacing w:before="0" w:after="0"/>
              <w:ind w:left="450" w:right="0" w:hanging="225"/>
              <w:rPr/>
            </w:pPr>
            <w:r>
              <w:rPr/>
              <w:t>Credit service fees</w:t>
            </w:r>
          </w:p>
        </w:tc>
        <w:tc>
          <w:tcPr>
            <w:tcW w:w="37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jc w:val="right"/>
              <w:rPr/>
            </w:pPr>
            <w:r>
              <w:rPr/>
              <w:t>42,068</w:t>
            </w:r>
          </w:p>
        </w:tc>
        <w:tc>
          <w:tcPr>
            <w:tcW w:w="12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29,873</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014" w:type="dxa"/>
            <w:tcBorders/>
            <w:shd w:fill="auto" w:val="clear"/>
            <w:vAlign w:val="bottom"/>
          </w:tcPr>
          <w:p>
            <w:pPr>
              <w:pStyle w:val="TableContents"/>
              <w:spacing w:before="0" w:after="283"/>
              <w:jc w:val="right"/>
              <w:rPr/>
            </w:pPr>
            <w:r>
              <w:rPr/>
              <w:t>40.8</w:t>
            </w:r>
          </w:p>
        </w:tc>
        <w:tc>
          <w:tcPr>
            <w:tcW w:w="226" w:type="dxa"/>
            <w:tcBorders/>
            <w:shd w:fill="auto" w:val="clear"/>
            <w:vAlign w:val="bottom"/>
          </w:tcPr>
          <w:p>
            <w:pPr>
              <w:pStyle w:val="TableContents"/>
              <w:spacing w:before="0" w:after="283"/>
              <w:rPr/>
            </w:pPr>
            <w:r>
              <w:rPr/>
              <w:t>%</w:t>
            </w:r>
          </w:p>
        </w:tc>
      </w:tr>
      <w:tr>
        <w:trPr/>
        <w:tc>
          <w:tcPr>
            <w:tcW w:w="4742" w:type="dxa"/>
            <w:tcBorders/>
            <w:shd w:fill="CCEEFF" w:val="clear"/>
            <w:vAlign w:val="bottom"/>
          </w:tcPr>
          <w:p>
            <w:pPr>
              <w:pStyle w:val="TableContents"/>
              <w:spacing w:before="0" w:after="0"/>
              <w:ind w:left="450" w:right="0" w:hanging="225"/>
              <w:rPr/>
            </w:pPr>
            <w:r>
              <w:rPr/>
              <w:t>Payday loan fees</w:t>
            </w:r>
          </w:p>
        </w:tc>
        <w:tc>
          <w:tcPr>
            <w:tcW w:w="37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pPr>
            <w:r>
              <w:rPr/>
              <w:t>5,040</w:t>
            </w:r>
          </w:p>
        </w:tc>
        <w:tc>
          <w:tcPr>
            <w:tcW w:w="126"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2,255</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123.5</w:t>
            </w:r>
          </w:p>
        </w:tc>
        <w:tc>
          <w:tcPr>
            <w:tcW w:w="226" w:type="dxa"/>
            <w:tcBorders/>
            <w:shd w:fill="CCEEFF" w:val="clear"/>
            <w:vAlign w:val="bottom"/>
          </w:tcPr>
          <w:p>
            <w:pPr>
              <w:pStyle w:val="TableContents"/>
              <w:spacing w:before="0" w:after="283"/>
              <w:rPr/>
            </w:pPr>
            <w:r>
              <w:rPr/>
              <w:t>%</w:t>
            </w:r>
          </w:p>
        </w:tc>
      </w:tr>
      <w:tr>
        <w:trPr/>
        <w:tc>
          <w:tcPr>
            <w:tcW w:w="4742" w:type="dxa"/>
            <w:tcBorders/>
            <w:shd w:fill="auto" w:val="clear"/>
            <w:vAlign w:val="bottom"/>
          </w:tcPr>
          <w:p>
            <w:pPr>
              <w:pStyle w:val="TableContents"/>
              <w:spacing w:before="0" w:after="0"/>
              <w:ind w:left="450" w:right="0" w:hanging="225"/>
              <w:rPr/>
            </w:pPr>
            <w:r>
              <w:rPr/>
              <w:t>Other</w:t>
            </w:r>
          </w:p>
        </w:tc>
        <w:tc>
          <w:tcPr>
            <w:tcW w:w="37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jc w:val="right"/>
              <w:rPr/>
            </w:pPr>
            <w:r>
              <w:rPr/>
              <w:t>692</w:t>
            </w:r>
          </w:p>
        </w:tc>
        <w:tc>
          <w:tcPr>
            <w:tcW w:w="12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658</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014" w:type="dxa"/>
            <w:tcBorders/>
            <w:shd w:fill="auto" w:val="clear"/>
            <w:vAlign w:val="bottom"/>
          </w:tcPr>
          <w:p>
            <w:pPr>
              <w:pStyle w:val="TableContents"/>
              <w:spacing w:before="0" w:after="283"/>
              <w:jc w:val="right"/>
              <w:rPr/>
            </w:pPr>
            <w:r>
              <w:rPr/>
              <w:t>5.2</w:t>
            </w:r>
          </w:p>
        </w:tc>
        <w:tc>
          <w:tcPr>
            <w:tcW w:w="226" w:type="dxa"/>
            <w:tcBorders/>
            <w:shd w:fill="auto" w:val="clear"/>
            <w:vAlign w:val="bottom"/>
          </w:tcPr>
          <w:p>
            <w:pPr>
              <w:pStyle w:val="TableContents"/>
              <w:spacing w:before="0" w:after="283"/>
              <w:rPr/>
            </w:pPr>
            <w:r>
              <w:rPr/>
              <w:t>%</w:t>
            </w:r>
          </w:p>
        </w:tc>
      </w:tr>
      <w:tr>
        <w:trPr/>
        <w:tc>
          <w:tcPr>
            <w:tcW w:w="4742"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3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3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014"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r>
      <w:tr>
        <w:trPr/>
        <w:tc>
          <w:tcPr>
            <w:tcW w:w="4742" w:type="dxa"/>
            <w:tcBorders/>
            <w:shd w:fill="CCEEFF" w:val="clear"/>
            <w:vAlign w:val="bottom"/>
          </w:tcPr>
          <w:p>
            <w:pPr>
              <w:pStyle w:val="TableContents"/>
              <w:spacing w:before="0" w:after="0"/>
              <w:ind w:left="675" w:right="0" w:hanging="225"/>
              <w:rPr/>
            </w:pPr>
            <w:r>
              <w:rPr/>
              <w:t>Total revenues</w:t>
            </w:r>
          </w:p>
        </w:tc>
        <w:tc>
          <w:tcPr>
            <w:tcW w:w="37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pPr>
            <w:r>
              <w:rPr/>
              <w:t>181,330</w:t>
            </w:r>
          </w:p>
        </w:tc>
        <w:tc>
          <w:tcPr>
            <w:tcW w:w="126"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154,711</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17.2</w:t>
            </w:r>
          </w:p>
        </w:tc>
        <w:tc>
          <w:tcPr>
            <w:tcW w:w="226" w:type="dxa"/>
            <w:tcBorders/>
            <w:shd w:fill="CCEEFF" w:val="clear"/>
            <w:vAlign w:val="bottom"/>
          </w:tcPr>
          <w:p>
            <w:pPr>
              <w:pStyle w:val="TableContents"/>
              <w:spacing w:before="0" w:after="283"/>
              <w:rPr/>
            </w:pPr>
            <w:r>
              <w:rPr/>
              <w:t>%</w:t>
            </w:r>
          </w:p>
        </w:tc>
      </w:tr>
      <w:tr>
        <w:trPr/>
        <w:tc>
          <w:tcPr>
            <w:tcW w:w="4742" w:type="dxa"/>
            <w:tcBorders/>
            <w:shd w:fill="auto" w:val="clear"/>
            <w:vAlign w:val="bottom"/>
          </w:tcPr>
          <w:p>
            <w:pPr>
              <w:pStyle w:val="TableContents"/>
              <w:spacing w:before="0" w:after="0"/>
              <w:ind w:left="450" w:right="0" w:hanging="225"/>
              <w:rPr/>
            </w:pPr>
            <w:r>
              <w:rPr/>
              <w:t>Cost of goods sold</w:t>
            </w:r>
          </w:p>
        </w:tc>
        <w:tc>
          <w:tcPr>
            <w:tcW w:w="37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jc w:val="right"/>
              <w:rPr/>
            </w:pPr>
            <w:r>
              <w:rPr/>
              <w:t>60,197</w:t>
            </w:r>
          </w:p>
        </w:tc>
        <w:tc>
          <w:tcPr>
            <w:tcW w:w="12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53,998</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014" w:type="dxa"/>
            <w:tcBorders/>
            <w:shd w:fill="auto" w:val="clear"/>
            <w:vAlign w:val="bottom"/>
          </w:tcPr>
          <w:p>
            <w:pPr>
              <w:pStyle w:val="TableContents"/>
              <w:spacing w:before="0" w:after="283"/>
              <w:jc w:val="right"/>
              <w:rPr/>
            </w:pPr>
            <w:r>
              <w:rPr/>
              <w:t>11.5</w:t>
            </w:r>
          </w:p>
        </w:tc>
        <w:tc>
          <w:tcPr>
            <w:tcW w:w="226" w:type="dxa"/>
            <w:tcBorders/>
            <w:shd w:fill="auto" w:val="clear"/>
            <w:vAlign w:val="bottom"/>
          </w:tcPr>
          <w:p>
            <w:pPr>
              <w:pStyle w:val="TableContents"/>
              <w:spacing w:before="0" w:after="283"/>
              <w:rPr/>
            </w:pPr>
            <w:r>
              <w:rPr/>
              <w:t>%</w:t>
            </w:r>
          </w:p>
        </w:tc>
      </w:tr>
      <w:tr>
        <w:trPr/>
        <w:tc>
          <w:tcPr>
            <w:tcW w:w="4742"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3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3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014"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r>
      <w:tr>
        <w:trPr/>
        <w:tc>
          <w:tcPr>
            <w:tcW w:w="4742" w:type="dxa"/>
            <w:tcBorders/>
            <w:shd w:fill="CCEEFF" w:val="clear"/>
            <w:vAlign w:val="bottom"/>
          </w:tcPr>
          <w:p>
            <w:pPr>
              <w:pStyle w:val="TableContents"/>
              <w:spacing w:before="0" w:after="0"/>
              <w:ind w:left="675" w:right="0" w:hanging="225"/>
              <w:rPr/>
            </w:pPr>
            <w:r>
              <w:rPr/>
              <w:t>Net revenues</w:t>
            </w:r>
          </w:p>
        </w:tc>
        <w:tc>
          <w:tcPr>
            <w:tcW w:w="37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41" w:type="dxa"/>
            <w:tcBorders/>
            <w:shd w:fill="CCEEFF" w:val="clear"/>
            <w:vAlign w:val="bottom"/>
          </w:tcPr>
          <w:p>
            <w:pPr>
              <w:pStyle w:val="TableContents"/>
              <w:spacing w:before="0" w:after="283"/>
              <w:jc w:val="right"/>
              <w:rPr/>
            </w:pPr>
            <w:r>
              <w:rPr/>
              <w:t>121,133</w:t>
            </w:r>
          </w:p>
        </w:tc>
        <w:tc>
          <w:tcPr>
            <w:tcW w:w="126"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43" w:type="dxa"/>
            <w:tcBorders/>
            <w:shd w:fill="CCEEFF" w:val="clear"/>
            <w:vAlign w:val="bottom"/>
          </w:tcPr>
          <w:p>
            <w:pPr>
              <w:pStyle w:val="TableContents"/>
              <w:spacing w:before="0" w:after="283"/>
              <w:jc w:val="right"/>
              <w:rPr/>
            </w:pPr>
            <w:r>
              <w:rPr/>
              <w:t>100,713</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20.3</w:t>
            </w:r>
          </w:p>
        </w:tc>
        <w:tc>
          <w:tcPr>
            <w:tcW w:w="226" w:type="dxa"/>
            <w:tcBorders/>
            <w:shd w:fill="CCEEFF" w:val="clear"/>
            <w:vAlign w:val="bottom"/>
          </w:tcPr>
          <w:p>
            <w:pPr>
              <w:pStyle w:val="TableContents"/>
              <w:spacing w:before="0" w:after="283"/>
              <w:rPr/>
            </w:pPr>
            <w:r>
              <w:rPr/>
              <w:t>%</w:t>
            </w:r>
          </w:p>
        </w:tc>
      </w:tr>
      <w:tr>
        <w:trPr/>
        <w:tc>
          <w:tcPr>
            <w:tcW w:w="4742"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3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3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014"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r>
      <w:tr>
        <w:trPr/>
        <w:tc>
          <w:tcPr>
            <w:tcW w:w="4742" w:type="dxa"/>
            <w:tcBorders/>
            <w:shd w:fill="auto" w:val="clear"/>
            <w:vAlign w:val="bottom"/>
          </w:tcPr>
          <w:p>
            <w:pPr>
              <w:pStyle w:val="TableContents"/>
              <w:spacing w:before="0" w:after="0"/>
              <w:ind w:left="225" w:right="0" w:hanging="225"/>
              <w:rPr/>
            </w:pPr>
            <w:r>
              <w:rPr/>
              <w:t>Net income</w:t>
            </w:r>
          </w:p>
        </w:tc>
        <w:tc>
          <w:tcPr>
            <w:tcW w:w="37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41" w:type="dxa"/>
            <w:tcBorders/>
            <w:shd w:fill="auto" w:val="clear"/>
            <w:vAlign w:val="bottom"/>
          </w:tcPr>
          <w:p>
            <w:pPr>
              <w:pStyle w:val="TableContents"/>
              <w:spacing w:before="0" w:after="283"/>
              <w:jc w:val="right"/>
              <w:rPr/>
            </w:pPr>
            <w:r>
              <w:rPr/>
              <w:t>19,957</w:t>
            </w:r>
          </w:p>
        </w:tc>
        <w:tc>
          <w:tcPr>
            <w:tcW w:w="12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143" w:type="dxa"/>
            <w:tcBorders/>
            <w:shd w:fill="auto" w:val="clear"/>
            <w:vAlign w:val="bottom"/>
          </w:tcPr>
          <w:p>
            <w:pPr>
              <w:pStyle w:val="TableContents"/>
              <w:spacing w:before="0" w:after="283"/>
              <w:jc w:val="right"/>
              <w:rPr/>
            </w:pPr>
            <w:r>
              <w:rPr/>
              <w:t>14,483</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014" w:type="dxa"/>
            <w:tcBorders/>
            <w:shd w:fill="auto" w:val="clear"/>
            <w:vAlign w:val="bottom"/>
          </w:tcPr>
          <w:p>
            <w:pPr>
              <w:pStyle w:val="TableContents"/>
              <w:spacing w:before="0" w:after="283"/>
              <w:jc w:val="right"/>
              <w:rPr/>
            </w:pPr>
            <w:r>
              <w:rPr/>
              <w:t>37.8</w:t>
            </w:r>
          </w:p>
        </w:tc>
        <w:tc>
          <w:tcPr>
            <w:tcW w:w="226" w:type="dxa"/>
            <w:tcBorders/>
            <w:shd w:fill="auto" w:val="clear"/>
            <w:vAlign w:val="bottom"/>
          </w:tcPr>
          <w:p>
            <w:pPr>
              <w:pStyle w:val="TableContents"/>
              <w:spacing w:before="0" w:after="283"/>
              <w:rPr/>
            </w:pPr>
            <w:r>
              <w:rPr/>
              <w:t>%</w:t>
            </w:r>
          </w:p>
        </w:tc>
      </w:tr>
      <w:tr>
        <w:trPr/>
        <w:tc>
          <w:tcPr>
            <w:tcW w:w="4742" w:type="dxa"/>
            <w:tcBorders/>
            <w:shd w:fill="auto" w:val="clear"/>
            <w:vAlign w:val="center"/>
          </w:tcPr>
          <w:p>
            <w:pPr>
              <w:pStyle w:val="TableContents"/>
              <w:spacing w:before="0" w:after="0"/>
              <w:ind w:left="225" w:right="0" w:hanging="225"/>
              <w:rPr/>
            </w:pPr>
            <w:r>
              <w:rPr/>
              <w:t> </w:t>
            </w:r>
          </w:p>
        </w:tc>
        <w:tc>
          <w:tcPr>
            <w:tcW w:w="378" w:type="dxa"/>
            <w:tcBorders/>
            <w:shd w:fill="auto" w:val="clear"/>
            <w:vAlign w:val="center"/>
          </w:tcPr>
          <w:p>
            <w:pPr>
              <w:pStyle w:val="TableContents"/>
              <w:spacing w:before="0" w:after="283"/>
              <w:rPr/>
            </w:pPr>
            <w:r>
              <w:rPr/>
              <w:t> </w:t>
            </w:r>
          </w:p>
        </w:tc>
        <w:tc>
          <w:tcPr>
            <w:tcW w:w="13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3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014"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signature loan data (combined payday loan and credit service activities) are as follows: </w:t>
      </w:r>
    </w:p>
    <w:tbl>
      <w:tblPr>
        <w:tblW w:w="5000" w:type="pct"/>
        <w:jc w:val="center"/>
        <w:tblInd w:w="0" w:type="dxa"/>
        <w:tblCellMar>
          <w:top w:w="0" w:type="dxa"/>
          <w:left w:w="0" w:type="dxa"/>
          <w:bottom w:w="0" w:type="dxa"/>
          <w:right w:w="0" w:type="dxa"/>
        </w:tblCellMar>
      </w:tblPr>
      <w:tblGrid>
        <w:gridCol w:w="2714"/>
        <w:gridCol w:w="230"/>
        <w:gridCol w:w="236"/>
        <w:gridCol w:w="1155"/>
        <w:gridCol w:w="344"/>
        <w:gridCol w:w="262"/>
        <w:gridCol w:w="236"/>
        <w:gridCol w:w="1156"/>
        <w:gridCol w:w="228"/>
        <w:gridCol w:w="230"/>
        <w:gridCol w:w="220"/>
        <w:gridCol w:w="1079"/>
        <w:gridCol w:w="320"/>
        <w:gridCol w:w="255"/>
        <w:gridCol w:w="219"/>
        <w:gridCol w:w="1080"/>
        <w:gridCol w:w="241"/>
      </w:tblGrid>
      <w:tr>
        <w:trPr/>
        <w:tc>
          <w:tcPr>
            <w:tcW w:w="271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08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r>
      <w:tr>
        <w:trPr/>
        <w:tc>
          <w:tcPr>
            <w:tcW w:w="271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3389"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March 31,</w:t>
            </w:r>
          </w:p>
        </w:tc>
        <w:tc>
          <w:tcPr>
            <w:tcW w:w="22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3173" w:type="dxa"/>
            <w:gridSpan w:val="6"/>
            <w:tcBorders>
              <w:bottom w:val="single" w:sz="2" w:space="0" w:color="000000"/>
            </w:tcBorders>
            <w:shd w:fill="auto" w:val="clear"/>
            <w:tcMar>
              <w:bottom w:w="28" w:type="dxa"/>
            </w:tcMar>
            <w:vAlign w:val="bottom"/>
          </w:tcPr>
          <w:p>
            <w:pPr>
              <w:pStyle w:val="TableContents"/>
              <w:spacing w:before="0" w:after="283"/>
              <w:jc w:val="center"/>
              <w:rPr/>
            </w:pPr>
            <w:r>
              <w:rPr/>
              <w:t>Six Months Ended March 31,</w:t>
            </w:r>
          </w:p>
        </w:tc>
        <w:tc>
          <w:tcPr>
            <w:tcW w:w="241" w:type="dxa"/>
            <w:tcBorders/>
            <w:shd w:fill="auto" w:val="clear"/>
            <w:vAlign w:val="bottom"/>
          </w:tcPr>
          <w:p>
            <w:pPr>
              <w:pStyle w:val="TableContents"/>
              <w:spacing w:before="0" w:after="283"/>
              <w:rPr/>
            </w:pPr>
            <w:r>
              <w:rPr/>
              <w:t> </w:t>
            </w:r>
          </w:p>
        </w:tc>
      </w:tr>
      <w:tr>
        <w:trPr/>
        <w:tc>
          <w:tcPr>
            <w:tcW w:w="271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39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34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39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2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9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3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9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41" w:type="dxa"/>
            <w:tcBorders/>
            <w:shd w:fill="auto" w:val="clear"/>
            <w:vAlign w:val="bottom"/>
          </w:tcPr>
          <w:p>
            <w:pPr>
              <w:pStyle w:val="TableContents"/>
              <w:spacing w:before="0" w:after="283"/>
              <w:rPr/>
            </w:pPr>
            <w:r>
              <w:rPr/>
              <w:t> </w:t>
            </w:r>
          </w:p>
        </w:tc>
      </w:tr>
      <w:tr>
        <w:trPr/>
        <w:tc>
          <w:tcPr>
            <w:tcW w:w="271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7020" w:type="dxa"/>
            <w:gridSpan w:val="14"/>
            <w:tcBorders/>
            <w:shd w:fill="auto" w:val="clear"/>
            <w:vAlign w:val="bottom"/>
          </w:tcPr>
          <w:p>
            <w:pPr>
              <w:pStyle w:val="TableContents"/>
              <w:spacing w:before="0" w:after="283"/>
              <w:jc w:val="center"/>
              <w:rPr>
                <w:i/>
              </w:rPr>
            </w:pPr>
            <w:r>
              <w:rPr>
                <w:i/>
              </w:rPr>
              <w:t>(Dollars in thousands)</w:t>
            </w:r>
          </w:p>
        </w:tc>
        <w:tc>
          <w:tcPr>
            <w:tcW w:w="241" w:type="dxa"/>
            <w:tcBorders/>
            <w:shd w:fill="auto" w:val="clear"/>
            <w:vAlign w:val="bottom"/>
          </w:tcPr>
          <w:p>
            <w:pPr>
              <w:pStyle w:val="TableContents"/>
              <w:spacing w:before="0" w:after="283"/>
              <w:rPr/>
            </w:pPr>
            <w:r>
              <w:rPr/>
              <w:t> </w:t>
            </w:r>
          </w:p>
        </w:tc>
      </w:tr>
      <w:tr>
        <w:trPr/>
        <w:tc>
          <w:tcPr>
            <w:tcW w:w="2714" w:type="dxa"/>
            <w:tcBorders/>
            <w:shd w:fill="auto" w:val="clear"/>
            <w:vAlign w:val="center"/>
          </w:tcPr>
          <w:p>
            <w:pPr>
              <w:pStyle w:val="TableContents"/>
              <w:spacing w:before="0" w:after="283"/>
              <w:rPr/>
            </w:pPr>
            <w:r>
              <w:rPr/>
              <w:t> </w:t>
            </w:r>
          </w:p>
        </w:tc>
        <w:tc>
          <w:tcPr>
            <w:tcW w:w="7491" w:type="dxa"/>
            <w:gridSpan w:val="16"/>
            <w:tcBorders/>
            <w:shd w:fill="auto" w:val="clear"/>
          </w:tcPr>
          <w:p>
            <w:pPr>
              <w:pStyle w:val="TableContents"/>
              <w:spacing w:before="0" w:after="283"/>
              <w:rPr>
                <w:sz w:val="4"/>
                <w:szCs w:val="4"/>
              </w:rPr>
            </w:pPr>
            <w:r>
              <w:rPr>
                <w:sz w:val="4"/>
                <w:szCs w:val="4"/>
              </w:rPr>
            </w:r>
          </w:p>
        </w:tc>
      </w:tr>
      <w:tr>
        <w:trPr/>
        <w:tc>
          <w:tcPr>
            <w:tcW w:w="2714" w:type="dxa"/>
            <w:tcBorders/>
            <w:shd w:fill="CCEEFF" w:val="clear"/>
            <w:vAlign w:val="bottom"/>
          </w:tcPr>
          <w:p>
            <w:pPr>
              <w:pStyle w:val="TableContents"/>
              <w:spacing w:before="0" w:after="0"/>
              <w:ind w:left="225" w:right="0" w:hanging="225"/>
              <w:rPr/>
            </w:pPr>
            <w:r>
              <w:rPr/>
              <w:t>Fee revenue</w:t>
            </w:r>
          </w:p>
        </w:tc>
        <w:tc>
          <w:tcPr>
            <w:tcW w:w="23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w:t>
            </w:r>
          </w:p>
        </w:tc>
        <w:tc>
          <w:tcPr>
            <w:tcW w:w="1155" w:type="dxa"/>
            <w:tcBorders/>
            <w:shd w:fill="CCEEFF" w:val="clear"/>
            <w:vAlign w:val="bottom"/>
          </w:tcPr>
          <w:p>
            <w:pPr>
              <w:pStyle w:val="TableContents"/>
              <w:spacing w:before="0" w:after="283"/>
              <w:jc w:val="right"/>
              <w:rPr/>
            </w:pPr>
            <w:r>
              <w:rPr/>
              <w:t>22,713</w:t>
            </w:r>
          </w:p>
        </w:tc>
        <w:tc>
          <w:tcPr>
            <w:tcW w:w="34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w:t>
            </w:r>
          </w:p>
        </w:tc>
        <w:tc>
          <w:tcPr>
            <w:tcW w:w="1156" w:type="dxa"/>
            <w:tcBorders/>
            <w:shd w:fill="CCEEFF" w:val="clear"/>
            <w:vAlign w:val="bottom"/>
          </w:tcPr>
          <w:p>
            <w:pPr>
              <w:pStyle w:val="TableContents"/>
              <w:spacing w:before="0" w:after="283"/>
              <w:jc w:val="right"/>
              <w:rPr/>
            </w:pPr>
            <w:r>
              <w:rPr/>
              <w:t>15,554</w:t>
            </w:r>
          </w:p>
        </w:tc>
        <w:tc>
          <w:tcPr>
            <w:tcW w:w="22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47,108</w:t>
            </w:r>
          </w:p>
        </w:tc>
        <w:tc>
          <w:tcPr>
            <w:tcW w:w="3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080" w:type="dxa"/>
            <w:tcBorders/>
            <w:shd w:fill="CCEEFF" w:val="clear"/>
            <w:vAlign w:val="bottom"/>
          </w:tcPr>
          <w:p>
            <w:pPr>
              <w:pStyle w:val="TableContents"/>
              <w:spacing w:before="0" w:after="283"/>
              <w:jc w:val="right"/>
              <w:rPr/>
            </w:pPr>
            <w:r>
              <w:rPr/>
              <w:t>32,128</w:t>
            </w:r>
          </w:p>
        </w:tc>
        <w:tc>
          <w:tcPr>
            <w:tcW w:w="241" w:type="dxa"/>
            <w:tcBorders/>
            <w:shd w:fill="CCEEFF" w:val="clear"/>
            <w:vAlign w:val="bottom"/>
          </w:tcPr>
          <w:p>
            <w:pPr>
              <w:pStyle w:val="TableContents"/>
              <w:spacing w:before="0" w:after="283"/>
              <w:rPr/>
            </w:pPr>
            <w:r>
              <w:rPr/>
              <w:t> </w:t>
            </w:r>
          </w:p>
        </w:tc>
      </w:tr>
      <w:tr>
        <w:trPr/>
        <w:tc>
          <w:tcPr>
            <w:tcW w:w="2714" w:type="dxa"/>
            <w:tcBorders/>
            <w:shd w:fill="auto" w:val="clear"/>
            <w:vAlign w:val="bottom"/>
          </w:tcPr>
          <w:p>
            <w:pPr>
              <w:pStyle w:val="TableContents"/>
              <w:spacing w:before="0" w:after="0"/>
              <w:ind w:left="225" w:right="0" w:hanging="225"/>
              <w:rPr/>
            </w:pPr>
            <w:r>
              <w:rPr/>
              <w:t>Bad debt:</w:t>
            </w:r>
          </w:p>
        </w:tc>
        <w:tc>
          <w:tcPr>
            <w:tcW w:w="23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08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r>
      <w:tr>
        <w:trPr/>
        <w:tc>
          <w:tcPr>
            <w:tcW w:w="2714" w:type="dxa"/>
            <w:tcBorders/>
            <w:shd w:fill="CCEEFF" w:val="clear"/>
            <w:vAlign w:val="bottom"/>
          </w:tcPr>
          <w:p>
            <w:pPr>
              <w:pStyle w:val="TableContents"/>
              <w:spacing w:before="0" w:after="0"/>
              <w:ind w:left="450" w:right="0" w:hanging="225"/>
              <w:rPr/>
            </w:pPr>
            <w:r>
              <w:rPr/>
              <w:t>Net defaults, including interest on brokered loans</w:t>
            </w:r>
          </w:p>
        </w:tc>
        <w:tc>
          <w:tcPr>
            <w:tcW w:w="23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3,260</w:t>
            </w:r>
          </w:p>
        </w:tc>
        <w:tc>
          <w:tcPr>
            <w:tcW w:w="34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jc w:val="right"/>
              <w:rPr/>
            </w:pPr>
            <w:r>
              <w:rPr/>
              <w:t>2,568</w:t>
            </w:r>
          </w:p>
        </w:tc>
        <w:tc>
          <w:tcPr>
            <w:tcW w:w="22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8,660</w:t>
            </w:r>
          </w:p>
        </w:tc>
        <w:tc>
          <w:tcPr>
            <w:tcW w:w="3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080" w:type="dxa"/>
            <w:tcBorders/>
            <w:shd w:fill="CCEEFF" w:val="clear"/>
            <w:vAlign w:val="bottom"/>
          </w:tcPr>
          <w:p>
            <w:pPr>
              <w:pStyle w:val="TableContents"/>
              <w:spacing w:before="0" w:after="283"/>
              <w:jc w:val="right"/>
              <w:rPr/>
            </w:pPr>
            <w:r>
              <w:rPr/>
              <w:t>6,822</w:t>
            </w:r>
          </w:p>
        </w:tc>
        <w:tc>
          <w:tcPr>
            <w:tcW w:w="241" w:type="dxa"/>
            <w:tcBorders/>
            <w:shd w:fill="CCEEFF" w:val="clear"/>
            <w:vAlign w:val="bottom"/>
          </w:tcPr>
          <w:p>
            <w:pPr>
              <w:pStyle w:val="TableContents"/>
              <w:spacing w:before="0" w:after="283"/>
              <w:rPr/>
            </w:pPr>
            <w:r>
              <w:rPr/>
              <w:t> </w:t>
            </w:r>
          </w:p>
        </w:tc>
      </w:tr>
      <w:tr>
        <w:trPr/>
        <w:tc>
          <w:tcPr>
            <w:tcW w:w="2714" w:type="dxa"/>
            <w:tcBorders/>
            <w:shd w:fill="auto" w:val="clear"/>
            <w:vAlign w:val="bottom"/>
          </w:tcPr>
          <w:p>
            <w:pPr>
              <w:pStyle w:val="TableContents"/>
              <w:spacing w:before="0" w:after="0"/>
              <w:ind w:left="450" w:right="0" w:hanging="225"/>
              <w:rPr/>
            </w:pPr>
            <w:r>
              <w:rPr/>
              <w:t>Insufficient funds fees, net of collections</w:t>
            </w:r>
          </w:p>
        </w:tc>
        <w:tc>
          <w:tcPr>
            <w:tcW w:w="23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172</w:t>
            </w:r>
          </w:p>
        </w:tc>
        <w:tc>
          <w:tcPr>
            <w:tcW w:w="34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jc w:val="right"/>
              <w:rPr/>
            </w:pPr>
            <w:r>
              <w:rPr/>
              <w:t>191</w:t>
            </w:r>
          </w:p>
        </w:tc>
        <w:tc>
          <w:tcPr>
            <w:tcW w:w="22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457</w:t>
            </w:r>
          </w:p>
        </w:tc>
        <w:tc>
          <w:tcPr>
            <w:tcW w:w="3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080" w:type="dxa"/>
            <w:tcBorders/>
            <w:shd w:fill="auto" w:val="clear"/>
            <w:vAlign w:val="bottom"/>
          </w:tcPr>
          <w:p>
            <w:pPr>
              <w:pStyle w:val="TableContents"/>
              <w:spacing w:before="0" w:after="283"/>
              <w:jc w:val="right"/>
              <w:rPr/>
            </w:pPr>
            <w:r>
              <w:rPr/>
              <w:t>517</w:t>
            </w:r>
          </w:p>
        </w:tc>
        <w:tc>
          <w:tcPr>
            <w:tcW w:w="241" w:type="dxa"/>
            <w:tcBorders/>
            <w:shd w:fill="auto" w:val="clear"/>
            <w:vAlign w:val="bottom"/>
          </w:tcPr>
          <w:p>
            <w:pPr>
              <w:pStyle w:val="TableContents"/>
              <w:spacing w:before="0" w:after="283"/>
              <w:rPr/>
            </w:pPr>
            <w:r>
              <w:rPr/>
              <w:t> </w:t>
            </w:r>
          </w:p>
        </w:tc>
      </w:tr>
      <w:tr>
        <w:trPr/>
        <w:tc>
          <w:tcPr>
            <w:tcW w:w="2714" w:type="dxa"/>
            <w:tcBorders/>
            <w:shd w:fill="CCEEFF" w:val="clear"/>
            <w:vAlign w:val="bottom"/>
          </w:tcPr>
          <w:p>
            <w:pPr>
              <w:pStyle w:val="TableContents"/>
              <w:spacing w:before="0" w:after="0"/>
              <w:ind w:left="450" w:right="0" w:hanging="225"/>
              <w:rPr/>
            </w:pPr>
            <w:r>
              <w:rPr/>
              <w:t>Change in valuation allowance</w:t>
            </w:r>
          </w:p>
        </w:tc>
        <w:tc>
          <w:tcPr>
            <w:tcW w:w="23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 </w:t>
            </w:r>
          </w:p>
        </w:tc>
        <w:tc>
          <w:tcPr>
            <w:tcW w:w="1155" w:type="dxa"/>
            <w:tcBorders/>
            <w:shd w:fill="CCEEFF" w:val="clear"/>
            <w:vAlign w:val="bottom"/>
          </w:tcPr>
          <w:p>
            <w:pPr>
              <w:pStyle w:val="TableContents"/>
              <w:spacing w:before="0" w:after="283"/>
              <w:jc w:val="right"/>
              <w:rPr/>
            </w:pPr>
            <w:r>
              <w:rPr/>
              <w:t>(599</w:t>
            </w:r>
          </w:p>
        </w:tc>
        <w:tc>
          <w:tcPr>
            <w:tcW w:w="344" w:type="dxa"/>
            <w:tcBorders/>
            <w:shd w:fill="CCEEFF" w:val="clear"/>
            <w:vAlign w:val="bottom"/>
          </w:tcPr>
          <w:p>
            <w:pPr>
              <w:pStyle w:val="TableContents"/>
              <w:spacing w:before="0" w:after="283"/>
              <w:rPr/>
            </w:pPr>
            <w:r>
              <w:rPr/>
              <w:t>)</w:t>
            </w:r>
          </w:p>
        </w:tc>
        <w:tc>
          <w:tcPr>
            <w:tcW w:w="26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 </w:t>
            </w:r>
          </w:p>
        </w:tc>
        <w:tc>
          <w:tcPr>
            <w:tcW w:w="1156" w:type="dxa"/>
            <w:tcBorders/>
            <w:shd w:fill="CCEEFF" w:val="clear"/>
            <w:vAlign w:val="bottom"/>
          </w:tcPr>
          <w:p>
            <w:pPr>
              <w:pStyle w:val="TableContents"/>
              <w:spacing w:before="0" w:after="283"/>
              <w:jc w:val="right"/>
              <w:rPr/>
            </w:pPr>
            <w:r>
              <w:rPr/>
              <w:t>(627</w:t>
            </w:r>
          </w:p>
        </w:tc>
        <w:tc>
          <w:tcPr>
            <w:tcW w:w="228" w:type="dxa"/>
            <w:tcBorders/>
            <w:shd w:fill="CCEEFF" w:val="clear"/>
            <w:vAlign w:val="bottom"/>
          </w:tcPr>
          <w:p>
            <w:pPr>
              <w:pStyle w:val="TableContents"/>
              <w:spacing w:before="0" w:after="283"/>
              <w:rPr/>
            </w:pPr>
            <w:r>
              <w:rPr/>
              <w:t>)</w:t>
            </w:r>
          </w:p>
        </w:tc>
        <w:tc>
          <w:tcPr>
            <w:tcW w:w="23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pPr>
            <w:r>
              <w:rPr/>
              <w:t>(300</w:t>
            </w:r>
          </w:p>
        </w:tc>
        <w:tc>
          <w:tcPr>
            <w:tcW w:w="320" w:type="dxa"/>
            <w:tcBorders/>
            <w:shd w:fill="CCEEFF" w:val="clear"/>
            <w:vAlign w:val="bottom"/>
          </w:tcPr>
          <w:p>
            <w:pPr>
              <w:pStyle w:val="TableContents"/>
              <w:spacing w:before="0" w:after="283"/>
              <w:rPr/>
            </w:pPr>
            <w:r>
              <w:rPr/>
              <w:t>)</w:t>
            </w:r>
          </w:p>
        </w:tc>
        <w:tc>
          <w:tcPr>
            <w:tcW w:w="25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pPr>
            <w:r>
              <w:rPr/>
              <w:t>(867</w:t>
            </w:r>
          </w:p>
        </w:tc>
        <w:tc>
          <w:tcPr>
            <w:tcW w:w="241" w:type="dxa"/>
            <w:tcBorders/>
            <w:shd w:fill="CCEEFF" w:val="clear"/>
            <w:vAlign w:val="bottom"/>
          </w:tcPr>
          <w:p>
            <w:pPr>
              <w:pStyle w:val="TableContents"/>
              <w:spacing w:before="0" w:after="283"/>
              <w:rPr/>
            </w:pPr>
            <w:r>
              <w:rPr/>
              <w:t>)</w:t>
            </w:r>
          </w:p>
        </w:tc>
      </w:tr>
      <w:tr>
        <w:trPr/>
        <w:tc>
          <w:tcPr>
            <w:tcW w:w="2714" w:type="dxa"/>
            <w:tcBorders/>
            <w:shd w:fill="auto" w:val="clear"/>
            <w:vAlign w:val="bottom"/>
          </w:tcPr>
          <w:p>
            <w:pPr>
              <w:pStyle w:val="TableContents"/>
              <w:spacing w:before="0" w:after="0"/>
              <w:ind w:left="450" w:right="0" w:hanging="225"/>
              <w:rPr/>
            </w:pPr>
            <w:r>
              <w:rPr/>
              <w:t>Other related costs</w:t>
            </w:r>
          </w:p>
        </w:tc>
        <w:tc>
          <w:tcPr>
            <w:tcW w:w="23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83</w:t>
            </w:r>
          </w:p>
        </w:tc>
        <w:tc>
          <w:tcPr>
            <w:tcW w:w="34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jc w:val="right"/>
              <w:rPr/>
            </w:pPr>
            <w:r>
              <w:rPr/>
              <w:t>25</w:t>
            </w:r>
          </w:p>
        </w:tc>
        <w:tc>
          <w:tcPr>
            <w:tcW w:w="22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127</w:t>
            </w:r>
          </w:p>
        </w:tc>
        <w:tc>
          <w:tcPr>
            <w:tcW w:w="3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080" w:type="dxa"/>
            <w:tcBorders/>
            <w:shd w:fill="auto" w:val="clear"/>
            <w:vAlign w:val="bottom"/>
          </w:tcPr>
          <w:p>
            <w:pPr>
              <w:pStyle w:val="TableContents"/>
              <w:spacing w:before="0" w:after="283"/>
              <w:jc w:val="right"/>
              <w:rPr/>
            </w:pPr>
            <w:r>
              <w:rPr/>
              <w:t>59</w:t>
            </w:r>
          </w:p>
        </w:tc>
        <w:tc>
          <w:tcPr>
            <w:tcW w:w="241" w:type="dxa"/>
            <w:tcBorders/>
            <w:shd w:fill="auto" w:val="clear"/>
            <w:vAlign w:val="bottom"/>
          </w:tcPr>
          <w:p>
            <w:pPr>
              <w:pStyle w:val="TableContents"/>
              <w:spacing w:before="0" w:after="283"/>
              <w:rPr/>
            </w:pPr>
            <w:r>
              <w:rPr/>
              <w:t> </w:t>
            </w:r>
          </w:p>
        </w:tc>
      </w:tr>
      <w:tr>
        <w:trPr/>
        <w:tc>
          <w:tcPr>
            <w:tcW w:w="2714" w:type="dxa"/>
            <w:tcBorders/>
            <w:shd w:fill="auto" w:val="clear"/>
            <w:vAlign w:val="center"/>
          </w:tcPr>
          <w:p>
            <w:pPr>
              <w:pStyle w:val="TableContents"/>
              <w:spacing w:before="0" w:after="0"/>
              <w:ind w:left="225" w:right="0" w:hanging="225"/>
              <w:rPr/>
            </w:pPr>
            <w:r>
              <w:rPr/>
              <w:t> </w:t>
            </w:r>
          </w:p>
        </w:tc>
        <w:tc>
          <w:tcPr>
            <w:tcW w:w="230" w:type="dxa"/>
            <w:tcBorders/>
            <w:shd w:fill="auto" w:val="clear"/>
            <w:vAlign w:val="center"/>
          </w:tcPr>
          <w:p>
            <w:pPr>
              <w:pStyle w:val="TableContents"/>
              <w:spacing w:before="0" w:after="283"/>
              <w:rPr/>
            </w:pPr>
            <w:r>
              <w:rPr/>
              <w:t> </w:t>
            </w:r>
          </w:p>
        </w:tc>
        <w:tc>
          <w:tcPr>
            <w:tcW w:w="13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rPr/>
            </w:pPr>
            <w:r>
              <w:rPr/>
              <w:t> </w:t>
            </w:r>
          </w:p>
        </w:tc>
        <w:tc>
          <w:tcPr>
            <w:tcW w:w="13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1" w:type="dxa"/>
            <w:tcBorders/>
            <w:shd w:fill="auto" w:val="clear"/>
            <w:vAlign w:val="center"/>
          </w:tcPr>
          <w:p>
            <w:pPr>
              <w:pStyle w:val="TableContents"/>
              <w:spacing w:before="0" w:after="283"/>
              <w:rPr/>
            </w:pPr>
            <w:r>
              <w:rPr/>
              <w:t> </w:t>
            </w:r>
          </w:p>
        </w:tc>
      </w:tr>
      <w:tr>
        <w:trPr/>
        <w:tc>
          <w:tcPr>
            <w:tcW w:w="2714" w:type="dxa"/>
            <w:tcBorders/>
            <w:shd w:fill="CCEEFF" w:val="clear"/>
            <w:vAlign w:val="bottom"/>
          </w:tcPr>
          <w:p>
            <w:pPr>
              <w:pStyle w:val="TableContents"/>
              <w:spacing w:before="0" w:after="0"/>
              <w:ind w:left="675" w:right="0" w:hanging="225"/>
              <w:rPr/>
            </w:pPr>
            <w:r>
              <w:rPr/>
              <w:t>Net bad debt</w:t>
            </w:r>
          </w:p>
        </w:tc>
        <w:tc>
          <w:tcPr>
            <w:tcW w:w="23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2,916</w:t>
            </w:r>
          </w:p>
        </w:tc>
        <w:tc>
          <w:tcPr>
            <w:tcW w:w="34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jc w:val="right"/>
              <w:rPr/>
            </w:pPr>
            <w:r>
              <w:rPr/>
              <w:t>2,157</w:t>
            </w:r>
          </w:p>
        </w:tc>
        <w:tc>
          <w:tcPr>
            <w:tcW w:w="22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8,944</w:t>
            </w:r>
          </w:p>
        </w:tc>
        <w:tc>
          <w:tcPr>
            <w:tcW w:w="3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080" w:type="dxa"/>
            <w:tcBorders/>
            <w:shd w:fill="CCEEFF" w:val="clear"/>
            <w:vAlign w:val="bottom"/>
          </w:tcPr>
          <w:p>
            <w:pPr>
              <w:pStyle w:val="TableContents"/>
              <w:spacing w:before="0" w:after="283"/>
              <w:jc w:val="right"/>
              <w:rPr/>
            </w:pPr>
            <w:r>
              <w:rPr/>
              <w:t>6,531</w:t>
            </w:r>
          </w:p>
        </w:tc>
        <w:tc>
          <w:tcPr>
            <w:tcW w:w="241" w:type="dxa"/>
            <w:tcBorders/>
            <w:shd w:fill="CCEEFF" w:val="clear"/>
            <w:vAlign w:val="bottom"/>
          </w:tcPr>
          <w:p>
            <w:pPr>
              <w:pStyle w:val="TableContents"/>
              <w:spacing w:before="0" w:after="283"/>
              <w:rPr/>
            </w:pPr>
            <w:r>
              <w:rPr/>
              <w:t> </w:t>
            </w:r>
          </w:p>
        </w:tc>
      </w:tr>
      <w:tr>
        <w:trPr/>
        <w:tc>
          <w:tcPr>
            <w:tcW w:w="2714" w:type="dxa"/>
            <w:tcBorders/>
            <w:shd w:fill="auto" w:val="clear"/>
            <w:vAlign w:val="center"/>
          </w:tcPr>
          <w:p>
            <w:pPr>
              <w:pStyle w:val="TableContents"/>
              <w:spacing w:before="0" w:after="0"/>
              <w:ind w:left="225" w:right="0" w:hanging="225"/>
              <w:rPr/>
            </w:pPr>
            <w:r>
              <w:rPr/>
              <w:t> </w:t>
            </w:r>
          </w:p>
        </w:tc>
        <w:tc>
          <w:tcPr>
            <w:tcW w:w="230" w:type="dxa"/>
            <w:tcBorders/>
            <w:shd w:fill="auto" w:val="clear"/>
            <w:vAlign w:val="center"/>
          </w:tcPr>
          <w:p>
            <w:pPr>
              <w:pStyle w:val="TableContents"/>
              <w:spacing w:before="0" w:after="283"/>
              <w:rPr/>
            </w:pPr>
            <w:r>
              <w:rPr/>
              <w:t> </w:t>
            </w:r>
          </w:p>
        </w:tc>
        <w:tc>
          <w:tcPr>
            <w:tcW w:w="13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rPr/>
            </w:pPr>
            <w:r>
              <w:rPr/>
              <w:t> </w:t>
            </w:r>
          </w:p>
        </w:tc>
        <w:tc>
          <w:tcPr>
            <w:tcW w:w="13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1" w:type="dxa"/>
            <w:tcBorders/>
            <w:shd w:fill="auto" w:val="clear"/>
            <w:vAlign w:val="center"/>
          </w:tcPr>
          <w:p>
            <w:pPr>
              <w:pStyle w:val="TableContents"/>
              <w:spacing w:before="0" w:after="283"/>
              <w:rPr/>
            </w:pPr>
            <w:r>
              <w:rPr/>
              <w:t> </w:t>
            </w:r>
          </w:p>
        </w:tc>
      </w:tr>
      <w:tr>
        <w:trPr/>
        <w:tc>
          <w:tcPr>
            <w:tcW w:w="2714" w:type="dxa"/>
            <w:tcBorders/>
            <w:shd w:fill="auto" w:val="clear"/>
            <w:vAlign w:val="bottom"/>
          </w:tcPr>
          <w:p>
            <w:pPr>
              <w:pStyle w:val="TableContents"/>
              <w:spacing w:before="0" w:after="0"/>
              <w:ind w:left="225" w:right="0" w:hanging="225"/>
              <w:rPr/>
            </w:pPr>
            <w:r>
              <w:rPr/>
              <w:t>Fee revenue less bad debt</w:t>
            </w:r>
          </w:p>
        </w:tc>
        <w:tc>
          <w:tcPr>
            <w:tcW w:w="23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w:t>
            </w:r>
          </w:p>
        </w:tc>
        <w:tc>
          <w:tcPr>
            <w:tcW w:w="1155" w:type="dxa"/>
            <w:tcBorders/>
            <w:shd w:fill="auto" w:val="clear"/>
            <w:vAlign w:val="bottom"/>
          </w:tcPr>
          <w:p>
            <w:pPr>
              <w:pStyle w:val="TableContents"/>
              <w:spacing w:before="0" w:after="283"/>
              <w:jc w:val="right"/>
              <w:rPr/>
            </w:pPr>
            <w:r>
              <w:rPr/>
              <w:t>19,797</w:t>
            </w:r>
          </w:p>
        </w:tc>
        <w:tc>
          <w:tcPr>
            <w:tcW w:w="34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w:t>
            </w:r>
          </w:p>
        </w:tc>
        <w:tc>
          <w:tcPr>
            <w:tcW w:w="1156" w:type="dxa"/>
            <w:tcBorders/>
            <w:shd w:fill="auto" w:val="clear"/>
            <w:vAlign w:val="bottom"/>
          </w:tcPr>
          <w:p>
            <w:pPr>
              <w:pStyle w:val="TableContents"/>
              <w:spacing w:before="0" w:after="283"/>
              <w:jc w:val="right"/>
              <w:rPr/>
            </w:pPr>
            <w:r>
              <w:rPr/>
              <w:t>13,397</w:t>
            </w:r>
          </w:p>
        </w:tc>
        <w:tc>
          <w:tcPr>
            <w:tcW w:w="22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38,164</w:t>
            </w:r>
          </w:p>
        </w:tc>
        <w:tc>
          <w:tcPr>
            <w:tcW w:w="3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1080" w:type="dxa"/>
            <w:tcBorders/>
            <w:shd w:fill="auto" w:val="clear"/>
            <w:vAlign w:val="bottom"/>
          </w:tcPr>
          <w:p>
            <w:pPr>
              <w:pStyle w:val="TableContents"/>
              <w:spacing w:before="0" w:after="283"/>
              <w:jc w:val="right"/>
              <w:rPr/>
            </w:pPr>
            <w:r>
              <w:rPr/>
              <w:t>25,597</w:t>
            </w:r>
          </w:p>
        </w:tc>
        <w:tc>
          <w:tcPr>
            <w:tcW w:w="241" w:type="dxa"/>
            <w:tcBorders/>
            <w:shd w:fill="auto" w:val="clear"/>
            <w:vAlign w:val="bottom"/>
          </w:tcPr>
          <w:p>
            <w:pPr>
              <w:pStyle w:val="TableContents"/>
              <w:spacing w:before="0" w:after="283"/>
              <w:rPr/>
            </w:pPr>
            <w:r>
              <w:rPr/>
              <w:t> </w:t>
            </w:r>
          </w:p>
        </w:tc>
      </w:tr>
      <w:tr>
        <w:trPr/>
        <w:tc>
          <w:tcPr>
            <w:tcW w:w="2714" w:type="dxa"/>
            <w:tcBorders/>
            <w:shd w:fill="auto" w:val="clear"/>
            <w:vAlign w:val="center"/>
          </w:tcPr>
          <w:p>
            <w:pPr>
              <w:pStyle w:val="TableContents"/>
              <w:spacing w:before="0" w:after="0"/>
              <w:ind w:left="225" w:right="0" w:hanging="225"/>
              <w:rPr/>
            </w:pPr>
            <w:r>
              <w:rPr/>
              <w:t> </w:t>
            </w:r>
          </w:p>
        </w:tc>
        <w:tc>
          <w:tcPr>
            <w:tcW w:w="230" w:type="dxa"/>
            <w:tcBorders/>
            <w:shd w:fill="auto" w:val="clear"/>
            <w:vAlign w:val="center"/>
          </w:tcPr>
          <w:p>
            <w:pPr>
              <w:pStyle w:val="TableContents"/>
              <w:spacing w:before="0" w:after="283"/>
              <w:rPr/>
            </w:pPr>
            <w:r>
              <w:rPr/>
              <w:t> </w:t>
            </w:r>
          </w:p>
        </w:tc>
        <w:tc>
          <w:tcPr>
            <w:tcW w:w="13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rPr/>
            </w:pPr>
            <w:r>
              <w:rPr/>
              <w:t> </w:t>
            </w:r>
          </w:p>
        </w:tc>
        <w:tc>
          <w:tcPr>
            <w:tcW w:w="13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2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2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1" w:type="dxa"/>
            <w:tcBorders/>
            <w:shd w:fill="auto" w:val="clear"/>
            <w:vAlign w:val="center"/>
          </w:tcPr>
          <w:p>
            <w:pPr>
              <w:pStyle w:val="TableContents"/>
              <w:spacing w:before="0" w:after="283"/>
              <w:rPr/>
            </w:pPr>
            <w:r>
              <w:rPr/>
              <w:t> </w:t>
            </w:r>
          </w:p>
        </w:tc>
      </w:tr>
      <w:tr>
        <w:trPr/>
        <w:tc>
          <w:tcPr>
            <w:tcW w:w="2714" w:type="dxa"/>
            <w:tcBorders/>
            <w:shd w:fill="auto" w:val="clear"/>
            <w:vAlign w:val="bottom"/>
          </w:tcPr>
          <w:p>
            <w:pPr>
              <w:pStyle w:val="TableContents"/>
              <w:spacing w:before="0" w:after="0"/>
              <w:ind w:left="225" w:right="0" w:hanging="225"/>
              <w:rPr/>
            </w:pPr>
            <w:r>
              <w:rPr/>
              <w:t> </w:t>
            </w:r>
          </w:p>
        </w:tc>
        <w:tc>
          <w:tcPr>
            <w:tcW w:w="23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08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r>
      <w:tr>
        <w:trPr/>
        <w:tc>
          <w:tcPr>
            <w:tcW w:w="2714" w:type="dxa"/>
            <w:tcBorders/>
            <w:shd w:fill="CCEEFF" w:val="clear"/>
            <w:vAlign w:val="bottom"/>
          </w:tcPr>
          <w:p>
            <w:pPr>
              <w:pStyle w:val="TableContents"/>
              <w:spacing w:before="0" w:after="0"/>
              <w:ind w:left="225" w:right="0" w:hanging="225"/>
              <w:rPr/>
            </w:pPr>
            <w:r>
              <w:rPr/>
              <w:t>Average signature loan balance outstanding during period (a)</w:t>
            </w:r>
          </w:p>
        </w:tc>
        <w:tc>
          <w:tcPr>
            <w:tcW w:w="23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w:t>
            </w:r>
          </w:p>
        </w:tc>
        <w:tc>
          <w:tcPr>
            <w:tcW w:w="1155" w:type="dxa"/>
            <w:tcBorders/>
            <w:shd w:fill="CCEEFF" w:val="clear"/>
            <w:vAlign w:val="bottom"/>
          </w:tcPr>
          <w:p>
            <w:pPr>
              <w:pStyle w:val="TableContents"/>
              <w:spacing w:before="0" w:after="283"/>
              <w:jc w:val="right"/>
              <w:rPr/>
            </w:pPr>
            <w:r>
              <w:rPr/>
              <w:t>21,075</w:t>
            </w:r>
          </w:p>
        </w:tc>
        <w:tc>
          <w:tcPr>
            <w:tcW w:w="34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w:t>
            </w:r>
          </w:p>
        </w:tc>
        <w:tc>
          <w:tcPr>
            <w:tcW w:w="1156" w:type="dxa"/>
            <w:tcBorders/>
            <w:shd w:fill="CCEEFF" w:val="clear"/>
            <w:vAlign w:val="bottom"/>
          </w:tcPr>
          <w:p>
            <w:pPr>
              <w:pStyle w:val="TableContents"/>
              <w:spacing w:before="0" w:after="283"/>
              <w:jc w:val="right"/>
              <w:rPr/>
            </w:pPr>
            <w:r>
              <w:rPr/>
              <w:t>14,600</w:t>
            </w:r>
          </w:p>
        </w:tc>
        <w:tc>
          <w:tcPr>
            <w:tcW w:w="22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21,043</w:t>
            </w:r>
          </w:p>
        </w:tc>
        <w:tc>
          <w:tcPr>
            <w:tcW w:w="3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080" w:type="dxa"/>
            <w:tcBorders/>
            <w:shd w:fill="CCEEFF" w:val="clear"/>
            <w:vAlign w:val="bottom"/>
          </w:tcPr>
          <w:p>
            <w:pPr>
              <w:pStyle w:val="TableContents"/>
              <w:spacing w:before="0" w:after="283"/>
              <w:jc w:val="right"/>
              <w:rPr/>
            </w:pPr>
            <w:r>
              <w:rPr/>
              <w:t>14,737</w:t>
            </w:r>
          </w:p>
        </w:tc>
        <w:tc>
          <w:tcPr>
            <w:tcW w:w="241" w:type="dxa"/>
            <w:tcBorders/>
            <w:shd w:fill="CCEEFF" w:val="clear"/>
            <w:vAlign w:val="bottom"/>
          </w:tcPr>
          <w:p>
            <w:pPr>
              <w:pStyle w:val="TableContents"/>
              <w:spacing w:before="0" w:after="283"/>
              <w:rPr/>
            </w:pPr>
            <w:r>
              <w:rPr/>
              <w:t> </w:t>
            </w:r>
          </w:p>
        </w:tc>
      </w:tr>
      <w:tr>
        <w:trPr/>
        <w:tc>
          <w:tcPr>
            <w:tcW w:w="2714" w:type="dxa"/>
            <w:tcBorders/>
            <w:shd w:fill="auto" w:val="clear"/>
            <w:vAlign w:val="bottom"/>
          </w:tcPr>
          <w:p>
            <w:pPr>
              <w:pStyle w:val="TableContents"/>
              <w:spacing w:before="0" w:after="0"/>
              <w:ind w:left="225" w:right="0" w:hanging="225"/>
              <w:rPr/>
            </w:pPr>
            <w:r>
              <w:rPr/>
              <w:t>Signature loan balance at end of period (a)</w:t>
            </w:r>
          </w:p>
        </w:tc>
        <w:tc>
          <w:tcPr>
            <w:tcW w:w="23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w:t>
            </w:r>
          </w:p>
        </w:tc>
        <w:tc>
          <w:tcPr>
            <w:tcW w:w="1155" w:type="dxa"/>
            <w:tcBorders/>
            <w:shd w:fill="auto" w:val="clear"/>
            <w:vAlign w:val="bottom"/>
          </w:tcPr>
          <w:p>
            <w:pPr>
              <w:pStyle w:val="TableContents"/>
              <w:spacing w:before="0" w:after="283"/>
              <w:jc w:val="right"/>
              <w:rPr/>
            </w:pPr>
            <w:r>
              <w:rPr/>
              <w:t>20,199</w:t>
            </w:r>
          </w:p>
        </w:tc>
        <w:tc>
          <w:tcPr>
            <w:tcW w:w="34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w:t>
            </w:r>
          </w:p>
        </w:tc>
        <w:tc>
          <w:tcPr>
            <w:tcW w:w="1156" w:type="dxa"/>
            <w:tcBorders/>
            <w:shd w:fill="auto" w:val="clear"/>
            <w:vAlign w:val="bottom"/>
          </w:tcPr>
          <w:p>
            <w:pPr>
              <w:pStyle w:val="TableContents"/>
              <w:spacing w:before="0" w:after="283"/>
              <w:jc w:val="right"/>
              <w:rPr/>
            </w:pPr>
            <w:r>
              <w:rPr/>
              <w:t>13,547</w:t>
            </w:r>
          </w:p>
        </w:tc>
        <w:tc>
          <w:tcPr>
            <w:tcW w:w="22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20,199</w:t>
            </w:r>
          </w:p>
        </w:tc>
        <w:tc>
          <w:tcPr>
            <w:tcW w:w="3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1080" w:type="dxa"/>
            <w:tcBorders/>
            <w:shd w:fill="auto" w:val="clear"/>
            <w:vAlign w:val="bottom"/>
          </w:tcPr>
          <w:p>
            <w:pPr>
              <w:pStyle w:val="TableContents"/>
              <w:spacing w:before="0" w:after="283"/>
              <w:jc w:val="right"/>
              <w:rPr/>
            </w:pPr>
            <w:r>
              <w:rPr/>
              <w:t>13,547</w:t>
            </w:r>
          </w:p>
        </w:tc>
        <w:tc>
          <w:tcPr>
            <w:tcW w:w="241" w:type="dxa"/>
            <w:tcBorders/>
            <w:shd w:fill="auto" w:val="clear"/>
            <w:vAlign w:val="bottom"/>
          </w:tcPr>
          <w:p>
            <w:pPr>
              <w:pStyle w:val="TableContents"/>
              <w:spacing w:before="0" w:after="283"/>
              <w:rPr/>
            </w:pPr>
            <w:r>
              <w:rPr/>
              <w:t> </w:t>
            </w:r>
          </w:p>
        </w:tc>
      </w:tr>
      <w:tr>
        <w:trPr/>
        <w:tc>
          <w:tcPr>
            <w:tcW w:w="2714" w:type="dxa"/>
            <w:tcBorders/>
            <w:shd w:fill="CCEEFF" w:val="clear"/>
            <w:vAlign w:val="bottom"/>
          </w:tcPr>
          <w:p>
            <w:pPr>
              <w:pStyle w:val="TableContents"/>
              <w:spacing w:before="0" w:after="0"/>
              <w:ind w:left="225" w:right="0" w:hanging="225"/>
              <w:rPr/>
            </w:pPr>
            <w:r>
              <w:rPr/>
              <w:t>Participating stores at end of period</w:t>
            </w:r>
          </w:p>
        </w:tc>
        <w:tc>
          <w:tcPr>
            <w:tcW w:w="23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449</w:t>
            </w:r>
          </w:p>
        </w:tc>
        <w:tc>
          <w:tcPr>
            <w:tcW w:w="34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jc w:val="right"/>
              <w:rPr/>
            </w:pPr>
            <w:r>
              <w:rPr/>
              <w:t>346</w:t>
            </w:r>
          </w:p>
        </w:tc>
        <w:tc>
          <w:tcPr>
            <w:tcW w:w="22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449</w:t>
            </w:r>
          </w:p>
        </w:tc>
        <w:tc>
          <w:tcPr>
            <w:tcW w:w="3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080" w:type="dxa"/>
            <w:tcBorders/>
            <w:shd w:fill="CCEEFF" w:val="clear"/>
            <w:vAlign w:val="bottom"/>
          </w:tcPr>
          <w:p>
            <w:pPr>
              <w:pStyle w:val="TableContents"/>
              <w:spacing w:before="0" w:after="283"/>
              <w:jc w:val="right"/>
              <w:rPr/>
            </w:pPr>
            <w:r>
              <w:rPr/>
              <w:t>346</w:t>
            </w:r>
          </w:p>
        </w:tc>
        <w:tc>
          <w:tcPr>
            <w:tcW w:w="241" w:type="dxa"/>
            <w:tcBorders/>
            <w:shd w:fill="CCEEFF" w:val="clear"/>
            <w:vAlign w:val="bottom"/>
          </w:tcPr>
          <w:p>
            <w:pPr>
              <w:pStyle w:val="TableContents"/>
              <w:spacing w:before="0" w:after="283"/>
              <w:rPr/>
            </w:pPr>
            <w:r>
              <w:rPr/>
              <w:t> </w:t>
            </w:r>
          </w:p>
        </w:tc>
      </w:tr>
      <w:tr>
        <w:trPr/>
        <w:tc>
          <w:tcPr>
            <w:tcW w:w="2714" w:type="dxa"/>
            <w:tcBorders/>
            <w:shd w:fill="auto" w:val="clear"/>
            <w:vAlign w:val="bottom"/>
          </w:tcPr>
          <w:p>
            <w:pPr>
              <w:pStyle w:val="TableContents"/>
              <w:spacing w:before="0" w:after="0"/>
              <w:ind w:left="225" w:right="0" w:hanging="225"/>
              <w:rPr/>
            </w:pPr>
            <w:r>
              <w:rPr/>
              <w:t>Signature loan bad debt, as a percent of fee revenue</w:t>
            </w:r>
          </w:p>
        </w:tc>
        <w:tc>
          <w:tcPr>
            <w:tcW w:w="23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 </w:t>
            </w:r>
          </w:p>
        </w:tc>
        <w:tc>
          <w:tcPr>
            <w:tcW w:w="1155" w:type="dxa"/>
            <w:tcBorders/>
            <w:shd w:fill="auto" w:val="clear"/>
            <w:vAlign w:val="bottom"/>
          </w:tcPr>
          <w:p>
            <w:pPr>
              <w:pStyle w:val="TableContents"/>
              <w:spacing w:before="0" w:after="283"/>
              <w:jc w:val="right"/>
              <w:rPr/>
            </w:pPr>
            <w:r>
              <w:rPr/>
              <w:t>12.8</w:t>
            </w:r>
          </w:p>
        </w:tc>
        <w:tc>
          <w:tcPr>
            <w:tcW w:w="344" w:type="dxa"/>
            <w:tcBorders/>
            <w:shd w:fill="auto" w:val="clear"/>
            <w:vAlign w:val="bottom"/>
          </w:tcPr>
          <w:p>
            <w:pPr>
              <w:pStyle w:val="TableContents"/>
              <w:spacing w:before="0" w:after="283"/>
              <w:rPr/>
            </w:pPr>
            <w:r>
              <w:rPr/>
              <w:t>%</w:t>
            </w:r>
          </w:p>
        </w:tc>
        <w:tc>
          <w:tcPr>
            <w:tcW w:w="26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283"/>
              <w:jc w:val="right"/>
              <w:rPr/>
            </w:pPr>
            <w:r>
              <w:rPr/>
              <w:t>13.9</w:t>
            </w:r>
          </w:p>
        </w:tc>
        <w:tc>
          <w:tcPr>
            <w:tcW w:w="228" w:type="dxa"/>
            <w:tcBorders/>
            <w:shd w:fill="auto" w:val="clear"/>
            <w:vAlign w:val="bottom"/>
          </w:tcPr>
          <w:p>
            <w:pPr>
              <w:pStyle w:val="TableContents"/>
              <w:spacing w:before="0" w:after="283"/>
              <w:rPr/>
            </w:pPr>
            <w:r>
              <w:rPr/>
              <w:t>%</w:t>
            </w:r>
          </w:p>
        </w:tc>
        <w:tc>
          <w:tcPr>
            <w:tcW w:w="23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283"/>
              <w:jc w:val="right"/>
              <w:rPr/>
            </w:pPr>
            <w:r>
              <w:rPr/>
              <w:t>19.0</w:t>
            </w:r>
          </w:p>
        </w:tc>
        <w:tc>
          <w:tcPr>
            <w:tcW w:w="320" w:type="dxa"/>
            <w:tcBorders/>
            <w:shd w:fill="auto" w:val="clear"/>
            <w:vAlign w:val="bottom"/>
          </w:tcPr>
          <w:p>
            <w:pPr>
              <w:pStyle w:val="TableContents"/>
              <w:spacing w:before="0" w:after="283"/>
              <w:rPr/>
            </w:pPr>
            <w:r>
              <w:rPr/>
              <w:t>%</w:t>
            </w:r>
          </w:p>
        </w:tc>
        <w:tc>
          <w:tcPr>
            <w:tcW w:w="25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 </w:t>
            </w:r>
          </w:p>
        </w:tc>
        <w:tc>
          <w:tcPr>
            <w:tcW w:w="1080" w:type="dxa"/>
            <w:tcBorders/>
            <w:shd w:fill="auto" w:val="clear"/>
            <w:vAlign w:val="bottom"/>
          </w:tcPr>
          <w:p>
            <w:pPr>
              <w:pStyle w:val="TableContents"/>
              <w:spacing w:before="0" w:after="283"/>
              <w:jc w:val="right"/>
              <w:rPr/>
            </w:pPr>
            <w:r>
              <w:rPr/>
              <w:t>20.3</w:t>
            </w:r>
          </w:p>
        </w:tc>
        <w:tc>
          <w:tcPr>
            <w:tcW w:w="241" w:type="dxa"/>
            <w:tcBorders/>
            <w:shd w:fill="auto" w:val="clear"/>
            <w:vAlign w:val="bottom"/>
          </w:tcPr>
          <w:p>
            <w:pPr>
              <w:pStyle w:val="TableContents"/>
              <w:spacing w:before="0" w:after="283"/>
              <w:rPr/>
            </w:pPr>
            <w:r>
              <w:rPr/>
              <w:t>%</w:t>
            </w:r>
          </w:p>
        </w:tc>
      </w:tr>
      <w:tr>
        <w:trPr/>
        <w:tc>
          <w:tcPr>
            <w:tcW w:w="2714" w:type="dxa"/>
            <w:tcBorders/>
            <w:shd w:fill="CCEEFF" w:val="clear"/>
            <w:vAlign w:val="bottom"/>
          </w:tcPr>
          <w:p>
            <w:pPr>
              <w:pStyle w:val="TableContents"/>
              <w:spacing w:before="0" w:after="0"/>
              <w:ind w:left="225" w:right="0" w:hanging="225"/>
              <w:rPr/>
            </w:pPr>
            <w:r>
              <w:rPr/>
              <w:t>Net default rate (a) (b)</w:t>
            </w:r>
          </w:p>
        </w:tc>
        <w:tc>
          <w:tcPr>
            <w:tcW w:w="23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 </w:t>
            </w:r>
          </w:p>
        </w:tc>
        <w:tc>
          <w:tcPr>
            <w:tcW w:w="1155" w:type="dxa"/>
            <w:tcBorders/>
            <w:shd w:fill="CCEEFF" w:val="clear"/>
            <w:vAlign w:val="bottom"/>
          </w:tcPr>
          <w:p>
            <w:pPr>
              <w:pStyle w:val="TableContents"/>
              <w:spacing w:before="0" w:after="283"/>
              <w:jc w:val="right"/>
              <w:rPr/>
            </w:pPr>
            <w:r>
              <w:rPr/>
              <w:t>2.9</w:t>
            </w:r>
          </w:p>
        </w:tc>
        <w:tc>
          <w:tcPr>
            <w:tcW w:w="344" w:type="dxa"/>
            <w:tcBorders/>
            <w:shd w:fill="CCEEFF" w:val="clear"/>
            <w:vAlign w:val="bottom"/>
          </w:tcPr>
          <w:p>
            <w:pPr>
              <w:pStyle w:val="TableContents"/>
              <w:spacing w:before="0" w:after="283"/>
              <w:rPr/>
            </w:pPr>
            <w:r>
              <w:rPr/>
              <w:t>%</w:t>
            </w:r>
          </w:p>
        </w:tc>
        <w:tc>
          <w:tcPr>
            <w:tcW w:w="26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 </w:t>
            </w:r>
          </w:p>
        </w:tc>
        <w:tc>
          <w:tcPr>
            <w:tcW w:w="1156" w:type="dxa"/>
            <w:tcBorders/>
            <w:shd w:fill="CCEEFF" w:val="clear"/>
            <w:vAlign w:val="bottom"/>
          </w:tcPr>
          <w:p>
            <w:pPr>
              <w:pStyle w:val="TableContents"/>
              <w:spacing w:before="0" w:after="283"/>
              <w:jc w:val="right"/>
              <w:rPr/>
            </w:pPr>
            <w:r>
              <w:rPr/>
              <w:t>3.3</w:t>
            </w:r>
          </w:p>
        </w:tc>
        <w:tc>
          <w:tcPr>
            <w:tcW w:w="228" w:type="dxa"/>
            <w:tcBorders/>
            <w:shd w:fill="CCEEFF" w:val="clear"/>
            <w:vAlign w:val="bottom"/>
          </w:tcPr>
          <w:p>
            <w:pPr>
              <w:pStyle w:val="TableContents"/>
              <w:spacing w:before="0" w:after="283"/>
              <w:rPr/>
            </w:pPr>
            <w:r>
              <w:rPr/>
              <w:t>%</w:t>
            </w:r>
          </w:p>
        </w:tc>
        <w:tc>
          <w:tcPr>
            <w:tcW w:w="23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pPr>
            <w:r>
              <w:rPr/>
              <w:t>3.7</w:t>
            </w:r>
          </w:p>
        </w:tc>
        <w:tc>
          <w:tcPr>
            <w:tcW w:w="320" w:type="dxa"/>
            <w:tcBorders/>
            <w:shd w:fill="CCEEFF" w:val="clear"/>
            <w:vAlign w:val="bottom"/>
          </w:tcPr>
          <w:p>
            <w:pPr>
              <w:pStyle w:val="TableContents"/>
              <w:spacing w:before="0" w:after="283"/>
              <w:rPr/>
            </w:pPr>
            <w:r>
              <w:rPr/>
              <w:t>%</w:t>
            </w:r>
          </w:p>
        </w:tc>
        <w:tc>
          <w:tcPr>
            <w:tcW w:w="25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pPr>
            <w:r>
              <w:rPr/>
              <w:t>4.2</w:t>
            </w:r>
          </w:p>
        </w:tc>
        <w:tc>
          <w:tcPr>
            <w:tcW w:w="241"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(a)</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Signature loan balances include payday loans (net of valuation allowance) recorded on our balance sheet and the principal portion of active brokered loans outstanding from unaffiliated lenders, the balance of which is not included on our balance sheet.</w:t>
            </w:r>
          </w:p>
        </w:tc>
      </w:tr>
      <w:tr>
        <w:trPr/>
        <w:tc>
          <w:tcPr>
            <w:tcW w:w="6829" w:type="dxa"/>
            <w:tcBorders/>
            <w:shd w:fill="auto" w:val="clear"/>
            <w:vAlign w:val="center"/>
          </w:tcPr>
          <w:p>
            <w:pPr>
              <w:pStyle w:val="TableContents"/>
              <w:spacing w:before="0" w:after="283"/>
              <w:rPr/>
            </w:pPr>
            <w:r>
              <w:rPr/>
              <w:t> </w:t>
            </w:r>
          </w:p>
        </w:tc>
        <w:tc>
          <w:tcPr>
            <w:tcW w:w="3376" w:type="dxa"/>
            <w:gridSpan w:val="2"/>
            <w:tcBorders/>
            <w:shd w:fill="auto" w:val="clea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(b)</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Principal defaults net of collections, as a percentage of signature loans made and renewed.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Overview</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lend or provide credit services to individuals who do not have cash resources or access to credit to meet their short-term cash needs. We offer pawn loans in 280 domestic EZPAWN stores and two Mexico EZPAWN stores open at March 31, 2007. Pawn loans are non-recourse loans collateralized by tangible personal property. At these stores, we also sell merchandise, primarily collateral forfeited from our pawn lending operations, to customers looking for good value. In 369 EZMONEY stores and 80 of our domestic EZPAWN stores open March 31, 2007, we offer short-term non-collateralized loans, often called payday loans, or fee-based credit services to customers seeking loans (collectively, signature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April 2007, we announced our plans to acquire fifteen additional pawn stores from a competitor in Colorado, and expect that purchase to be completed in June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manage our business as two segments. The EZPAWN Operations segment offers pawn related activities in all 282 EZPAWN stores, and offers signature loans in 80 EZPAWN stores and seven EZMONEY stores. The EZMONEY Operations segment offers signature loans in 362 EZMONEY stores, and accounts for approximately 96% of our consolidated signature loan revenues. The following tables present store data by operating segment: </w:t>
      </w:r>
    </w:p>
    <w:tbl>
      <w:tblPr>
        <w:tblW w:w="5000" w:type="pct"/>
        <w:jc w:val="center"/>
        <w:tblInd w:w="0" w:type="dxa"/>
        <w:tblCellMar>
          <w:top w:w="0" w:type="dxa"/>
          <w:left w:w="0" w:type="dxa"/>
          <w:bottom w:w="0" w:type="dxa"/>
          <w:right w:w="0" w:type="dxa"/>
        </w:tblCellMar>
      </w:tblPr>
      <w:tblGrid>
        <w:gridCol w:w="3028"/>
        <w:gridCol w:w="235"/>
        <w:gridCol w:w="354"/>
        <w:gridCol w:w="1626"/>
        <w:gridCol w:w="356"/>
        <w:gridCol w:w="300"/>
        <w:gridCol w:w="358"/>
        <w:gridCol w:w="1647"/>
        <w:gridCol w:w="508"/>
        <w:gridCol w:w="300"/>
        <w:gridCol w:w="242"/>
        <w:gridCol w:w="908"/>
        <w:gridCol w:w="343"/>
      </w:tblGrid>
      <w:tr>
        <w:trPr/>
        <w:tc>
          <w:tcPr>
            <w:tcW w:w="3028"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626"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647"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r>
      <w:tr>
        <w:trPr/>
        <w:tc>
          <w:tcPr>
            <w:tcW w:w="3028"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6942" w:type="dxa"/>
            <w:gridSpan w:val="11"/>
            <w:tcBorders>
              <w:bottom w:val="single" w:sz="2" w:space="0" w:color="000000"/>
            </w:tcBorders>
            <w:shd w:fill="auto" w:val="clear"/>
            <w:tcMar>
              <w:bottom w:w="28" w:type="dxa"/>
            </w:tcMar>
            <w:vAlign w:val="bottom"/>
          </w:tcPr>
          <w:p>
            <w:pPr>
              <w:pStyle w:val="TableContents"/>
              <w:spacing w:before="0" w:after="283"/>
              <w:jc w:val="center"/>
              <w:rPr/>
            </w:pPr>
            <w:r>
              <w:rPr/>
              <w:t>Three Months Ended March 31, 2007</w:t>
            </w:r>
          </w:p>
        </w:tc>
      </w:tr>
      <w:tr>
        <w:trPr/>
        <w:tc>
          <w:tcPr>
            <w:tcW w:w="3028"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336" w:type="dxa"/>
            <w:gridSpan w:val="3"/>
            <w:tcBorders>
              <w:bottom w:val="single" w:sz="2" w:space="0" w:color="000000"/>
            </w:tcBorders>
            <w:shd w:fill="auto" w:val="clear"/>
            <w:tcMar>
              <w:bottom w:w="28" w:type="dxa"/>
            </w:tcMar>
            <w:vAlign w:val="bottom"/>
          </w:tcPr>
          <w:p>
            <w:pPr>
              <w:pStyle w:val="TableContents"/>
              <w:spacing w:before="0" w:after="283"/>
              <w:jc w:val="center"/>
              <w:rPr/>
            </w:pPr>
            <w:r>
              <w:rPr/>
              <w:t>EZPAWN Operations</w:t>
            </w:r>
          </w:p>
        </w:tc>
        <w:tc>
          <w:tcPr>
            <w:tcW w:w="300" w:type="dxa"/>
            <w:tcBorders/>
            <w:shd w:fill="auto" w:val="clear"/>
            <w:vAlign w:val="bottom"/>
          </w:tcPr>
          <w:p>
            <w:pPr>
              <w:pStyle w:val="TableContents"/>
              <w:spacing w:before="0" w:after="283"/>
              <w:rPr/>
            </w:pPr>
            <w:r>
              <w:rPr/>
              <w:t> </w:t>
            </w:r>
          </w:p>
        </w:tc>
        <w:tc>
          <w:tcPr>
            <w:tcW w:w="2513" w:type="dxa"/>
            <w:gridSpan w:val="3"/>
            <w:tcBorders>
              <w:bottom w:val="single" w:sz="2" w:space="0" w:color="000000"/>
            </w:tcBorders>
            <w:shd w:fill="auto" w:val="clear"/>
            <w:tcMar>
              <w:bottom w:w="28" w:type="dxa"/>
            </w:tcMar>
            <w:vAlign w:val="bottom"/>
          </w:tcPr>
          <w:p>
            <w:pPr>
              <w:pStyle w:val="TableContents"/>
              <w:spacing w:before="0" w:after="283"/>
              <w:jc w:val="center"/>
              <w:rPr/>
            </w:pPr>
            <w:r>
              <w:rPr/>
              <w:t>EZMONEY Operations</w:t>
            </w:r>
          </w:p>
        </w:tc>
        <w:tc>
          <w:tcPr>
            <w:tcW w:w="300" w:type="dxa"/>
            <w:tcBorders/>
            <w:shd w:fill="auto" w:val="clear"/>
            <w:vAlign w:val="bottom"/>
          </w:tcPr>
          <w:p>
            <w:pPr>
              <w:pStyle w:val="TableContents"/>
              <w:spacing w:before="0" w:after="283"/>
              <w:rPr/>
            </w:pPr>
            <w:r>
              <w:rPr/>
              <w:t> </w:t>
            </w:r>
          </w:p>
        </w:tc>
        <w:tc>
          <w:tcPr>
            <w:tcW w:w="1493" w:type="dxa"/>
            <w:gridSpan w:val="3"/>
            <w:tcBorders>
              <w:bottom w:val="single" w:sz="2" w:space="0" w:color="000000"/>
            </w:tcBorders>
            <w:shd w:fill="auto" w:val="clear"/>
            <w:tcMar>
              <w:bottom w:w="28" w:type="dxa"/>
            </w:tcMar>
            <w:vAlign w:val="bottom"/>
          </w:tcPr>
          <w:p>
            <w:pPr>
              <w:pStyle w:val="TableContents"/>
              <w:spacing w:before="0" w:after="283"/>
              <w:jc w:val="center"/>
              <w:rPr/>
            </w:pPr>
            <w:r>
              <w:rPr/>
              <w:t>Consolidated</w:t>
            </w:r>
          </w:p>
        </w:tc>
      </w:tr>
      <w:tr>
        <w:trPr/>
        <w:tc>
          <w:tcPr>
            <w:tcW w:w="3028" w:type="dxa"/>
            <w:tcBorders/>
            <w:shd w:fill="CCEEFF" w:val="clear"/>
            <w:vAlign w:val="bottom"/>
          </w:tcPr>
          <w:p>
            <w:pPr>
              <w:pStyle w:val="TableContents"/>
              <w:spacing w:before="0" w:after="0"/>
              <w:ind w:left="225" w:right="0" w:hanging="225"/>
              <w:rPr/>
            </w:pPr>
            <w:r>
              <w:rPr/>
              <w:t>Stores in operation:</w:t>
            </w:r>
          </w:p>
        </w:tc>
        <w:tc>
          <w:tcPr>
            <w:tcW w:w="23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626"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647" w:type="dxa"/>
            <w:tcBorders/>
            <w:shd w:fill="CCEEFF" w:val="clear"/>
            <w:vAlign w:val="bottom"/>
          </w:tcPr>
          <w:p>
            <w:pPr>
              <w:pStyle w:val="TableContents"/>
              <w:spacing w:before="0" w:after="283"/>
              <w:rPr/>
            </w:pPr>
            <w:r>
              <w:rPr/>
              <w:t> </w:t>
            </w:r>
          </w:p>
        </w:tc>
        <w:tc>
          <w:tcPr>
            <w:tcW w:w="508"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r>
      <w:tr>
        <w:trPr/>
        <w:tc>
          <w:tcPr>
            <w:tcW w:w="3028" w:type="dxa"/>
            <w:tcBorders/>
            <w:shd w:fill="auto" w:val="clear"/>
            <w:vAlign w:val="bottom"/>
          </w:tcPr>
          <w:p>
            <w:pPr>
              <w:pStyle w:val="TableContents"/>
              <w:spacing w:before="0" w:after="0"/>
              <w:ind w:left="450" w:right="0" w:hanging="225"/>
              <w:rPr/>
            </w:pPr>
            <w:r>
              <w:rPr/>
              <w:t>Beginning of period</w:t>
            </w:r>
          </w:p>
        </w:tc>
        <w:tc>
          <w:tcPr>
            <w:tcW w:w="23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626" w:type="dxa"/>
            <w:tcBorders/>
            <w:shd w:fill="auto" w:val="clear"/>
            <w:vAlign w:val="bottom"/>
          </w:tcPr>
          <w:p>
            <w:pPr>
              <w:pStyle w:val="TableContents"/>
              <w:spacing w:before="0" w:after="283"/>
              <w:jc w:val="right"/>
              <w:rPr/>
            </w:pPr>
            <w:r>
              <w:rPr/>
              <w:t>288</w:t>
            </w:r>
          </w:p>
        </w:tc>
        <w:tc>
          <w:tcPr>
            <w:tcW w:w="35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647" w:type="dxa"/>
            <w:tcBorders/>
            <w:shd w:fill="auto" w:val="clear"/>
            <w:vAlign w:val="bottom"/>
          </w:tcPr>
          <w:p>
            <w:pPr>
              <w:pStyle w:val="TableContents"/>
              <w:spacing w:before="0" w:after="283"/>
              <w:jc w:val="right"/>
              <w:rPr/>
            </w:pPr>
            <w:r>
              <w:rPr/>
              <w:t>333</w:t>
            </w:r>
          </w:p>
        </w:tc>
        <w:tc>
          <w:tcPr>
            <w:tcW w:w="508"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621</w:t>
            </w:r>
          </w:p>
        </w:tc>
        <w:tc>
          <w:tcPr>
            <w:tcW w:w="343" w:type="dxa"/>
            <w:tcBorders/>
            <w:shd w:fill="auto" w:val="clear"/>
            <w:vAlign w:val="bottom"/>
          </w:tcPr>
          <w:p>
            <w:pPr>
              <w:pStyle w:val="TableContents"/>
              <w:spacing w:before="0" w:after="283"/>
              <w:rPr/>
            </w:pPr>
            <w:r>
              <w:rPr/>
              <w:t> </w:t>
            </w:r>
          </w:p>
        </w:tc>
      </w:tr>
      <w:tr>
        <w:trPr/>
        <w:tc>
          <w:tcPr>
            <w:tcW w:w="3028" w:type="dxa"/>
            <w:tcBorders/>
            <w:shd w:fill="CCEEFF" w:val="clear"/>
            <w:vAlign w:val="bottom"/>
          </w:tcPr>
          <w:p>
            <w:pPr>
              <w:pStyle w:val="TableContents"/>
              <w:spacing w:before="0" w:after="0"/>
              <w:ind w:left="450" w:right="0" w:hanging="225"/>
              <w:rPr/>
            </w:pPr>
            <w:r>
              <w:rPr/>
              <w:t>New openings</w:t>
            </w:r>
          </w:p>
        </w:tc>
        <w:tc>
          <w:tcPr>
            <w:tcW w:w="23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626" w:type="dxa"/>
            <w:tcBorders/>
            <w:shd w:fill="CCEEFF" w:val="clear"/>
            <w:vAlign w:val="bottom"/>
          </w:tcPr>
          <w:p>
            <w:pPr>
              <w:pStyle w:val="TableContents"/>
              <w:spacing w:before="0" w:after="283"/>
              <w:jc w:val="right"/>
              <w:rPr/>
            </w:pPr>
            <w:r>
              <w:rPr/>
              <w:t>1</w:t>
            </w:r>
          </w:p>
        </w:tc>
        <w:tc>
          <w:tcPr>
            <w:tcW w:w="356"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647" w:type="dxa"/>
            <w:tcBorders/>
            <w:shd w:fill="CCEEFF" w:val="clear"/>
            <w:vAlign w:val="bottom"/>
          </w:tcPr>
          <w:p>
            <w:pPr>
              <w:pStyle w:val="TableContents"/>
              <w:spacing w:before="0" w:after="283"/>
              <w:jc w:val="right"/>
              <w:rPr/>
            </w:pPr>
            <w:r>
              <w:rPr/>
              <w:t>30</w:t>
            </w:r>
          </w:p>
        </w:tc>
        <w:tc>
          <w:tcPr>
            <w:tcW w:w="508"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31</w:t>
            </w:r>
          </w:p>
        </w:tc>
        <w:tc>
          <w:tcPr>
            <w:tcW w:w="343" w:type="dxa"/>
            <w:tcBorders/>
            <w:shd w:fill="CCEEFF" w:val="clear"/>
            <w:vAlign w:val="bottom"/>
          </w:tcPr>
          <w:p>
            <w:pPr>
              <w:pStyle w:val="TableContents"/>
              <w:spacing w:before="0" w:after="283"/>
              <w:rPr/>
            </w:pPr>
            <w:r>
              <w:rPr/>
              <w:t> </w:t>
            </w:r>
          </w:p>
        </w:tc>
      </w:tr>
      <w:tr>
        <w:trPr/>
        <w:tc>
          <w:tcPr>
            <w:tcW w:w="3028" w:type="dxa"/>
            <w:tcBorders/>
            <w:shd w:fill="auto" w:val="clear"/>
            <w:vAlign w:val="bottom"/>
          </w:tcPr>
          <w:p>
            <w:pPr>
              <w:pStyle w:val="TableContents"/>
              <w:spacing w:before="0" w:after="0"/>
              <w:ind w:left="450" w:right="0" w:hanging="225"/>
              <w:rPr/>
            </w:pPr>
            <w:r>
              <w:rPr/>
              <w:t>Acquired</w:t>
            </w:r>
          </w:p>
        </w:tc>
        <w:tc>
          <w:tcPr>
            <w:tcW w:w="23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626" w:type="dxa"/>
            <w:tcBorders/>
            <w:shd w:fill="auto" w:val="clear"/>
            <w:vAlign w:val="bottom"/>
          </w:tcPr>
          <w:p>
            <w:pPr>
              <w:pStyle w:val="TableContents"/>
              <w:spacing w:before="0" w:after="283"/>
              <w:jc w:val="right"/>
              <w:rPr/>
            </w:pPr>
            <w:r>
              <w:rPr/>
              <w:t></w:t>
            </w:r>
          </w:p>
        </w:tc>
        <w:tc>
          <w:tcPr>
            <w:tcW w:w="35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647" w:type="dxa"/>
            <w:tcBorders/>
            <w:shd w:fill="auto" w:val="clear"/>
            <w:vAlign w:val="bottom"/>
          </w:tcPr>
          <w:p>
            <w:pPr>
              <w:pStyle w:val="TableContents"/>
              <w:spacing w:before="0" w:after="283"/>
              <w:jc w:val="right"/>
              <w:rPr/>
            </w:pPr>
            <w:r>
              <w:rPr/>
              <w:t></w:t>
            </w:r>
          </w:p>
        </w:tc>
        <w:tc>
          <w:tcPr>
            <w:tcW w:w="508"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w:t>
            </w:r>
          </w:p>
        </w:tc>
        <w:tc>
          <w:tcPr>
            <w:tcW w:w="343" w:type="dxa"/>
            <w:tcBorders/>
            <w:shd w:fill="auto" w:val="clear"/>
            <w:vAlign w:val="bottom"/>
          </w:tcPr>
          <w:p>
            <w:pPr>
              <w:pStyle w:val="TableContents"/>
              <w:spacing w:before="0" w:after="283"/>
              <w:rPr/>
            </w:pPr>
            <w:r>
              <w:rPr/>
              <w:t> </w:t>
            </w:r>
          </w:p>
        </w:tc>
      </w:tr>
      <w:tr>
        <w:trPr/>
        <w:tc>
          <w:tcPr>
            <w:tcW w:w="3028" w:type="dxa"/>
            <w:tcBorders/>
            <w:shd w:fill="CCEEFF" w:val="clear"/>
            <w:vAlign w:val="bottom"/>
          </w:tcPr>
          <w:p>
            <w:pPr>
              <w:pStyle w:val="TableContents"/>
              <w:spacing w:before="0" w:after="0"/>
              <w:ind w:left="450" w:right="0" w:hanging="225"/>
              <w:rPr/>
            </w:pPr>
            <w:r>
              <w:rPr/>
              <w:t>Sold, combined, or closed</w:t>
            </w:r>
          </w:p>
        </w:tc>
        <w:tc>
          <w:tcPr>
            <w:tcW w:w="23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626" w:type="dxa"/>
            <w:tcBorders/>
            <w:shd w:fill="CCEEFF" w:val="clear"/>
            <w:vAlign w:val="bottom"/>
          </w:tcPr>
          <w:p>
            <w:pPr>
              <w:pStyle w:val="TableContents"/>
              <w:spacing w:before="0" w:after="283"/>
              <w:jc w:val="right"/>
              <w:rPr/>
            </w:pPr>
            <w:r>
              <w:rPr/>
              <w:t></w:t>
            </w:r>
          </w:p>
        </w:tc>
        <w:tc>
          <w:tcPr>
            <w:tcW w:w="356"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pPr>
            <w:r>
              <w:rPr/>
              <w:t> </w:t>
            </w:r>
          </w:p>
        </w:tc>
        <w:tc>
          <w:tcPr>
            <w:tcW w:w="1647" w:type="dxa"/>
            <w:tcBorders/>
            <w:shd w:fill="CCEEFF" w:val="clear"/>
            <w:vAlign w:val="bottom"/>
          </w:tcPr>
          <w:p>
            <w:pPr>
              <w:pStyle w:val="TableContents"/>
              <w:spacing w:before="0" w:after="283"/>
              <w:jc w:val="right"/>
              <w:rPr/>
            </w:pPr>
            <w:r>
              <w:rPr/>
              <w:t>(1</w:t>
            </w:r>
          </w:p>
        </w:tc>
        <w:tc>
          <w:tcPr>
            <w:tcW w:w="508" w:type="dxa"/>
            <w:tcBorders/>
            <w:shd w:fill="CCEEFF" w:val="clear"/>
            <w:vAlign w:val="bottom"/>
          </w:tcPr>
          <w:p>
            <w:pPr>
              <w:pStyle w:val="TableContents"/>
              <w:spacing w:before="0" w:after="283"/>
              <w:rPr/>
            </w:pPr>
            <w:r>
              <w:rPr/>
              <w:t>)</w:t>
            </w:r>
          </w:p>
        </w:tc>
        <w:tc>
          <w:tcPr>
            <w:tcW w:w="30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right"/>
              <w:rPr/>
            </w:pPr>
            <w:r>
              <w:rPr/>
              <w:t> </w:t>
            </w:r>
          </w:p>
        </w:tc>
        <w:tc>
          <w:tcPr>
            <w:tcW w:w="908" w:type="dxa"/>
            <w:tcBorders/>
            <w:shd w:fill="CCEEFF" w:val="clear"/>
            <w:vAlign w:val="bottom"/>
          </w:tcPr>
          <w:p>
            <w:pPr>
              <w:pStyle w:val="TableContents"/>
              <w:spacing w:before="0" w:after="283"/>
              <w:jc w:val="right"/>
              <w:rPr/>
            </w:pPr>
            <w:r>
              <w:rPr/>
              <w:t>(1</w:t>
            </w:r>
          </w:p>
        </w:tc>
        <w:tc>
          <w:tcPr>
            <w:tcW w:w="343" w:type="dxa"/>
            <w:tcBorders/>
            <w:shd w:fill="CCEEFF" w:val="clear"/>
            <w:vAlign w:val="bottom"/>
          </w:tcPr>
          <w:p>
            <w:pPr>
              <w:pStyle w:val="TableContents"/>
              <w:spacing w:before="0" w:after="283"/>
              <w:rPr/>
            </w:pPr>
            <w:r>
              <w:rPr/>
              <w:t>)</w:t>
            </w:r>
          </w:p>
        </w:tc>
      </w:tr>
      <w:tr>
        <w:trPr/>
        <w:tc>
          <w:tcPr>
            <w:tcW w:w="3028"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1626"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56"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1647"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508"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08"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43" w:type="dxa"/>
            <w:tcBorders/>
            <w:shd w:fill="auto" w:val="clear"/>
            <w:vAlign w:val="center"/>
          </w:tcPr>
          <w:p>
            <w:pPr>
              <w:pStyle w:val="TableContents"/>
              <w:spacing w:before="0" w:after="283"/>
              <w:rPr/>
            </w:pPr>
            <w:r>
              <w:rPr/>
              <w:t> </w:t>
            </w:r>
          </w:p>
        </w:tc>
      </w:tr>
      <w:tr>
        <w:trPr/>
        <w:tc>
          <w:tcPr>
            <w:tcW w:w="3028" w:type="dxa"/>
            <w:tcBorders/>
            <w:shd w:fill="auto" w:val="clear"/>
            <w:vAlign w:val="bottom"/>
          </w:tcPr>
          <w:p>
            <w:pPr>
              <w:pStyle w:val="TableContents"/>
              <w:spacing w:before="0" w:after="0"/>
              <w:ind w:left="450" w:right="0" w:hanging="225"/>
              <w:rPr/>
            </w:pPr>
            <w:r>
              <w:rPr/>
              <w:t>End of period</w:t>
            </w:r>
          </w:p>
        </w:tc>
        <w:tc>
          <w:tcPr>
            <w:tcW w:w="23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626" w:type="dxa"/>
            <w:tcBorders/>
            <w:shd w:fill="auto" w:val="clear"/>
            <w:vAlign w:val="bottom"/>
          </w:tcPr>
          <w:p>
            <w:pPr>
              <w:pStyle w:val="TableContents"/>
              <w:spacing w:before="0" w:after="283"/>
              <w:jc w:val="right"/>
              <w:rPr/>
            </w:pPr>
            <w:r>
              <w:rPr/>
              <w:t>289</w:t>
            </w:r>
          </w:p>
        </w:tc>
        <w:tc>
          <w:tcPr>
            <w:tcW w:w="35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647" w:type="dxa"/>
            <w:tcBorders/>
            <w:shd w:fill="auto" w:val="clear"/>
            <w:vAlign w:val="bottom"/>
          </w:tcPr>
          <w:p>
            <w:pPr>
              <w:pStyle w:val="TableContents"/>
              <w:spacing w:before="0" w:after="283"/>
              <w:jc w:val="right"/>
              <w:rPr/>
            </w:pPr>
            <w:r>
              <w:rPr/>
              <w:t>362</w:t>
            </w:r>
          </w:p>
        </w:tc>
        <w:tc>
          <w:tcPr>
            <w:tcW w:w="508"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651</w:t>
            </w:r>
          </w:p>
        </w:tc>
        <w:tc>
          <w:tcPr>
            <w:tcW w:w="343" w:type="dxa"/>
            <w:tcBorders/>
            <w:shd w:fill="auto" w:val="clear"/>
            <w:vAlign w:val="bottom"/>
          </w:tcPr>
          <w:p>
            <w:pPr>
              <w:pStyle w:val="TableContents"/>
              <w:spacing w:before="0" w:after="283"/>
              <w:rPr/>
            </w:pPr>
            <w:r>
              <w:rPr/>
              <w:t> </w:t>
            </w:r>
          </w:p>
        </w:tc>
      </w:tr>
      <w:tr>
        <w:trPr/>
        <w:tc>
          <w:tcPr>
            <w:tcW w:w="3028"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1626"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56"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1647"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508"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08"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43" w:type="dxa"/>
            <w:tcBorders/>
            <w:shd w:fill="auto" w:val="clear"/>
            <w:vAlign w:val="center"/>
          </w:tcPr>
          <w:p>
            <w:pPr>
              <w:pStyle w:val="TableContents"/>
              <w:spacing w:before="0" w:after="283"/>
              <w:rPr/>
            </w:pPr>
            <w:r>
              <w:rPr/>
              <w:t> </w:t>
            </w:r>
          </w:p>
        </w:tc>
      </w:tr>
      <w:tr>
        <w:trPr/>
        <w:tc>
          <w:tcPr>
            <w:tcW w:w="3028" w:type="dxa"/>
            <w:tcBorders/>
            <w:shd w:fill="CCEEFF" w:val="clear"/>
            <w:vAlign w:val="bottom"/>
          </w:tcPr>
          <w:p>
            <w:pPr>
              <w:pStyle w:val="TableContents"/>
              <w:spacing w:before="0" w:after="0"/>
              <w:ind w:left="225" w:right="0" w:hanging="225"/>
              <w:rPr/>
            </w:pPr>
            <w:r>
              <w:rPr/>
              <w:t>Average number of stores during the period</w:t>
            </w:r>
          </w:p>
        </w:tc>
        <w:tc>
          <w:tcPr>
            <w:tcW w:w="23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626" w:type="dxa"/>
            <w:tcBorders/>
            <w:shd w:fill="CCEEFF" w:val="clear"/>
            <w:vAlign w:val="bottom"/>
          </w:tcPr>
          <w:p>
            <w:pPr>
              <w:pStyle w:val="TableContents"/>
              <w:spacing w:before="0" w:after="283"/>
              <w:jc w:val="right"/>
              <w:rPr/>
            </w:pPr>
            <w:r>
              <w:rPr/>
              <w:t>289</w:t>
            </w:r>
          </w:p>
        </w:tc>
        <w:tc>
          <w:tcPr>
            <w:tcW w:w="356"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647" w:type="dxa"/>
            <w:tcBorders/>
            <w:shd w:fill="CCEEFF" w:val="clear"/>
            <w:vAlign w:val="bottom"/>
          </w:tcPr>
          <w:p>
            <w:pPr>
              <w:pStyle w:val="TableContents"/>
              <w:spacing w:before="0" w:after="283"/>
              <w:jc w:val="right"/>
              <w:rPr/>
            </w:pPr>
            <w:r>
              <w:rPr/>
              <w:t>344</w:t>
            </w:r>
          </w:p>
        </w:tc>
        <w:tc>
          <w:tcPr>
            <w:tcW w:w="508"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633</w:t>
            </w:r>
          </w:p>
        </w:tc>
        <w:tc>
          <w:tcPr>
            <w:tcW w:w="343" w:type="dxa"/>
            <w:tcBorders/>
            <w:shd w:fill="CCEEFF"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111"/>
        <w:gridCol w:w="224"/>
        <w:gridCol w:w="349"/>
        <w:gridCol w:w="1625"/>
        <w:gridCol w:w="351"/>
        <w:gridCol w:w="282"/>
        <w:gridCol w:w="352"/>
        <w:gridCol w:w="1646"/>
        <w:gridCol w:w="504"/>
        <w:gridCol w:w="282"/>
        <w:gridCol w:w="236"/>
        <w:gridCol w:w="909"/>
        <w:gridCol w:w="334"/>
      </w:tblGrid>
      <w:tr>
        <w:trPr/>
        <w:tc>
          <w:tcPr>
            <w:tcW w:w="311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6870" w:type="dxa"/>
            <w:gridSpan w:val="11"/>
            <w:tcBorders>
              <w:bottom w:val="single" w:sz="2" w:space="0" w:color="000000"/>
            </w:tcBorders>
            <w:shd w:fill="auto" w:val="clear"/>
            <w:tcMar>
              <w:bottom w:w="28" w:type="dxa"/>
            </w:tcMar>
            <w:vAlign w:val="bottom"/>
          </w:tcPr>
          <w:p>
            <w:pPr>
              <w:pStyle w:val="TableContents"/>
              <w:spacing w:before="0" w:after="283"/>
              <w:jc w:val="center"/>
              <w:rPr/>
            </w:pPr>
            <w:r>
              <w:rPr/>
              <w:t>Six Months Ended March 31, 2007</w:t>
            </w:r>
          </w:p>
        </w:tc>
      </w:tr>
      <w:tr>
        <w:trPr/>
        <w:tc>
          <w:tcPr>
            <w:tcW w:w="311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325" w:type="dxa"/>
            <w:gridSpan w:val="3"/>
            <w:tcBorders>
              <w:bottom w:val="single" w:sz="2" w:space="0" w:color="000000"/>
            </w:tcBorders>
            <w:shd w:fill="auto" w:val="clear"/>
            <w:tcMar>
              <w:bottom w:w="28" w:type="dxa"/>
            </w:tcMar>
            <w:vAlign w:val="bottom"/>
          </w:tcPr>
          <w:p>
            <w:pPr>
              <w:pStyle w:val="TableContents"/>
              <w:spacing w:before="0" w:after="283"/>
              <w:jc w:val="center"/>
              <w:rPr/>
            </w:pPr>
            <w:r>
              <w:rPr/>
              <w:t>EZPAWN Operations</w:t>
            </w:r>
          </w:p>
        </w:tc>
        <w:tc>
          <w:tcPr>
            <w:tcW w:w="282" w:type="dxa"/>
            <w:tcBorders/>
            <w:shd w:fill="auto" w:val="clear"/>
            <w:vAlign w:val="bottom"/>
          </w:tcPr>
          <w:p>
            <w:pPr>
              <w:pStyle w:val="TableContents"/>
              <w:spacing w:before="0" w:after="283"/>
              <w:rPr/>
            </w:pPr>
            <w:r>
              <w:rPr/>
              <w:t> </w:t>
            </w:r>
          </w:p>
        </w:tc>
        <w:tc>
          <w:tcPr>
            <w:tcW w:w="2502" w:type="dxa"/>
            <w:gridSpan w:val="3"/>
            <w:tcBorders>
              <w:bottom w:val="single" w:sz="2" w:space="0" w:color="000000"/>
            </w:tcBorders>
            <w:shd w:fill="auto" w:val="clear"/>
            <w:tcMar>
              <w:bottom w:w="28" w:type="dxa"/>
            </w:tcMar>
            <w:vAlign w:val="bottom"/>
          </w:tcPr>
          <w:p>
            <w:pPr>
              <w:pStyle w:val="TableContents"/>
              <w:spacing w:before="0" w:after="283"/>
              <w:jc w:val="center"/>
              <w:rPr/>
            </w:pPr>
            <w:r>
              <w:rPr/>
              <w:t>EZMONEY Operations</w:t>
            </w:r>
          </w:p>
        </w:tc>
        <w:tc>
          <w:tcPr>
            <w:tcW w:w="282" w:type="dxa"/>
            <w:tcBorders/>
            <w:shd w:fill="auto" w:val="clear"/>
            <w:vAlign w:val="bottom"/>
          </w:tcPr>
          <w:p>
            <w:pPr>
              <w:pStyle w:val="TableContents"/>
              <w:spacing w:before="0" w:after="283"/>
              <w:rPr/>
            </w:pPr>
            <w:r>
              <w:rPr/>
              <w:t> </w:t>
            </w:r>
          </w:p>
        </w:tc>
        <w:tc>
          <w:tcPr>
            <w:tcW w:w="1479" w:type="dxa"/>
            <w:gridSpan w:val="3"/>
            <w:tcBorders>
              <w:bottom w:val="single" w:sz="2" w:space="0" w:color="000000"/>
            </w:tcBorders>
            <w:shd w:fill="auto" w:val="clear"/>
            <w:tcMar>
              <w:bottom w:w="28" w:type="dxa"/>
            </w:tcMar>
            <w:vAlign w:val="bottom"/>
          </w:tcPr>
          <w:p>
            <w:pPr>
              <w:pStyle w:val="TableContents"/>
              <w:spacing w:before="0" w:after="283"/>
              <w:jc w:val="center"/>
              <w:rPr/>
            </w:pPr>
            <w:r>
              <w:rPr/>
              <w:t>Consolidated</w:t>
            </w:r>
          </w:p>
        </w:tc>
      </w:tr>
      <w:tr>
        <w:trPr/>
        <w:tc>
          <w:tcPr>
            <w:tcW w:w="3111" w:type="dxa"/>
            <w:tcBorders/>
            <w:shd w:fill="CCEEFF" w:val="clear"/>
            <w:vAlign w:val="bottom"/>
          </w:tcPr>
          <w:p>
            <w:pPr>
              <w:pStyle w:val="TableContents"/>
              <w:spacing w:before="0" w:after="0"/>
              <w:ind w:left="225" w:right="0" w:hanging="225"/>
              <w:rPr/>
            </w:pPr>
            <w:r>
              <w:rPr/>
              <w:t>Stores in operation:</w:t>
            </w:r>
          </w:p>
        </w:tc>
        <w:tc>
          <w:tcPr>
            <w:tcW w:w="224"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6"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0"/>
              <w:ind w:left="450" w:right="0" w:hanging="225"/>
              <w:rPr/>
            </w:pPr>
            <w:r>
              <w:rPr/>
              <w:t>Beginning of period</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jc w:val="right"/>
              <w:rPr/>
            </w:pPr>
            <w:r>
              <w:rPr/>
              <w:t>287</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jc w:val="right"/>
              <w:rPr/>
            </w:pPr>
            <w:r>
              <w:rPr/>
              <w:t>327</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614</w:t>
            </w:r>
          </w:p>
        </w:tc>
        <w:tc>
          <w:tcPr>
            <w:tcW w:w="334" w:type="dxa"/>
            <w:tcBorders/>
            <w:shd w:fill="auto" w:val="clear"/>
            <w:vAlign w:val="bottom"/>
          </w:tcPr>
          <w:p>
            <w:pPr>
              <w:pStyle w:val="TableContents"/>
              <w:spacing w:before="0" w:after="283"/>
              <w:rPr/>
            </w:pPr>
            <w:r>
              <w:rPr/>
              <w:t> </w:t>
            </w:r>
          </w:p>
        </w:tc>
      </w:tr>
      <w:tr>
        <w:trPr/>
        <w:tc>
          <w:tcPr>
            <w:tcW w:w="3111" w:type="dxa"/>
            <w:tcBorders/>
            <w:shd w:fill="CCEEFF" w:val="clear"/>
            <w:vAlign w:val="bottom"/>
          </w:tcPr>
          <w:p>
            <w:pPr>
              <w:pStyle w:val="TableContents"/>
              <w:spacing w:before="0" w:after="0"/>
              <w:ind w:left="450" w:right="0" w:hanging="225"/>
              <w:rPr/>
            </w:pPr>
            <w:r>
              <w:rPr/>
              <w:t>New openings</w:t>
            </w:r>
          </w:p>
        </w:tc>
        <w:tc>
          <w:tcPr>
            <w:tcW w:w="224"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pPr>
            <w:r>
              <w:rPr/>
              <w:t>2</w:t>
            </w:r>
          </w:p>
        </w:tc>
        <w:tc>
          <w:tcPr>
            <w:tcW w:w="351"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6" w:type="dxa"/>
            <w:tcBorders/>
            <w:shd w:fill="CCEEFF" w:val="clear"/>
            <w:vAlign w:val="bottom"/>
          </w:tcPr>
          <w:p>
            <w:pPr>
              <w:pStyle w:val="TableContents"/>
              <w:spacing w:before="0" w:after="283"/>
              <w:jc w:val="right"/>
              <w:rPr/>
            </w:pPr>
            <w:r>
              <w:rPr/>
              <w:t>37</w:t>
            </w:r>
          </w:p>
        </w:tc>
        <w:tc>
          <w:tcPr>
            <w:tcW w:w="50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39</w:t>
            </w:r>
          </w:p>
        </w:tc>
        <w:tc>
          <w:tcPr>
            <w:tcW w:w="334" w:type="dxa"/>
            <w:tcBorders/>
            <w:shd w:fill="CCEEFF"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0"/>
              <w:ind w:left="450" w:right="0" w:hanging="225"/>
              <w:rPr/>
            </w:pPr>
            <w:r>
              <w:rPr/>
              <w:t>Acquired</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jc w:val="right"/>
              <w:rPr/>
            </w:pPr>
            <w:r>
              <w:rPr/>
              <w:t></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jc w:val="right"/>
              <w:rPr/>
            </w:pPr>
            <w:r>
              <w:rPr/>
              <w:t></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w:t>
            </w:r>
          </w:p>
        </w:tc>
        <w:tc>
          <w:tcPr>
            <w:tcW w:w="334" w:type="dxa"/>
            <w:tcBorders/>
            <w:shd w:fill="auto" w:val="clear"/>
            <w:vAlign w:val="bottom"/>
          </w:tcPr>
          <w:p>
            <w:pPr>
              <w:pStyle w:val="TableContents"/>
              <w:spacing w:before="0" w:after="283"/>
              <w:rPr/>
            </w:pPr>
            <w:r>
              <w:rPr/>
              <w:t> </w:t>
            </w:r>
          </w:p>
        </w:tc>
      </w:tr>
      <w:tr>
        <w:trPr/>
        <w:tc>
          <w:tcPr>
            <w:tcW w:w="3111" w:type="dxa"/>
            <w:tcBorders/>
            <w:shd w:fill="CCEEFF" w:val="clear"/>
            <w:vAlign w:val="bottom"/>
          </w:tcPr>
          <w:p>
            <w:pPr>
              <w:pStyle w:val="TableContents"/>
              <w:spacing w:before="0" w:after="0"/>
              <w:ind w:left="450" w:right="0" w:hanging="225"/>
              <w:rPr/>
            </w:pPr>
            <w:r>
              <w:rPr/>
              <w:t>Sold, combined, or closed</w:t>
            </w:r>
          </w:p>
        </w:tc>
        <w:tc>
          <w:tcPr>
            <w:tcW w:w="224"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pPr>
            <w:r>
              <w:rPr/>
              <w:t></w:t>
            </w:r>
          </w:p>
        </w:tc>
        <w:tc>
          <w:tcPr>
            <w:tcW w:w="351"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jc w:val="right"/>
              <w:rPr/>
            </w:pPr>
            <w:r>
              <w:rPr/>
              <w:t> </w:t>
            </w:r>
          </w:p>
        </w:tc>
        <w:tc>
          <w:tcPr>
            <w:tcW w:w="1646" w:type="dxa"/>
            <w:tcBorders/>
            <w:shd w:fill="CCEEFF" w:val="clear"/>
            <w:vAlign w:val="bottom"/>
          </w:tcPr>
          <w:p>
            <w:pPr>
              <w:pStyle w:val="TableContents"/>
              <w:spacing w:before="0" w:after="283"/>
              <w:jc w:val="right"/>
              <w:rPr/>
            </w:pPr>
            <w:r>
              <w:rPr/>
              <w:t>(2</w:t>
            </w:r>
          </w:p>
        </w:tc>
        <w:tc>
          <w:tcPr>
            <w:tcW w:w="504" w:type="dxa"/>
            <w:tcBorders/>
            <w:shd w:fill="CCEEFF" w:val="clear"/>
            <w:vAlign w:val="bottom"/>
          </w:tcPr>
          <w:p>
            <w:pPr>
              <w:pStyle w:val="TableContents"/>
              <w:spacing w:before="0" w:after="283"/>
              <w:rPr/>
            </w:pPr>
            <w:r>
              <w:rPr/>
              <w:t>)</w:t>
            </w:r>
          </w:p>
        </w:tc>
        <w:tc>
          <w:tcPr>
            <w:tcW w:w="28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right"/>
              <w:rPr/>
            </w:pPr>
            <w:r>
              <w:rPr/>
              <w:t> </w:t>
            </w:r>
          </w:p>
        </w:tc>
        <w:tc>
          <w:tcPr>
            <w:tcW w:w="909" w:type="dxa"/>
            <w:tcBorders/>
            <w:shd w:fill="CCEEFF" w:val="clear"/>
            <w:vAlign w:val="bottom"/>
          </w:tcPr>
          <w:p>
            <w:pPr>
              <w:pStyle w:val="TableContents"/>
              <w:spacing w:before="0" w:after="283"/>
              <w:jc w:val="right"/>
              <w:rPr/>
            </w:pPr>
            <w:r>
              <w:rPr/>
              <w:t>(2</w:t>
            </w:r>
          </w:p>
        </w:tc>
        <w:tc>
          <w:tcPr>
            <w:tcW w:w="334" w:type="dxa"/>
            <w:tcBorders/>
            <w:shd w:fill="CCEEFF" w:val="clear"/>
            <w:vAlign w:val="bottom"/>
          </w:tcPr>
          <w:p>
            <w:pPr>
              <w:pStyle w:val="TableContents"/>
              <w:spacing w:before="0" w:after="283"/>
              <w:rPr/>
            </w:pPr>
            <w:r>
              <w:rPr/>
              <w:t>)</w:t>
            </w:r>
          </w:p>
        </w:tc>
      </w:tr>
      <w:tr>
        <w:trPr/>
        <w:tc>
          <w:tcPr>
            <w:tcW w:w="3111"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1625"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51"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1646"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504"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909"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34" w:type="dxa"/>
            <w:tcBorders/>
            <w:shd w:fill="auto" w:val="clear"/>
            <w:vAlign w:val="center"/>
          </w:tcPr>
          <w:p>
            <w:pPr>
              <w:pStyle w:val="TableContents"/>
              <w:spacing w:before="0" w:after="283"/>
              <w:rPr/>
            </w:pPr>
            <w:r>
              <w:rPr/>
              <w:t> </w:t>
            </w:r>
          </w:p>
        </w:tc>
      </w:tr>
      <w:tr>
        <w:trPr/>
        <w:tc>
          <w:tcPr>
            <w:tcW w:w="3111" w:type="dxa"/>
            <w:tcBorders/>
            <w:shd w:fill="auto" w:val="clear"/>
            <w:vAlign w:val="bottom"/>
          </w:tcPr>
          <w:p>
            <w:pPr>
              <w:pStyle w:val="TableContents"/>
              <w:spacing w:before="0" w:after="0"/>
              <w:ind w:left="450" w:right="0" w:hanging="225"/>
              <w:rPr/>
            </w:pPr>
            <w:r>
              <w:rPr/>
              <w:t>End of period</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jc w:val="right"/>
              <w:rPr/>
            </w:pPr>
            <w:r>
              <w:rPr/>
              <w:t>289</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jc w:val="right"/>
              <w:rPr/>
            </w:pPr>
            <w:r>
              <w:rPr/>
              <w:t>362</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651</w:t>
            </w:r>
          </w:p>
        </w:tc>
        <w:tc>
          <w:tcPr>
            <w:tcW w:w="334" w:type="dxa"/>
            <w:tcBorders/>
            <w:shd w:fill="auto" w:val="clear"/>
            <w:vAlign w:val="bottom"/>
          </w:tcPr>
          <w:p>
            <w:pPr>
              <w:pStyle w:val="TableContents"/>
              <w:spacing w:before="0" w:after="283"/>
              <w:rPr/>
            </w:pPr>
            <w:r>
              <w:rPr/>
              <w:t> </w:t>
            </w:r>
          </w:p>
        </w:tc>
      </w:tr>
      <w:tr>
        <w:trPr/>
        <w:tc>
          <w:tcPr>
            <w:tcW w:w="3111"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1625"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51"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1646"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504"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909"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34" w:type="dxa"/>
            <w:tcBorders/>
            <w:shd w:fill="auto" w:val="clear"/>
            <w:vAlign w:val="center"/>
          </w:tcPr>
          <w:p>
            <w:pPr>
              <w:pStyle w:val="TableContents"/>
              <w:spacing w:before="0" w:after="283"/>
              <w:rPr/>
            </w:pPr>
            <w:r>
              <w:rPr/>
              <w:t> </w:t>
            </w:r>
          </w:p>
        </w:tc>
      </w:tr>
      <w:tr>
        <w:trPr/>
        <w:tc>
          <w:tcPr>
            <w:tcW w:w="3111" w:type="dxa"/>
            <w:tcBorders/>
            <w:shd w:fill="CCEEFF" w:val="clear"/>
            <w:vAlign w:val="bottom"/>
          </w:tcPr>
          <w:p>
            <w:pPr>
              <w:pStyle w:val="TableContents"/>
              <w:spacing w:before="0" w:after="0"/>
              <w:ind w:left="225" w:right="0" w:hanging="225"/>
              <w:rPr/>
            </w:pPr>
            <w:r>
              <w:rPr/>
              <w:t>Average number of stores during the period</w:t>
            </w:r>
          </w:p>
        </w:tc>
        <w:tc>
          <w:tcPr>
            <w:tcW w:w="224"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pPr>
            <w:r>
              <w:rPr/>
              <w:t>288</w:t>
            </w:r>
          </w:p>
        </w:tc>
        <w:tc>
          <w:tcPr>
            <w:tcW w:w="351"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6" w:type="dxa"/>
            <w:tcBorders/>
            <w:shd w:fill="CCEEFF" w:val="clear"/>
            <w:vAlign w:val="bottom"/>
          </w:tcPr>
          <w:p>
            <w:pPr>
              <w:pStyle w:val="TableContents"/>
              <w:spacing w:before="0" w:after="283"/>
              <w:jc w:val="right"/>
              <w:rPr/>
            </w:pPr>
            <w:r>
              <w:rPr/>
              <w:t>338</w:t>
            </w:r>
          </w:p>
        </w:tc>
        <w:tc>
          <w:tcPr>
            <w:tcW w:w="50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626</w:t>
            </w:r>
          </w:p>
        </w:tc>
        <w:tc>
          <w:tcPr>
            <w:tcW w:w="334" w:type="dxa"/>
            <w:tcBorders/>
            <w:shd w:fill="CCEEFF"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0"/>
              <w:ind w:left="225" w:right="0" w:hanging="225"/>
              <w:rPr/>
            </w:pPr>
            <w:r>
              <w:rPr/>
              <w:t> </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0"/>
              <w:ind w:left="225" w:right="0" w:hanging="225"/>
              <w:rPr/>
            </w:pPr>
            <w:r>
              <w:rPr/>
              <w:t>Composition of ending stores:</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r>
      <w:tr>
        <w:trPr/>
        <w:tc>
          <w:tcPr>
            <w:tcW w:w="3111" w:type="dxa"/>
            <w:tcBorders/>
            <w:shd w:fill="CCEEFF" w:val="clear"/>
            <w:vAlign w:val="bottom"/>
          </w:tcPr>
          <w:p>
            <w:pPr>
              <w:pStyle w:val="TableContents"/>
              <w:spacing w:before="0" w:after="0"/>
              <w:ind w:left="450" w:right="0" w:hanging="225"/>
              <w:rPr/>
            </w:pPr>
            <w:r>
              <w:rPr/>
              <w:t>EZPAWN  United States</w:t>
            </w:r>
          </w:p>
        </w:tc>
        <w:tc>
          <w:tcPr>
            <w:tcW w:w="224"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pPr>
            <w:r>
              <w:rPr/>
              <w:t>280</w:t>
            </w:r>
          </w:p>
        </w:tc>
        <w:tc>
          <w:tcPr>
            <w:tcW w:w="351"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6" w:type="dxa"/>
            <w:tcBorders/>
            <w:shd w:fill="CCEEFF" w:val="clear"/>
            <w:vAlign w:val="bottom"/>
          </w:tcPr>
          <w:p>
            <w:pPr>
              <w:pStyle w:val="TableContents"/>
              <w:spacing w:before="0" w:after="283"/>
              <w:jc w:val="right"/>
              <w:rPr/>
            </w:pPr>
            <w:r>
              <w:rPr/>
              <w:t></w:t>
            </w:r>
          </w:p>
        </w:tc>
        <w:tc>
          <w:tcPr>
            <w:tcW w:w="50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280</w:t>
            </w:r>
          </w:p>
        </w:tc>
        <w:tc>
          <w:tcPr>
            <w:tcW w:w="334" w:type="dxa"/>
            <w:tcBorders/>
            <w:shd w:fill="CCEEFF"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0"/>
              <w:ind w:left="450" w:right="0" w:hanging="225"/>
              <w:rPr/>
            </w:pPr>
            <w:r>
              <w:rPr/>
              <w:t>EZPAWN  Mexico</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jc w:val="right"/>
              <w:rPr/>
            </w:pPr>
            <w:r>
              <w:rPr/>
              <w:t>2</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jc w:val="right"/>
              <w:rPr/>
            </w:pPr>
            <w:r>
              <w:rPr/>
              <w:t></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2</w:t>
            </w:r>
          </w:p>
        </w:tc>
        <w:tc>
          <w:tcPr>
            <w:tcW w:w="334" w:type="dxa"/>
            <w:tcBorders/>
            <w:shd w:fill="auto" w:val="clear"/>
            <w:vAlign w:val="bottom"/>
          </w:tcPr>
          <w:p>
            <w:pPr>
              <w:pStyle w:val="TableContents"/>
              <w:spacing w:before="0" w:after="283"/>
              <w:rPr/>
            </w:pPr>
            <w:r>
              <w:rPr/>
              <w:t> </w:t>
            </w:r>
          </w:p>
        </w:tc>
      </w:tr>
      <w:tr>
        <w:trPr/>
        <w:tc>
          <w:tcPr>
            <w:tcW w:w="3111" w:type="dxa"/>
            <w:tcBorders/>
            <w:shd w:fill="CCEEFF" w:val="clear"/>
            <w:vAlign w:val="bottom"/>
          </w:tcPr>
          <w:p>
            <w:pPr>
              <w:pStyle w:val="TableContents"/>
              <w:spacing w:before="0" w:after="0"/>
              <w:ind w:left="450" w:right="0" w:hanging="225"/>
              <w:rPr/>
            </w:pPr>
            <w:r>
              <w:rPr/>
              <w:t>EZMONEY signature loan stores adjoining EZPAWNs</w:t>
            </w:r>
          </w:p>
        </w:tc>
        <w:tc>
          <w:tcPr>
            <w:tcW w:w="224"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pPr>
            <w:r>
              <w:rPr/>
              <w:t>7</w:t>
            </w:r>
          </w:p>
        </w:tc>
        <w:tc>
          <w:tcPr>
            <w:tcW w:w="351"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6" w:type="dxa"/>
            <w:tcBorders/>
            <w:shd w:fill="CCEEFF" w:val="clear"/>
            <w:vAlign w:val="bottom"/>
          </w:tcPr>
          <w:p>
            <w:pPr>
              <w:pStyle w:val="TableContents"/>
              <w:spacing w:before="0" w:after="283"/>
              <w:jc w:val="right"/>
              <w:rPr/>
            </w:pPr>
            <w:r>
              <w:rPr/>
              <w:t>157</w:t>
            </w:r>
          </w:p>
        </w:tc>
        <w:tc>
          <w:tcPr>
            <w:tcW w:w="50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164</w:t>
            </w:r>
          </w:p>
        </w:tc>
        <w:tc>
          <w:tcPr>
            <w:tcW w:w="334" w:type="dxa"/>
            <w:tcBorders/>
            <w:shd w:fill="CCEEFF"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0"/>
              <w:ind w:left="450" w:right="0" w:hanging="225"/>
              <w:rPr/>
            </w:pPr>
            <w:r>
              <w:rPr/>
              <w:t>EZMONEY signature loan stores  free standing</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jc w:val="right"/>
              <w:rPr/>
            </w:pPr>
            <w:r>
              <w:rPr/>
              <w:t></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jc w:val="right"/>
              <w:rPr/>
            </w:pPr>
            <w:r>
              <w:rPr/>
              <w:t>205</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205</w:t>
            </w:r>
          </w:p>
        </w:tc>
        <w:tc>
          <w:tcPr>
            <w:tcW w:w="334" w:type="dxa"/>
            <w:tcBorders/>
            <w:shd w:fill="auto" w:val="clear"/>
            <w:vAlign w:val="bottom"/>
          </w:tcPr>
          <w:p>
            <w:pPr>
              <w:pStyle w:val="TableContents"/>
              <w:spacing w:before="0" w:after="283"/>
              <w:rPr/>
            </w:pPr>
            <w:r>
              <w:rPr/>
              <w:t> </w:t>
            </w:r>
          </w:p>
        </w:tc>
      </w:tr>
      <w:tr>
        <w:trPr/>
        <w:tc>
          <w:tcPr>
            <w:tcW w:w="3111"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1625"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51"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1646"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504"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909"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34" w:type="dxa"/>
            <w:tcBorders/>
            <w:shd w:fill="auto" w:val="clear"/>
            <w:vAlign w:val="center"/>
          </w:tcPr>
          <w:p>
            <w:pPr>
              <w:pStyle w:val="TableContents"/>
              <w:spacing w:before="0" w:after="283"/>
              <w:rPr/>
            </w:pPr>
            <w:r>
              <w:rPr/>
              <w:t> </w:t>
            </w:r>
          </w:p>
        </w:tc>
      </w:tr>
      <w:tr>
        <w:trPr/>
        <w:tc>
          <w:tcPr>
            <w:tcW w:w="3111" w:type="dxa"/>
            <w:tcBorders/>
            <w:shd w:fill="CCEEFF" w:val="clear"/>
            <w:vAlign w:val="bottom"/>
          </w:tcPr>
          <w:p>
            <w:pPr>
              <w:pStyle w:val="TableContents"/>
              <w:spacing w:before="0" w:after="0"/>
              <w:ind w:left="450" w:right="0" w:hanging="225"/>
              <w:rPr/>
            </w:pPr>
            <w:r>
              <w:rPr/>
              <w:t>Total stores in operation</w:t>
            </w:r>
          </w:p>
        </w:tc>
        <w:tc>
          <w:tcPr>
            <w:tcW w:w="224"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pPr>
            <w:r>
              <w:rPr/>
              <w:t>289</w:t>
            </w:r>
          </w:p>
        </w:tc>
        <w:tc>
          <w:tcPr>
            <w:tcW w:w="351"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6" w:type="dxa"/>
            <w:tcBorders/>
            <w:shd w:fill="CCEEFF" w:val="clear"/>
            <w:vAlign w:val="bottom"/>
          </w:tcPr>
          <w:p>
            <w:pPr>
              <w:pStyle w:val="TableContents"/>
              <w:spacing w:before="0" w:after="283"/>
              <w:jc w:val="right"/>
              <w:rPr/>
            </w:pPr>
            <w:r>
              <w:rPr/>
              <w:t>362</w:t>
            </w:r>
          </w:p>
        </w:tc>
        <w:tc>
          <w:tcPr>
            <w:tcW w:w="50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651</w:t>
            </w:r>
          </w:p>
        </w:tc>
        <w:tc>
          <w:tcPr>
            <w:tcW w:w="334" w:type="dxa"/>
            <w:tcBorders/>
            <w:shd w:fill="CCEEFF" w:val="clear"/>
            <w:vAlign w:val="bottom"/>
          </w:tcPr>
          <w:p>
            <w:pPr>
              <w:pStyle w:val="TableContents"/>
              <w:spacing w:before="0" w:after="283"/>
              <w:rPr/>
            </w:pPr>
            <w:r>
              <w:rPr/>
              <w:t> </w:t>
            </w:r>
          </w:p>
        </w:tc>
      </w:tr>
      <w:tr>
        <w:trPr/>
        <w:tc>
          <w:tcPr>
            <w:tcW w:w="3111"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1625"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51"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1646"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504"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909"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34" w:type="dxa"/>
            <w:tcBorders/>
            <w:shd w:fill="auto" w:val="clear"/>
            <w:vAlign w:val="center"/>
          </w:tcPr>
          <w:p>
            <w:pPr>
              <w:pStyle w:val="TableContents"/>
              <w:spacing w:before="0" w:after="283"/>
              <w:rPr/>
            </w:pPr>
            <w:r>
              <w:rPr/>
              <w:t> </w:t>
            </w:r>
          </w:p>
        </w:tc>
      </w:tr>
      <w:tr>
        <w:trPr/>
        <w:tc>
          <w:tcPr>
            <w:tcW w:w="3111" w:type="dxa"/>
            <w:tcBorders/>
            <w:shd w:fill="auto" w:val="clear"/>
            <w:vAlign w:val="bottom"/>
          </w:tcPr>
          <w:p>
            <w:pPr>
              <w:pStyle w:val="TableContents"/>
              <w:spacing w:before="0" w:after="0"/>
              <w:ind w:left="450" w:right="0" w:hanging="225"/>
              <w:rPr/>
            </w:pPr>
            <w:r>
              <w:rPr/>
              <w:t>Total stores offering signature loans</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jc w:val="right"/>
              <w:rPr/>
            </w:pPr>
            <w:r>
              <w:rPr/>
              <w:t>87</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jc w:val="right"/>
              <w:rPr/>
            </w:pPr>
            <w:r>
              <w:rPr/>
              <w:t>362</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449</w:t>
            </w:r>
          </w:p>
        </w:tc>
        <w:tc>
          <w:tcPr>
            <w:tcW w:w="334"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3028"/>
        <w:gridCol w:w="235"/>
        <w:gridCol w:w="354"/>
        <w:gridCol w:w="1626"/>
        <w:gridCol w:w="356"/>
        <w:gridCol w:w="300"/>
        <w:gridCol w:w="358"/>
        <w:gridCol w:w="1647"/>
        <w:gridCol w:w="508"/>
        <w:gridCol w:w="300"/>
        <w:gridCol w:w="242"/>
        <w:gridCol w:w="908"/>
        <w:gridCol w:w="343"/>
      </w:tblGrid>
      <w:tr>
        <w:trPr/>
        <w:tc>
          <w:tcPr>
            <w:tcW w:w="3028"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626"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647"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r>
      <w:tr>
        <w:trPr/>
        <w:tc>
          <w:tcPr>
            <w:tcW w:w="3028"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6942" w:type="dxa"/>
            <w:gridSpan w:val="11"/>
            <w:tcBorders>
              <w:bottom w:val="single" w:sz="2" w:space="0" w:color="000000"/>
            </w:tcBorders>
            <w:shd w:fill="auto" w:val="clear"/>
            <w:tcMar>
              <w:bottom w:w="28" w:type="dxa"/>
            </w:tcMar>
            <w:vAlign w:val="bottom"/>
          </w:tcPr>
          <w:p>
            <w:pPr>
              <w:pStyle w:val="TableContents"/>
              <w:spacing w:before="0" w:after="283"/>
              <w:jc w:val="center"/>
              <w:rPr/>
            </w:pPr>
            <w:r>
              <w:rPr/>
              <w:t>Three Months Ended March 31, 2006</w:t>
            </w:r>
          </w:p>
        </w:tc>
      </w:tr>
      <w:tr>
        <w:trPr/>
        <w:tc>
          <w:tcPr>
            <w:tcW w:w="3028"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336" w:type="dxa"/>
            <w:gridSpan w:val="3"/>
            <w:tcBorders>
              <w:bottom w:val="single" w:sz="2" w:space="0" w:color="000000"/>
            </w:tcBorders>
            <w:shd w:fill="auto" w:val="clear"/>
            <w:tcMar>
              <w:bottom w:w="28" w:type="dxa"/>
            </w:tcMar>
            <w:vAlign w:val="bottom"/>
          </w:tcPr>
          <w:p>
            <w:pPr>
              <w:pStyle w:val="TableContents"/>
              <w:spacing w:before="0" w:after="283"/>
              <w:jc w:val="center"/>
              <w:rPr/>
            </w:pPr>
            <w:r>
              <w:rPr/>
              <w:t>EZPAWN Operations</w:t>
            </w:r>
          </w:p>
        </w:tc>
        <w:tc>
          <w:tcPr>
            <w:tcW w:w="300" w:type="dxa"/>
            <w:tcBorders/>
            <w:shd w:fill="auto" w:val="clear"/>
            <w:vAlign w:val="bottom"/>
          </w:tcPr>
          <w:p>
            <w:pPr>
              <w:pStyle w:val="TableContents"/>
              <w:spacing w:before="0" w:after="283"/>
              <w:rPr/>
            </w:pPr>
            <w:r>
              <w:rPr/>
              <w:t> </w:t>
            </w:r>
          </w:p>
        </w:tc>
        <w:tc>
          <w:tcPr>
            <w:tcW w:w="2513" w:type="dxa"/>
            <w:gridSpan w:val="3"/>
            <w:tcBorders>
              <w:bottom w:val="single" w:sz="2" w:space="0" w:color="000000"/>
            </w:tcBorders>
            <w:shd w:fill="auto" w:val="clear"/>
            <w:tcMar>
              <w:bottom w:w="28" w:type="dxa"/>
            </w:tcMar>
            <w:vAlign w:val="bottom"/>
          </w:tcPr>
          <w:p>
            <w:pPr>
              <w:pStyle w:val="TableContents"/>
              <w:spacing w:before="0" w:after="283"/>
              <w:jc w:val="center"/>
              <w:rPr/>
            </w:pPr>
            <w:r>
              <w:rPr/>
              <w:t>EZMONEY Operations</w:t>
            </w:r>
          </w:p>
        </w:tc>
        <w:tc>
          <w:tcPr>
            <w:tcW w:w="300" w:type="dxa"/>
            <w:tcBorders/>
            <w:shd w:fill="auto" w:val="clear"/>
            <w:vAlign w:val="bottom"/>
          </w:tcPr>
          <w:p>
            <w:pPr>
              <w:pStyle w:val="TableContents"/>
              <w:spacing w:before="0" w:after="283"/>
              <w:rPr/>
            </w:pPr>
            <w:r>
              <w:rPr/>
              <w:t> </w:t>
            </w:r>
          </w:p>
        </w:tc>
        <w:tc>
          <w:tcPr>
            <w:tcW w:w="1493" w:type="dxa"/>
            <w:gridSpan w:val="3"/>
            <w:tcBorders>
              <w:bottom w:val="single" w:sz="2" w:space="0" w:color="000000"/>
            </w:tcBorders>
            <w:shd w:fill="auto" w:val="clear"/>
            <w:tcMar>
              <w:bottom w:w="28" w:type="dxa"/>
            </w:tcMar>
            <w:vAlign w:val="bottom"/>
          </w:tcPr>
          <w:p>
            <w:pPr>
              <w:pStyle w:val="TableContents"/>
              <w:spacing w:before="0" w:after="283"/>
              <w:jc w:val="center"/>
              <w:rPr/>
            </w:pPr>
            <w:r>
              <w:rPr/>
              <w:t>Consolidated</w:t>
            </w:r>
          </w:p>
        </w:tc>
      </w:tr>
      <w:tr>
        <w:trPr/>
        <w:tc>
          <w:tcPr>
            <w:tcW w:w="3028" w:type="dxa"/>
            <w:tcBorders/>
            <w:shd w:fill="CCEEFF" w:val="clear"/>
            <w:vAlign w:val="bottom"/>
          </w:tcPr>
          <w:p>
            <w:pPr>
              <w:pStyle w:val="TableContents"/>
              <w:spacing w:before="0" w:after="0"/>
              <w:ind w:left="225" w:right="0" w:hanging="225"/>
              <w:rPr/>
            </w:pPr>
            <w:r>
              <w:rPr/>
              <w:t>Stores in operation:</w:t>
            </w:r>
          </w:p>
        </w:tc>
        <w:tc>
          <w:tcPr>
            <w:tcW w:w="23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626"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647" w:type="dxa"/>
            <w:tcBorders/>
            <w:shd w:fill="CCEEFF" w:val="clear"/>
            <w:vAlign w:val="bottom"/>
          </w:tcPr>
          <w:p>
            <w:pPr>
              <w:pStyle w:val="TableContents"/>
              <w:spacing w:before="0" w:after="283"/>
              <w:rPr/>
            </w:pPr>
            <w:r>
              <w:rPr/>
              <w:t> </w:t>
            </w:r>
          </w:p>
        </w:tc>
        <w:tc>
          <w:tcPr>
            <w:tcW w:w="508"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r>
      <w:tr>
        <w:trPr/>
        <w:tc>
          <w:tcPr>
            <w:tcW w:w="3028" w:type="dxa"/>
            <w:tcBorders/>
            <w:shd w:fill="auto" w:val="clear"/>
            <w:vAlign w:val="bottom"/>
          </w:tcPr>
          <w:p>
            <w:pPr>
              <w:pStyle w:val="TableContents"/>
              <w:spacing w:before="0" w:after="0"/>
              <w:ind w:left="450" w:right="0" w:hanging="225"/>
              <w:rPr/>
            </w:pPr>
            <w:r>
              <w:rPr/>
              <w:t>Beginning of period</w:t>
            </w:r>
          </w:p>
        </w:tc>
        <w:tc>
          <w:tcPr>
            <w:tcW w:w="23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626" w:type="dxa"/>
            <w:tcBorders/>
            <w:shd w:fill="auto" w:val="clear"/>
            <w:vAlign w:val="bottom"/>
          </w:tcPr>
          <w:p>
            <w:pPr>
              <w:pStyle w:val="TableContents"/>
              <w:spacing w:before="0" w:after="283"/>
              <w:jc w:val="right"/>
              <w:rPr/>
            </w:pPr>
            <w:r>
              <w:rPr/>
              <w:t>288</w:t>
            </w:r>
          </w:p>
        </w:tc>
        <w:tc>
          <w:tcPr>
            <w:tcW w:w="35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647" w:type="dxa"/>
            <w:tcBorders/>
            <w:shd w:fill="auto" w:val="clear"/>
            <w:vAlign w:val="bottom"/>
          </w:tcPr>
          <w:p>
            <w:pPr>
              <w:pStyle w:val="TableContents"/>
              <w:spacing w:before="0" w:after="283"/>
              <w:jc w:val="right"/>
              <w:rPr/>
            </w:pPr>
            <w:r>
              <w:rPr/>
              <w:t>235</w:t>
            </w:r>
          </w:p>
        </w:tc>
        <w:tc>
          <w:tcPr>
            <w:tcW w:w="508"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523</w:t>
            </w:r>
          </w:p>
        </w:tc>
        <w:tc>
          <w:tcPr>
            <w:tcW w:w="343" w:type="dxa"/>
            <w:tcBorders/>
            <w:shd w:fill="auto" w:val="clear"/>
            <w:vAlign w:val="bottom"/>
          </w:tcPr>
          <w:p>
            <w:pPr>
              <w:pStyle w:val="TableContents"/>
              <w:spacing w:before="0" w:after="283"/>
              <w:rPr/>
            </w:pPr>
            <w:r>
              <w:rPr/>
              <w:t> </w:t>
            </w:r>
          </w:p>
        </w:tc>
      </w:tr>
      <w:tr>
        <w:trPr/>
        <w:tc>
          <w:tcPr>
            <w:tcW w:w="3028" w:type="dxa"/>
            <w:tcBorders/>
            <w:shd w:fill="CCEEFF" w:val="clear"/>
            <w:vAlign w:val="bottom"/>
          </w:tcPr>
          <w:p>
            <w:pPr>
              <w:pStyle w:val="TableContents"/>
              <w:spacing w:before="0" w:after="0"/>
              <w:ind w:left="450" w:right="0" w:hanging="225"/>
              <w:rPr/>
            </w:pPr>
            <w:r>
              <w:rPr/>
              <w:t>New openings</w:t>
            </w:r>
          </w:p>
        </w:tc>
        <w:tc>
          <w:tcPr>
            <w:tcW w:w="23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626" w:type="dxa"/>
            <w:tcBorders/>
            <w:shd w:fill="CCEEFF" w:val="clear"/>
            <w:vAlign w:val="bottom"/>
          </w:tcPr>
          <w:p>
            <w:pPr>
              <w:pStyle w:val="TableContents"/>
              <w:spacing w:before="0" w:after="283"/>
              <w:jc w:val="right"/>
              <w:rPr/>
            </w:pPr>
            <w:r>
              <w:rPr/>
              <w:t></w:t>
            </w:r>
          </w:p>
        </w:tc>
        <w:tc>
          <w:tcPr>
            <w:tcW w:w="356"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647" w:type="dxa"/>
            <w:tcBorders/>
            <w:shd w:fill="CCEEFF" w:val="clear"/>
            <w:vAlign w:val="bottom"/>
          </w:tcPr>
          <w:p>
            <w:pPr>
              <w:pStyle w:val="TableContents"/>
              <w:spacing w:before="0" w:after="283"/>
              <w:jc w:val="right"/>
              <w:rPr/>
            </w:pPr>
            <w:r>
              <w:rPr/>
              <w:t>22</w:t>
            </w:r>
          </w:p>
        </w:tc>
        <w:tc>
          <w:tcPr>
            <w:tcW w:w="508"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22</w:t>
            </w:r>
          </w:p>
        </w:tc>
        <w:tc>
          <w:tcPr>
            <w:tcW w:w="343" w:type="dxa"/>
            <w:tcBorders/>
            <w:shd w:fill="CCEEFF" w:val="clear"/>
            <w:vAlign w:val="bottom"/>
          </w:tcPr>
          <w:p>
            <w:pPr>
              <w:pStyle w:val="TableContents"/>
              <w:spacing w:before="0" w:after="283"/>
              <w:rPr/>
            </w:pPr>
            <w:r>
              <w:rPr/>
              <w:t> </w:t>
            </w:r>
          </w:p>
        </w:tc>
      </w:tr>
      <w:tr>
        <w:trPr/>
        <w:tc>
          <w:tcPr>
            <w:tcW w:w="3028" w:type="dxa"/>
            <w:tcBorders/>
            <w:shd w:fill="auto" w:val="clear"/>
            <w:vAlign w:val="bottom"/>
          </w:tcPr>
          <w:p>
            <w:pPr>
              <w:pStyle w:val="TableContents"/>
              <w:spacing w:before="0" w:after="0"/>
              <w:ind w:left="450" w:right="0" w:hanging="225"/>
              <w:rPr/>
            </w:pPr>
            <w:r>
              <w:rPr/>
              <w:t>Acquired</w:t>
            </w:r>
          </w:p>
        </w:tc>
        <w:tc>
          <w:tcPr>
            <w:tcW w:w="23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626" w:type="dxa"/>
            <w:tcBorders/>
            <w:shd w:fill="auto" w:val="clear"/>
            <w:vAlign w:val="bottom"/>
          </w:tcPr>
          <w:p>
            <w:pPr>
              <w:pStyle w:val="TableContents"/>
              <w:spacing w:before="0" w:after="283"/>
              <w:jc w:val="right"/>
              <w:rPr/>
            </w:pPr>
            <w:r>
              <w:rPr/>
              <w:t></w:t>
            </w:r>
          </w:p>
        </w:tc>
        <w:tc>
          <w:tcPr>
            <w:tcW w:w="35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647" w:type="dxa"/>
            <w:tcBorders/>
            <w:shd w:fill="auto" w:val="clear"/>
            <w:vAlign w:val="bottom"/>
          </w:tcPr>
          <w:p>
            <w:pPr>
              <w:pStyle w:val="TableContents"/>
              <w:spacing w:before="0" w:after="283"/>
              <w:jc w:val="right"/>
              <w:rPr/>
            </w:pPr>
            <w:r>
              <w:rPr/>
              <w:t></w:t>
            </w:r>
          </w:p>
        </w:tc>
        <w:tc>
          <w:tcPr>
            <w:tcW w:w="508"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w:t>
            </w:r>
          </w:p>
        </w:tc>
        <w:tc>
          <w:tcPr>
            <w:tcW w:w="343" w:type="dxa"/>
            <w:tcBorders/>
            <w:shd w:fill="auto" w:val="clear"/>
            <w:vAlign w:val="bottom"/>
          </w:tcPr>
          <w:p>
            <w:pPr>
              <w:pStyle w:val="TableContents"/>
              <w:spacing w:before="0" w:after="283"/>
              <w:rPr/>
            </w:pPr>
            <w:r>
              <w:rPr/>
              <w:t> </w:t>
            </w:r>
          </w:p>
        </w:tc>
      </w:tr>
      <w:tr>
        <w:trPr/>
        <w:tc>
          <w:tcPr>
            <w:tcW w:w="3028" w:type="dxa"/>
            <w:tcBorders/>
            <w:shd w:fill="CCEEFF" w:val="clear"/>
            <w:vAlign w:val="bottom"/>
          </w:tcPr>
          <w:p>
            <w:pPr>
              <w:pStyle w:val="TableContents"/>
              <w:spacing w:before="0" w:after="0"/>
              <w:ind w:left="450" w:right="0" w:hanging="225"/>
              <w:rPr/>
            </w:pPr>
            <w:r>
              <w:rPr/>
              <w:t>Sold, combined, or closed</w:t>
            </w:r>
          </w:p>
        </w:tc>
        <w:tc>
          <w:tcPr>
            <w:tcW w:w="23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626" w:type="dxa"/>
            <w:tcBorders/>
            <w:shd w:fill="CCEEFF" w:val="clear"/>
            <w:vAlign w:val="bottom"/>
          </w:tcPr>
          <w:p>
            <w:pPr>
              <w:pStyle w:val="TableContents"/>
              <w:spacing w:before="0" w:after="283"/>
              <w:jc w:val="right"/>
              <w:rPr/>
            </w:pPr>
            <w:r>
              <w:rPr/>
              <w:t></w:t>
            </w:r>
          </w:p>
        </w:tc>
        <w:tc>
          <w:tcPr>
            <w:tcW w:w="356"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pPr>
            <w:r>
              <w:rPr/>
              <w:t> </w:t>
            </w:r>
          </w:p>
        </w:tc>
        <w:tc>
          <w:tcPr>
            <w:tcW w:w="1647" w:type="dxa"/>
            <w:tcBorders/>
            <w:shd w:fill="CCEEFF" w:val="clear"/>
            <w:vAlign w:val="bottom"/>
          </w:tcPr>
          <w:p>
            <w:pPr>
              <w:pStyle w:val="TableContents"/>
              <w:spacing w:before="0" w:after="283"/>
              <w:jc w:val="right"/>
              <w:rPr/>
            </w:pPr>
            <w:r>
              <w:rPr/>
              <w:t>(1</w:t>
            </w:r>
          </w:p>
        </w:tc>
        <w:tc>
          <w:tcPr>
            <w:tcW w:w="508" w:type="dxa"/>
            <w:tcBorders/>
            <w:shd w:fill="CCEEFF" w:val="clear"/>
            <w:vAlign w:val="bottom"/>
          </w:tcPr>
          <w:p>
            <w:pPr>
              <w:pStyle w:val="TableContents"/>
              <w:spacing w:before="0" w:after="283"/>
              <w:rPr/>
            </w:pPr>
            <w:r>
              <w:rPr/>
              <w:t>)</w:t>
            </w:r>
          </w:p>
        </w:tc>
        <w:tc>
          <w:tcPr>
            <w:tcW w:w="30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right"/>
              <w:rPr/>
            </w:pPr>
            <w:r>
              <w:rPr/>
              <w:t> </w:t>
            </w:r>
          </w:p>
        </w:tc>
        <w:tc>
          <w:tcPr>
            <w:tcW w:w="908" w:type="dxa"/>
            <w:tcBorders/>
            <w:shd w:fill="CCEEFF" w:val="clear"/>
            <w:vAlign w:val="bottom"/>
          </w:tcPr>
          <w:p>
            <w:pPr>
              <w:pStyle w:val="TableContents"/>
              <w:spacing w:before="0" w:after="283"/>
              <w:jc w:val="right"/>
              <w:rPr/>
            </w:pPr>
            <w:r>
              <w:rPr/>
              <w:t>(1</w:t>
            </w:r>
          </w:p>
        </w:tc>
        <w:tc>
          <w:tcPr>
            <w:tcW w:w="343" w:type="dxa"/>
            <w:tcBorders/>
            <w:shd w:fill="CCEEFF" w:val="clear"/>
            <w:vAlign w:val="bottom"/>
          </w:tcPr>
          <w:p>
            <w:pPr>
              <w:pStyle w:val="TableContents"/>
              <w:spacing w:before="0" w:after="283"/>
              <w:rPr/>
            </w:pPr>
            <w:r>
              <w:rPr/>
              <w:t>)</w:t>
            </w:r>
          </w:p>
        </w:tc>
      </w:tr>
      <w:tr>
        <w:trPr/>
        <w:tc>
          <w:tcPr>
            <w:tcW w:w="3028"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1626"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56"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1647"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508"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08"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43" w:type="dxa"/>
            <w:tcBorders/>
            <w:shd w:fill="auto" w:val="clear"/>
            <w:vAlign w:val="center"/>
          </w:tcPr>
          <w:p>
            <w:pPr>
              <w:pStyle w:val="TableContents"/>
              <w:spacing w:before="0" w:after="283"/>
              <w:rPr/>
            </w:pPr>
            <w:r>
              <w:rPr/>
              <w:t> </w:t>
            </w:r>
          </w:p>
        </w:tc>
      </w:tr>
      <w:tr>
        <w:trPr/>
        <w:tc>
          <w:tcPr>
            <w:tcW w:w="3028" w:type="dxa"/>
            <w:tcBorders/>
            <w:shd w:fill="auto" w:val="clear"/>
            <w:vAlign w:val="bottom"/>
          </w:tcPr>
          <w:p>
            <w:pPr>
              <w:pStyle w:val="TableContents"/>
              <w:spacing w:before="0" w:after="0"/>
              <w:ind w:left="450" w:right="0" w:hanging="225"/>
              <w:rPr/>
            </w:pPr>
            <w:r>
              <w:rPr/>
              <w:t>End of period</w:t>
            </w:r>
          </w:p>
        </w:tc>
        <w:tc>
          <w:tcPr>
            <w:tcW w:w="23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626" w:type="dxa"/>
            <w:tcBorders/>
            <w:shd w:fill="auto" w:val="clear"/>
            <w:vAlign w:val="bottom"/>
          </w:tcPr>
          <w:p>
            <w:pPr>
              <w:pStyle w:val="TableContents"/>
              <w:spacing w:before="0" w:after="283"/>
              <w:jc w:val="right"/>
              <w:rPr/>
            </w:pPr>
            <w:r>
              <w:rPr/>
              <w:t>288</w:t>
            </w:r>
          </w:p>
        </w:tc>
        <w:tc>
          <w:tcPr>
            <w:tcW w:w="35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647" w:type="dxa"/>
            <w:tcBorders/>
            <w:shd w:fill="auto" w:val="clear"/>
            <w:vAlign w:val="bottom"/>
          </w:tcPr>
          <w:p>
            <w:pPr>
              <w:pStyle w:val="TableContents"/>
              <w:spacing w:before="0" w:after="283"/>
              <w:jc w:val="right"/>
              <w:rPr/>
            </w:pPr>
            <w:r>
              <w:rPr/>
              <w:t>256</w:t>
            </w:r>
          </w:p>
        </w:tc>
        <w:tc>
          <w:tcPr>
            <w:tcW w:w="508"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544</w:t>
            </w:r>
          </w:p>
        </w:tc>
        <w:tc>
          <w:tcPr>
            <w:tcW w:w="343" w:type="dxa"/>
            <w:tcBorders/>
            <w:shd w:fill="auto" w:val="clear"/>
            <w:vAlign w:val="bottom"/>
          </w:tcPr>
          <w:p>
            <w:pPr>
              <w:pStyle w:val="TableContents"/>
              <w:spacing w:before="0" w:after="283"/>
              <w:rPr/>
            </w:pPr>
            <w:r>
              <w:rPr/>
              <w:t> </w:t>
            </w:r>
          </w:p>
        </w:tc>
      </w:tr>
      <w:tr>
        <w:trPr/>
        <w:tc>
          <w:tcPr>
            <w:tcW w:w="3028"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1626"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56"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1647"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508"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08"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43" w:type="dxa"/>
            <w:tcBorders/>
            <w:shd w:fill="auto" w:val="clear"/>
            <w:vAlign w:val="center"/>
          </w:tcPr>
          <w:p>
            <w:pPr>
              <w:pStyle w:val="TableContents"/>
              <w:spacing w:before="0" w:after="283"/>
              <w:rPr/>
            </w:pPr>
            <w:r>
              <w:rPr/>
              <w:t> </w:t>
            </w:r>
          </w:p>
        </w:tc>
      </w:tr>
      <w:tr>
        <w:trPr/>
        <w:tc>
          <w:tcPr>
            <w:tcW w:w="3028" w:type="dxa"/>
            <w:tcBorders/>
            <w:shd w:fill="CCEEFF" w:val="clear"/>
            <w:vAlign w:val="bottom"/>
          </w:tcPr>
          <w:p>
            <w:pPr>
              <w:pStyle w:val="TableContents"/>
              <w:spacing w:before="0" w:after="0"/>
              <w:ind w:left="225" w:right="0" w:hanging="225"/>
              <w:rPr/>
            </w:pPr>
            <w:r>
              <w:rPr/>
              <w:t>Average number of stores during the period</w:t>
            </w:r>
          </w:p>
        </w:tc>
        <w:tc>
          <w:tcPr>
            <w:tcW w:w="23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626" w:type="dxa"/>
            <w:tcBorders/>
            <w:shd w:fill="CCEEFF" w:val="clear"/>
            <w:vAlign w:val="bottom"/>
          </w:tcPr>
          <w:p>
            <w:pPr>
              <w:pStyle w:val="TableContents"/>
              <w:spacing w:before="0" w:after="283"/>
              <w:jc w:val="right"/>
              <w:rPr/>
            </w:pPr>
            <w:r>
              <w:rPr/>
              <w:t>288</w:t>
            </w:r>
          </w:p>
        </w:tc>
        <w:tc>
          <w:tcPr>
            <w:tcW w:w="356"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647" w:type="dxa"/>
            <w:tcBorders/>
            <w:shd w:fill="CCEEFF" w:val="clear"/>
            <w:vAlign w:val="bottom"/>
          </w:tcPr>
          <w:p>
            <w:pPr>
              <w:pStyle w:val="TableContents"/>
              <w:spacing w:before="0" w:after="283"/>
              <w:jc w:val="right"/>
              <w:rPr/>
            </w:pPr>
            <w:r>
              <w:rPr/>
              <w:t>246</w:t>
            </w:r>
          </w:p>
        </w:tc>
        <w:tc>
          <w:tcPr>
            <w:tcW w:w="508"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534</w:t>
            </w:r>
          </w:p>
        </w:tc>
        <w:tc>
          <w:tcPr>
            <w:tcW w:w="343" w:type="dxa"/>
            <w:tcBorders/>
            <w:shd w:fill="CCEEFF"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111"/>
        <w:gridCol w:w="224"/>
        <w:gridCol w:w="349"/>
        <w:gridCol w:w="1625"/>
        <w:gridCol w:w="351"/>
        <w:gridCol w:w="282"/>
        <w:gridCol w:w="352"/>
        <w:gridCol w:w="1646"/>
        <w:gridCol w:w="504"/>
        <w:gridCol w:w="282"/>
        <w:gridCol w:w="236"/>
        <w:gridCol w:w="909"/>
        <w:gridCol w:w="334"/>
      </w:tblGrid>
      <w:tr>
        <w:trPr/>
        <w:tc>
          <w:tcPr>
            <w:tcW w:w="311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6870" w:type="dxa"/>
            <w:gridSpan w:val="11"/>
            <w:tcBorders>
              <w:bottom w:val="single" w:sz="2" w:space="0" w:color="000000"/>
            </w:tcBorders>
            <w:shd w:fill="auto" w:val="clear"/>
            <w:tcMar>
              <w:bottom w:w="28" w:type="dxa"/>
            </w:tcMar>
            <w:vAlign w:val="bottom"/>
          </w:tcPr>
          <w:p>
            <w:pPr>
              <w:pStyle w:val="TableContents"/>
              <w:spacing w:before="0" w:after="283"/>
              <w:jc w:val="center"/>
              <w:rPr/>
            </w:pPr>
            <w:r>
              <w:rPr/>
              <w:t>Six Months Ended March 31, 2006</w:t>
            </w:r>
          </w:p>
        </w:tc>
      </w:tr>
      <w:tr>
        <w:trPr/>
        <w:tc>
          <w:tcPr>
            <w:tcW w:w="3111"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325" w:type="dxa"/>
            <w:gridSpan w:val="3"/>
            <w:tcBorders>
              <w:bottom w:val="single" w:sz="2" w:space="0" w:color="000000"/>
            </w:tcBorders>
            <w:shd w:fill="auto" w:val="clear"/>
            <w:tcMar>
              <w:bottom w:w="28" w:type="dxa"/>
            </w:tcMar>
            <w:vAlign w:val="bottom"/>
          </w:tcPr>
          <w:p>
            <w:pPr>
              <w:pStyle w:val="TableContents"/>
              <w:spacing w:before="0" w:after="283"/>
              <w:jc w:val="center"/>
              <w:rPr/>
            </w:pPr>
            <w:r>
              <w:rPr/>
              <w:t>EZPAWN Operations</w:t>
            </w:r>
          </w:p>
        </w:tc>
        <w:tc>
          <w:tcPr>
            <w:tcW w:w="282" w:type="dxa"/>
            <w:tcBorders/>
            <w:shd w:fill="auto" w:val="clear"/>
            <w:vAlign w:val="bottom"/>
          </w:tcPr>
          <w:p>
            <w:pPr>
              <w:pStyle w:val="TableContents"/>
              <w:spacing w:before="0" w:after="283"/>
              <w:rPr/>
            </w:pPr>
            <w:r>
              <w:rPr/>
              <w:t> </w:t>
            </w:r>
          </w:p>
        </w:tc>
        <w:tc>
          <w:tcPr>
            <w:tcW w:w="2502" w:type="dxa"/>
            <w:gridSpan w:val="3"/>
            <w:tcBorders>
              <w:bottom w:val="single" w:sz="2" w:space="0" w:color="000000"/>
            </w:tcBorders>
            <w:shd w:fill="auto" w:val="clear"/>
            <w:tcMar>
              <w:bottom w:w="28" w:type="dxa"/>
            </w:tcMar>
            <w:vAlign w:val="bottom"/>
          </w:tcPr>
          <w:p>
            <w:pPr>
              <w:pStyle w:val="TableContents"/>
              <w:spacing w:before="0" w:after="283"/>
              <w:jc w:val="center"/>
              <w:rPr/>
            </w:pPr>
            <w:r>
              <w:rPr/>
              <w:t>EZMONEY Operations</w:t>
            </w:r>
          </w:p>
        </w:tc>
        <w:tc>
          <w:tcPr>
            <w:tcW w:w="282" w:type="dxa"/>
            <w:tcBorders/>
            <w:shd w:fill="auto" w:val="clear"/>
            <w:vAlign w:val="bottom"/>
          </w:tcPr>
          <w:p>
            <w:pPr>
              <w:pStyle w:val="TableContents"/>
              <w:spacing w:before="0" w:after="283"/>
              <w:rPr/>
            </w:pPr>
            <w:r>
              <w:rPr/>
              <w:t> </w:t>
            </w:r>
          </w:p>
        </w:tc>
        <w:tc>
          <w:tcPr>
            <w:tcW w:w="1479" w:type="dxa"/>
            <w:gridSpan w:val="3"/>
            <w:tcBorders>
              <w:bottom w:val="single" w:sz="2" w:space="0" w:color="000000"/>
            </w:tcBorders>
            <w:shd w:fill="auto" w:val="clear"/>
            <w:tcMar>
              <w:bottom w:w="28" w:type="dxa"/>
            </w:tcMar>
            <w:vAlign w:val="bottom"/>
          </w:tcPr>
          <w:p>
            <w:pPr>
              <w:pStyle w:val="TableContents"/>
              <w:spacing w:before="0" w:after="283"/>
              <w:jc w:val="center"/>
              <w:rPr/>
            </w:pPr>
            <w:r>
              <w:rPr/>
              <w:t>Consolidated</w:t>
            </w:r>
          </w:p>
        </w:tc>
      </w:tr>
      <w:tr>
        <w:trPr/>
        <w:tc>
          <w:tcPr>
            <w:tcW w:w="3111" w:type="dxa"/>
            <w:tcBorders/>
            <w:shd w:fill="CCEEFF" w:val="clear"/>
            <w:vAlign w:val="bottom"/>
          </w:tcPr>
          <w:p>
            <w:pPr>
              <w:pStyle w:val="TableContents"/>
              <w:spacing w:before="0" w:after="0"/>
              <w:ind w:left="225" w:right="0" w:hanging="225"/>
              <w:rPr/>
            </w:pPr>
            <w:r>
              <w:rPr/>
              <w:t>Stores in operation:</w:t>
            </w:r>
          </w:p>
        </w:tc>
        <w:tc>
          <w:tcPr>
            <w:tcW w:w="224"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6"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0"/>
              <w:ind w:left="450" w:right="0" w:hanging="225"/>
              <w:rPr/>
            </w:pPr>
            <w:r>
              <w:rPr/>
              <w:t>Beginning of period</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jc w:val="right"/>
              <w:rPr/>
            </w:pPr>
            <w:r>
              <w:rPr/>
              <w:t>287</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jc w:val="right"/>
              <w:rPr/>
            </w:pPr>
            <w:r>
              <w:rPr/>
              <w:t>227</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514</w:t>
            </w:r>
          </w:p>
        </w:tc>
        <w:tc>
          <w:tcPr>
            <w:tcW w:w="334" w:type="dxa"/>
            <w:tcBorders/>
            <w:shd w:fill="auto" w:val="clear"/>
            <w:vAlign w:val="bottom"/>
          </w:tcPr>
          <w:p>
            <w:pPr>
              <w:pStyle w:val="TableContents"/>
              <w:spacing w:before="0" w:after="283"/>
              <w:rPr/>
            </w:pPr>
            <w:r>
              <w:rPr/>
              <w:t> </w:t>
            </w:r>
          </w:p>
        </w:tc>
      </w:tr>
      <w:tr>
        <w:trPr/>
        <w:tc>
          <w:tcPr>
            <w:tcW w:w="3111" w:type="dxa"/>
            <w:tcBorders/>
            <w:shd w:fill="CCEEFF" w:val="clear"/>
            <w:vAlign w:val="bottom"/>
          </w:tcPr>
          <w:p>
            <w:pPr>
              <w:pStyle w:val="TableContents"/>
              <w:spacing w:before="0" w:after="0"/>
              <w:ind w:left="450" w:right="0" w:hanging="225"/>
              <w:rPr/>
            </w:pPr>
            <w:r>
              <w:rPr/>
              <w:t>New openings</w:t>
            </w:r>
          </w:p>
        </w:tc>
        <w:tc>
          <w:tcPr>
            <w:tcW w:w="224"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pPr>
            <w:r>
              <w:rPr/>
              <w:t></w:t>
            </w:r>
          </w:p>
        </w:tc>
        <w:tc>
          <w:tcPr>
            <w:tcW w:w="351"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6" w:type="dxa"/>
            <w:tcBorders/>
            <w:shd w:fill="CCEEFF" w:val="clear"/>
            <w:vAlign w:val="bottom"/>
          </w:tcPr>
          <w:p>
            <w:pPr>
              <w:pStyle w:val="TableContents"/>
              <w:spacing w:before="0" w:after="283"/>
              <w:jc w:val="right"/>
              <w:rPr/>
            </w:pPr>
            <w:r>
              <w:rPr/>
              <w:t>30</w:t>
            </w:r>
          </w:p>
        </w:tc>
        <w:tc>
          <w:tcPr>
            <w:tcW w:w="50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30</w:t>
            </w:r>
          </w:p>
        </w:tc>
        <w:tc>
          <w:tcPr>
            <w:tcW w:w="334" w:type="dxa"/>
            <w:tcBorders/>
            <w:shd w:fill="CCEEFF"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0"/>
              <w:ind w:left="450" w:right="0" w:hanging="225"/>
              <w:rPr/>
            </w:pPr>
            <w:r>
              <w:rPr/>
              <w:t>Acquired</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jc w:val="right"/>
              <w:rPr/>
            </w:pPr>
            <w:r>
              <w:rPr/>
              <w:t>1</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jc w:val="right"/>
              <w:rPr/>
            </w:pPr>
            <w:r>
              <w:rPr/>
              <w:t></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1</w:t>
            </w:r>
          </w:p>
        </w:tc>
        <w:tc>
          <w:tcPr>
            <w:tcW w:w="334" w:type="dxa"/>
            <w:tcBorders/>
            <w:shd w:fill="auto" w:val="clear"/>
            <w:vAlign w:val="bottom"/>
          </w:tcPr>
          <w:p>
            <w:pPr>
              <w:pStyle w:val="TableContents"/>
              <w:spacing w:before="0" w:after="283"/>
              <w:rPr/>
            </w:pPr>
            <w:r>
              <w:rPr/>
              <w:t> </w:t>
            </w:r>
          </w:p>
        </w:tc>
      </w:tr>
      <w:tr>
        <w:trPr/>
        <w:tc>
          <w:tcPr>
            <w:tcW w:w="3111" w:type="dxa"/>
            <w:tcBorders/>
            <w:shd w:fill="CCEEFF" w:val="clear"/>
            <w:vAlign w:val="bottom"/>
          </w:tcPr>
          <w:p>
            <w:pPr>
              <w:pStyle w:val="TableContents"/>
              <w:spacing w:before="0" w:after="0"/>
              <w:ind w:left="450" w:right="0" w:hanging="225"/>
              <w:rPr/>
            </w:pPr>
            <w:r>
              <w:rPr/>
              <w:t>Sold, combined, or closed</w:t>
            </w:r>
          </w:p>
        </w:tc>
        <w:tc>
          <w:tcPr>
            <w:tcW w:w="224"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pPr>
            <w:r>
              <w:rPr/>
              <w:t></w:t>
            </w:r>
          </w:p>
        </w:tc>
        <w:tc>
          <w:tcPr>
            <w:tcW w:w="351"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jc w:val="right"/>
              <w:rPr/>
            </w:pPr>
            <w:r>
              <w:rPr/>
              <w:t> </w:t>
            </w:r>
          </w:p>
        </w:tc>
        <w:tc>
          <w:tcPr>
            <w:tcW w:w="1646" w:type="dxa"/>
            <w:tcBorders/>
            <w:shd w:fill="CCEEFF" w:val="clear"/>
            <w:vAlign w:val="bottom"/>
          </w:tcPr>
          <w:p>
            <w:pPr>
              <w:pStyle w:val="TableContents"/>
              <w:spacing w:before="0" w:after="283"/>
              <w:jc w:val="right"/>
              <w:rPr/>
            </w:pPr>
            <w:r>
              <w:rPr/>
              <w:t>(1</w:t>
            </w:r>
          </w:p>
        </w:tc>
        <w:tc>
          <w:tcPr>
            <w:tcW w:w="504" w:type="dxa"/>
            <w:tcBorders/>
            <w:shd w:fill="CCEEFF" w:val="clear"/>
            <w:vAlign w:val="bottom"/>
          </w:tcPr>
          <w:p>
            <w:pPr>
              <w:pStyle w:val="TableContents"/>
              <w:spacing w:before="0" w:after="283"/>
              <w:rPr/>
            </w:pPr>
            <w:r>
              <w:rPr/>
              <w:t>)</w:t>
            </w:r>
          </w:p>
        </w:tc>
        <w:tc>
          <w:tcPr>
            <w:tcW w:w="28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right"/>
              <w:rPr/>
            </w:pPr>
            <w:r>
              <w:rPr/>
              <w:t> </w:t>
            </w:r>
          </w:p>
        </w:tc>
        <w:tc>
          <w:tcPr>
            <w:tcW w:w="909" w:type="dxa"/>
            <w:tcBorders/>
            <w:shd w:fill="CCEEFF" w:val="clear"/>
            <w:vAlign w:val="bottom"/>
          </w:tcPr>
          <w:p>
            <w:pPr>
              <w:pStyle w:val="TableContents"/>
              <w:spacing w:before="0" w:after="283"/>
              <w:jc w:val="right"/>
              <w:rPr/>
            </w:pPr>
            <w:r>
              <w:rPr/>
              <w:t>(1</w:t>
            </w:r>
          </w:p>
        </w:tc>
        <w:tc>
          <w:tcPr>
            <w:tcW w:w="334" w:type="dxa"/>
            <w:tcBorders/>
            <w:shd w:fill="CCEEFF" w:val="clear"/>
            <w:vAlign w:val="bottom"/>
          </w:tcPr>
          <w:p>
            <w:pPr>
              <w:pStyle w:val="TableContents"/>
              <w:spacing w:before="0" w:after="283"/>
              <w:rPr/>
            </w:pPr>
            <w:r>
              <w:rPr/>
              <w:t>)</w:t>
            </w:r>
          </w:p>
        </w:tc>
      </w:tr>
      <w:tr>
        <w:trPr/>
        <w:tc>
          <w:tcPr>
            <w:tcW w:w="3111"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1625"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51"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1646"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504"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909"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34" w:type="dxa"/>
            <w:tcBorders/>
            <w:shd w:fill="auto" w:val="clear"/>
            <w:vAlign w:val="center"/>
          </w:tcPr>
          <w:p>
            <w:pPr>
              <w:pStyle w:val="TableContents"/>
              <w:spacing w:before="0" w:after="283"/>
              <w:rPr/>
            </w:pPr>
            <w:r>
              <w:rPr/>
              <w:t> </w:t>
            </w:r>
          </w:p>
        </w:tc>
      </w:tr>
      <w:tr>
        <w:trPr/>
        <w:tc>
          <w:tcPr>
            <w:tcW w:w="3111" w:type="dxa"/>
            <w:tcBorders/>
            <w:shd w:fill="auto" w:val="clear"/>
            <w:vAlign w:val="bottom"/>
          </w:tcPr>
          <w:p>
            <w:pPr>
              <w:pStyle w:val="TableContents"/>
              <w:spacing w:before="0" w:after="0"/>
              <w:ind w:left="450" w:right="0" w:hanging="225"/>
              <w:rPr/>
            </w:pPr>
            <w:r>
              <w:rPr/>
              <w:t>End of period</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jc w:val="right"/>
              <w:rPr/>
            </w:pPr>
            <w:r>
              <w:rPr/>
              <w:t>288</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jc w:val="right"/>
              <w:rPr/>
            </w:pPr>
            <w:r>
              <w:rPr/>
              <w:t>256</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544</w:t>
            </w:r>
          </w:p>
        </w:tc>
        <w:tc>
          <w:tcPr>
            <w:tcW w:w="334" w:type="dxa"/>
            <w:tcBorders/>
            <w:shd w:fill="auto" w:val="clear"/>
            <w:vAlign w:val="bottom"/>
          </w:tcPr>
          <w:p>
            <w:pPr>
              <w:pStyle w:val="TableContents"/>
              <w:spacing w:before="0" w:after="283"/>
              <w:rPr/>
            </w:pPr>
            <w:r>
              <w:rPr/>
              <w:t> </w:t>
            </w:r>
          </w:p>
        </w:tc>
      </w:tr>
      <w:tr>
        <w:trPr/>
        <w:tc>
          <w:tcPr>
            <w:tcW w:w="3111"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1625"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51"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1646"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504"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909"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34" w:type="dxa"/>
            <w:tcBorders/>
            <w:shd w:fill="auto" w:val="clear"/>
            <w:vAlign w:val="center"/>
          </w:tcPr>
          <w:p>
            <w:pPr>
              <w:pStyle w:val="TableContents"/>
              <w:spacing w:before="0" w:after="283"/>
              <w:rPr/>
            </w:pPr>
            <w:r>
              <w:rPr/>
              <w:t> </w:t>
            </w:r>
          </w:p>
        </w:tc>
      </w:tr>
      <w:tr>
        <w:trPr/>
        <w:tc>
          <w:tcPr>
            <w:tcW w:w="3111" w:type="dxa"/>
            <w:tcBorders/>
            <w:shd w:fill="auto" w:val="clear"/>
            <w:vAlign w:val="bottom"/>
          </w:tcPr>
          <w:p>
            <w:pPr>
              <w:pStyle w:val="TableContents"/>
              <w:spacing w:before="0" w:after="0"/>
              <w:ind w:left="225" w:right="0" w:hanging="225"/>
              <w:rPr/>
            </w:pPr>
            <w:r>
              <w:rPr/>
              <w:t> </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r>
      <w:tr>
        <w:trPr/>
        <w:tc>
          <w:tcPr>
            <w:tcW w:w="3111" w:type="dxa"/>
            <w:tcBorders/>
            <w:shd w:fill="CCEEFF" w:val="clear"/>
            <w:vAlign w:val="bottom"/>
          </w:tcPr>
          <w:p>
            <w:pPr>
              <w:pStyle w:val="TableContents"/>
              <w:spacing w:before="0" w:after="0"/>
              <w:ind w:left="225" w:right="0" w:hanging="225"/>
              <w:rPr/>
            </w:pPr>
            <w:r>
              <w:rPr/>
              <w:t>Average number of stores during the period</w:t>
            </w:r>
          </w:p>
        </w:tc>
        <w:tc>
          <w:tcPr>
            <w:tcW w:w="224"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pPr>
            <w:r>
              <w:rPr/>
              <w:t>288</w:t>
            </w:r>
          </w:p>
        </w:tc>
        <w:tc>
          <w:tcPr>
            <w:tcW w:w="351"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6" w:type="dxa"/>
            <w:tcBorders/>
            <w:shd w:fill="CCEEFF" w:val="clear"/>
            <w:vAlign w:val="bottom"/>
          </w:tcPr>
          <w:p>
            <w:pPr>
              <w:pStyle w:val="TableContents"/>
              <w:spacing w:before="0" w:after="283"/>
              <w:jc w:val="right"/>
              <w:rPr/>
            </w:pPr>
            <w:r>
              <w:rPr/>
              <w:t>242</w:t>
            </w:r>
          </w:p>
        </w:tc>
        <w:tc>
          <w:tcPr>
            <w:tcW w:w="50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529</w:t>
            </w:r>
          </w:p>
        </w:tc>
        <w:tc>
          <w:tcPr>
            <w:tcW w:w="334" w:type="dxa"/>
            <w:tcBorders/>
            <w:shd w:fill="CCEEFF"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0"/>
              <w:ind w:left="225" w:right="0" w:hanging="225"/>
              <w:rPr/>
            </w:pPr>
            <w:r>
              <w:rPr/>
              <w:t>Composition of ending stores:</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r>
      <w:tr>
        <w:trPr/>
        <w:tc>
          <w:tcPr>
            <w:tcW w:w="3111" w:type="dxa"/>
            <w:tcBorders/>
            <w:shd w:fill="CCEEFF" w:val="clear"/>
            <w:vAlign w:val="bottom"/>
          </w:tcPr>
          <w:p>
            <w:pPr>
              <w:pStyle w:val="TableContents"/>
              <w:spacing w:before="0" w:after="0"/>
              <w:ind w:left="450" w:right="0" w:hanging="225"/>
              <w:rPr/>
            </w:pPr>
            <w:r>
              <w:rPr/>
              <w:t>EZPAWN  United States</w:t>
            </w:r>
          </w:p>
        </w:tc>
        <w:tc>
          <w:tcPr>
            <w:tcW w:w="224"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pPr>
            <w:r>
              <w:rPr/>
              <w:t>281</w:t>
            </w:r>
          </w:p>
        </w:tc>
        <w:tc>
          <w:tcPr>
            <w:tcW w:w="351"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6" w:type="dxa"/>
            <w:tcBorders/>
            <w:shd w:fill="CCEEFF" w:val="clear"/>
            <w:vAlign w:val="bottom"/>
          </w:tcPr>
          <w:p>
            <w:pPr>
              <w:pStyle w:val="TableContents"/>
              <w:spacing w:before="0" w:after="283"/>
              <w:jc w:val="right"/>
              <w:rPr/>
            </w:pPr>
            <w:r>
              <w:rPr/>
              <w:t></w:t>
            </w:r>
          </w:p>
        </w:tc>
        <w:tc>
          <w:tcPr>
            <w:tcW w:w="50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281</w:t>
            </w:r>
          </w:p>
        </w:tc>
        <w:tc>
          <w:tcPr>
            <w:tcW w:w="334" w:type="dxa"/>
            <w:tcBorders/>
            <w:shd w:fill="CCEEFF"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0"/>
              <w:ind w:left="450" w:right="0" w:hanging="225"/>
              <w:rPr/>
            </w:pPr>
            <w:r>
              <w:rPr/>
              <w:t>EZPAWN  Mexico</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jc w:val="right"/>
              <w:rPr/>
            </w:pPr>
            <w:r>
              <w:rPr/>
              <w:t></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jc w:val="right"/>
              <w:rPr/>
            </w:pPr>
            <w:r>
              <w:rPr/>
              <w:t></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w:t>
            </w:r>
          </w:p>
        </w:tc>
        <w:tc>
          <w:tcPr>
            <w:tcW w:w="334" w:type="dxa"/>
            <w:tcBorders/>
            <w:shd w:fill="auto" w:val="clear"/>
            <w:vAlign w:val="bottom"/>
          </w:tcPr>
          <w:p>
            <w:pPr>
              <w:pStyle w:val="TableContents"/>
              <w:spacing w:before="0" w:after="283"/>
              <w:rPr/>
            </w:pPr>
            <w:r>
              <w:rPr/>
              <w:t> </w:t>
            </w:r>
          </w:p>
        </w:tc>
      </w:tr>
      <w:tr>
        <w:trPr/>
        <w:tc>
          <w:tcPr>
            <w:tcW w:w="3111" w:type="dxa"/>
            <w:tcBorders/>
            <w:shd w:fill="CCEEFF" w:val="clear"/>
            <w:vAlign w:val="bottom"/>
          </w:tcPr>
          <w:p>
            <w:pPr>
              <w:pStyle w:val="TableContents"/>
              <w:spacing w:before="0" w:after="0"/>
              <w:ind w:left="450" w:right="0" w:hanging="225"/>
              <w:rPr/>
            </w:pPr>
            <w:r>
              <w:rPr/>
              <w:t>EZMONEY signature loan stores adjoining EZPAWNs</w:t>
            </w:r>
          </w:p>
        </w:tc>
        <w:tc>
          <w:tcPr>
            <w:tcW w:w="224"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pPr>
            <w:r>
              <w:rPr/>
              <w:t>7</w:t>
            </w:r>
          </w:p>
        </w:tc>
        <w:tc>
          <w:tcPr>
            <w:tcW w:w="351"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6" w:type="dxa"/>
            <w:tcBorders/>
            <w:shd w:fill="CCEEFF" w:val="clear"/>
            <w:vAlign w:val="bottom"/>
          </w:tcPr>
          <w:p>
            <w:pPr>
              <w:pStyle w:val="TableContents"/>
              <w:spacing w:before="0" w:after="283"/>
              <w:jc w:val="right"/>
              <w:rPr/>
            </w:pPr>
            <w:r>
              <w:rPr/>
              <w:t>158</w:t>
            </w:r>
          </w:p>
        </w:tc>
        <w:tc>
          <w:tcPr>
            <w:tcW w:w="50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165</w:t>
            </w:r>
          </w:p>
        </w:tc>
        <w:tc>
          <w:tcPr>
            <w:tcW w:w="334" w:type="dxa"/>
            <w:tcBorders/>
            <w:shd w:fill="CCEEFF"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0"/>
              <w:ind w:left="450" w:right="0" w:hanging="225"/>
              <w:rPr/>
            </w:pPr>
            <w:r>
              <w:rPr/>
              <w:t>EZMONEY signature loan stores  free standing</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jc w:val="right"/>
              <w:rPr/>
            </w:pPr>
            <w:r>
              <w:rPr/>
              <w:t></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jc w:val="right"/>
              <w:rPr/>
            </w:pPr>
            <w:r>
              <w:rPr/>
              <w:t>98</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98</w:t>
            </w:r>
          </w:p>
        </w:tc>
        <w:tc>
          <w:tcPr>
            <w:tcW w:w="334" w:type="dxa"/>
            <w:tcBorders/>
            <w:shd w:fill="auto" w:val="clear"/>
            <w:vAlign w:val="bottom"/>
          </w:tcPr>
          <w:p>
            <w:pPr>
              <w:pStyle w:val="TableContents"/>
              <w:spacing w:before="0" w:after="283"/>
              <w:rPr/>
            </w:pPr>
            <w:r>
              <w:rPr/>
              <w:t> </w:t>
            </w:r>
          </w:p>
        </w:tc>
      </w:tr>
      <w:tr>
        <w:trPr/>
        <w:tc>
          <w:tcPr>
            <w:tcW w:w="3111"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1625"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51"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1646"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504"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909"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34" w:type="dxa"/>
            <w:tcBorders/>
            <w:shd w:fill="auto" w:val="clear"/>
            <w:vAlign w:val="center"/>
          </w:tcPr>
          <w:p>
            <w:pPr>
              <w:pStyle w:val="TableContents"/>
              <w:spacing w:before="0" w:after="283"/>
              <w:rPr/>
            </w:pPr>
            <w:r>
              <w:rPr/>
              <w:t> </w:t>
            </w:r>
          </w:p>
        </w:tc>
      </w:tr>
      <w:tr>
        <w:trPr/>
        <w:tc>
          <w:tcPr>
            <w:tcW w:w="3111" w:type="dxa"/>
            <w:tcBorders/>
            <w:shd w:fill="CCEEFF" w:val="clear"/>
            <w:vAlign w:val="bottom"/>
          </w:tcPr>
          <w:p>
            <w:pPr>
              <w:pStyle w:val="TableContents"/>
              <w:spacing w:before="0" w:after="0"/>
              <w:ind w:left="450" w:right="0" w:hanging="225"/>
              <w:rPr/>
            </w:pPr>
            <w:r>
              <w:rPr/>
              <w:t>Total stores in operation</w:t>
            </w:r>
          </w:p>
        </w:tc>
        <w:tc>
          <w:tcPr>
            <w:tcW w:w="224"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625" w:type="dxa"/>
            <w:tcBorders/>
            <w:shd w:fill="CCEEFF" w:val="clear"/>
            <w:vAlign w:val="bottom"/>
          </w:tcPr>
          <w:p>
            <w:pPr>
              <w:pStyle w:val="TableContents"/>
              <w:spacing w:before="0" w:after="283"/>
              <w:jc w:val="right"/>
              <w:rPr/>
            </w:pPr>
            <w:r>
              <w:rPr/>
              <w:t>288</w:t>
            </w:r>
          </w:p>
        </w:tc>
        <w:tc>
          <w:tcPr>
            <w:tcW w:w="351"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6" w:type="dxa"/>
            <w:tcBorders/>
            <w:shd w:fill="CCEEFF" w:val="clear"/>
            <w:vAlign w:val="bottom"/>
          </w:tcPr>
          <w:p>
            <w:pPr>
              <w:pStyle w:val="TableContents"/>
              <w:spacing w:before="0" w:after="283"/>
              <w:jc w:val="right"/>
              <w:rPr/>
            </w:pPr>
            <w:r>
              <w:rPr/>
              <w:t>256</w:t>
            </w:r>
          </w:p>
        </w:tc>
        <w:tc>
          <w:tcPr>
            <w:tcW w:w="50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544</w:t>
            </w:r>
          </w:p>
        </w:tc>
        <w:tc>
          <w:tcPr>
            <w:tcW w:w="334" w:type="dxa"/>
            <w:tcBorders/>
            <w:shd w:fill="CCEEFF" w:val="clear"/>
            <w:vAlign w:val="bottom"/>
          </w:tcPr>
          <w:p>
            <w:pPr>
              <w:pStyle w:val="TableContents"/>
              <w:spacing w:before="0" w:after="283"/>
              <w:rPr/>
            </w:pPr>
            <w:r>
              <w:rPr/>
              <w:t> </w:t>
            </w:r>
          </w:p>
        </w:tc>
      </w:tr>
      <w:tr>
        <w:trPr/>
        <w:tc>
          <w:tcPr>
            <w:tcW w:w="3111"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1625"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51"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1646"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504"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909"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34" w:type="dxa"/>
            <w:tcBorders/>
            <w:shd w:fill="auto" w:val="clear"/>
            <w:vAlign w:val="center"/>
          </w:tcPr>
          <w:p>
            <w:pPr>
              <w:pStyle w:val="TableContents"/>
              <w:spacing w:before="0" w:after="283"/>
              <w:rPr/>
            </w:pPr>
            <w:r>
              <w:rPr/>
              <w:t> </w:t>
            </w:r>
          </w:p>
        </w:tc>
      </w:tr>
      <w:tr>
        <w:trPr/>
        <w:tc>
          <w:tcPr>
            <w:tcW w:w="3111" w:type="dxa"/>
            <w:tcBorders/>
            <w:shd w:fill="auto" w:val="clear"/>
            <w:vAlign w:val="bottom"/>
          </w:tcPr>
          <w:p>
            <w:pPr>
              <w:pStyle w:val="TableContents"/>
              <w:spacing w:before="0" w:after="0"/>
              <w:ind w:left="450" w:right="0" w:hanging="225"/>
              <w:rPr/>
            </w:pPr>
            <w:r>
              <w:rPr/>
              <w:t>Total stores offering signature loans</w:t>
            </w:r>
          </w:p>
        </w:tc>
        <w:tc>
          <w:tcPr>
            <w:tcW w:w="224"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jc w:val="right"/>
              <w:rPr/>
            </w:pPr>
            <w:r>
              <w:rPr/>
              <w:t>90</w:t>
            </w:r>
          </w:p>
        </w:tc>
        <w:tc>
          <w:tcPr>
            <w:tcW w:w="351"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6" w:type="dxa"/>
            <w:tcBorders/>
            <w:shd w:fill="auto" w:val="clear"/>
            <w:vAlign w:val="bottom"/>
          </w:tcPr>
          <w:p>
            <w:pPr>
              <w:pStyle w:val="TableContents"/>
              <w:spacing w:before="0" w:after="283"/>
              <w:jc w:val="right"/>
              <w:rPr/>
            </w:pPr>
            <w:r>
              <w:rPr/>
              <w:t>256</w:t>
            </w:r>
          </w:p>
        </w:tc>
        <w:tc>
          <w:tcPr>
            <w:tcW w:w="5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346</w:t>
            </w:r>
          </w:p>
        </w:tc>
        <w:tc>
          <w:tcPr>
            <w:tcW w:w="334"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 pawn service charge revenue on our pawn lending. While allowable service charges vary by state and loan size, a majority of our pawn loans are in amounts that allow 20% per month, or 240% annually. Our average pawn loan amount typically ranges between $80 and $90 but varies depending on the valuation of each item pawned. The total loan term, consisting of the primary term and grace period, ranges between 60 and 120 days.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began reducing the total loan term on pawn loans from 90 days to 60 days in 67 of our pawn stores in August 2005 and another 148 in November 2005. Forty-three stores had previously made the change. We estimate this change reduced our pawn portfolio approximately 15% for the loans in these stores that were between 60 and 90 days old, with very little or no impact on pawn service charge revenues. This change also created a one-time doubling of forfeitures as loans made 90 and 60 days earlier simultaneously forfeited for a 30-day period, resulting in a higher level of inventory available for sale (beginning inventory plus forfeitures and purchases). In the 67 stores converted in August 2005, we experienced this doubling of forfeitures as loans matured in the quarter ended December 31, 2005. In the 148 stores converted in November 2005, we experienced this doubling of forfeitures as loans matured during the quarter ended March 31,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pawnshops, we acquire inventory for retail sales through pawn loan forfeitures and, to a lesser extent, through purchases of customers merchandise. The gross profit on sales of inventory depends primarily on our assessment of the resale value at the time the property is either accepted as loan collateral or purchased. Improper assessment of the resale value in the lending or purchasing process can result in lower margins or reduced marketability of the merchandise.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March 31, 2007, 252 of our 369 EZMONEY stores and 50 of our 282 pawn stores offered credit services to customers seeking loans from unaffiliated lenders. We do not participate in the loans made by the lenders, but typically earn a fee of 20% of the loan amount for helping customers obtain credit and for enhancing customers creditworthiness by providing letters of credit. We also offer a free service to improve or establish customers credit histories by reporting their payments to an external credit-reporting agency. Loans obtained by our credit service customers average approximately $500 and the loan term is generally less than 30 days, averaging about 17 days.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 payday loan fee revenue on our payday loans. In 147 stores, we make payday loans subject to state law. The average payday loan amount is approximately $400 and the term is generally less than 30 days, averaging about 18 days. We typically charge a fee of 15% to 22% of the loan amount for a 7 to 23-day period. Through December 2005, we also marketed and serviced payday loans made by County Bank of Rehoboth Beach in some of our stores. We could purchase a 90% participation in the County Bank loans we marketed. As of December 31, 2005, County Bank discontinued its payday loan program. Most of our stores previously marketing County Bank loans now provide credit services to customers in obtaining loans from unaffiliated lenders.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EZPAWN Operations segment contributed $2.0 million greater store operating income compared to the prior year quarter, including an increase in pawn service charges, an increase in the gross profit on sales and a reduction in operating expenses. Our EZMONEY Operations segment contributed $2.9 million greater store operating income, comprised of higher fees net of bad debt, somewhat offset by higher operating costs primarily at new stores. After an increase in administrative expenses, our consolidated net income improved to $10.2 million in the current quarter from $7.7 million in the prior year quarter.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Second Quarter Ended March 31, 2007 vs. Second Quarter Ended March 31, 2006</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discussion compares our results of operations for the quarter ended March 31, 2007 (the current quarter) to the quarter ended March 31, 2006 (the prior year quarter). The discussion should be read with the accompanying financial statements and related notes.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EZPAWN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EZPAWN Operations segment: </w:t>
      </w:r>
    </w:p>
    <w:tbl>
      <w:tblPr>
        <w:tblW w:w="5000" w:type="pct"/>
        <w:jc w:val="center"/>
        <w:tblInd w:w="0" w:type="dxa"/>
        <w:tblCellMar>
          <w:top w:w="0" w:type="dxa"/>
          <w:left w:w="0" w:type="dxa"/>
          <w:bottom w:w="0" w:type="dxa"/>
          <w:right w:w="0" w:type="dxa"/>
        </w:tblCellMar>
      </w:tblPr>
      <w:tblGrid>
        <w:gridCol w:w="5878"/>
        <w:gridCol w:w="387"/>
        <w:gridCol w:w="248"/>
        <w:gridCol w:w="1217"/>
        <w:gridCol w:w="345"/>
        <w:gridCol w:w="416"/>
        <w:gridCol w:w="248"/>
        <w:gridCol w:w="1218"/>
        <w:gridCol w:w="248"/>
      </w:tblGrid>
      <w:tr>
        <w:trPr/>
        <w:tc>
          <w:tcPr>
            <w:tcW w:w="5878"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8"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r>
      <w:tr>
        <w:trPr/>
        <w:tc>
          <w:tcPr>
            <w:tcW w:w="5878"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3692" w:type="dxa"/>
            <w:gridSpan w:val="6"/>
            <w:tcBorders>
              <w:bottom w:val="single" w:sz="2" w:space="0" w:color="FFFFFF"/>
            </w:tcBorders>
            <w:shd w:fill="auto" w:val="clear"/>
            <w:tcMar>
              <w:bottom w:w="28" w:type="dxa"/>
            </w:tcMar>
            <w:vAlign w:val="bottom"/>
          </w:tcPr>
          <w:p>
            <w:pPr>
              <w:pStyle w:val="TableContents"/>
              <w:spacing w:before="0" w:after="283"/>
              <w:jc w:val="center"/>
              <w:rPr/>
            </w:pPr>
            <w:r>
              <w:rPr/>
              <w:t>Three Months Ended March 31,</w:t>
            </w:r>
          </w:p>
        </w:tc>
        <w:tc>
          <w:tcPr>
            <w:tcW w:w="248" w:type="dxa"/>
            <w:tcBorders/>
            <w:shd w:fill="auto" w:val="clear"/>
            <w:vAlign w:val="bottom"/>
          </w:tcPr>
          <w:p>
            <w:pPr>
              <w:pStyle w:val="TableContents"/>
              <w:spacing w:before="0" w:after="283"/>
              <w:rPr/>
            </w:pPr>
            <w:r>
              <w:rPr/>
              <w:t> </w:t>
            </w:r>
          </w:p>
        </w:tc>
      </w:tr>
      <w:tr>
        <w:trPr/>
        <w:tc>
          <w:tcPr>
            <w:tcW w:w="5878"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6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345" w:type="dxa"/>
            <w:tcBorders>
              <w:bottom w:val="single" w:sz="2" w:space="0" w:color="000000"/>
            </w:tcBorders>
            <w:shd w:fill="auto" w:val="clear"/>
            <w:tcMar>
              <w:bottom w:w="28" w:type="dxa"/>
            </w:tcMar>
            <w:vAlign w:val="bottom"/>
          </w:tcPr>
          <w:p>
            <w:pPr>
              <w:pStyle w:val="TableContents"/>
              <w:spacing w:before="0" w:after="283"/>
              <w:rPr/>
            </w:pPr>
            <w:r>
              <w:rPr/>
              <w:t> </w:t>
            </w:r>
          </w:p>
        </w:tc>
        <w:tc>
          <w:tcPr>
            <w:tcW w:w="416" w:type="dxa"/>
            <w:tcBorders>
              <w:bottom w:val="single" w:sz="2" w:space="0" w:color="000000"/>
            </w:tcBorders>
            <w:shd w:fill="auto" w:val="clear"/>
            <w:tcMar>
              <w:bottom w:w="28" w:type="dxa"/>
            </w:tcMar>
            <w:vAlign w:val="bottom"/>
          </w:tcPr>
          <w:p>
            <w:pPr>
              <w:pStyle w:val="TableContents"/>
              <w:spacing w:before="0" w:after="283"/>
              <w:rPr/>
            </w:pPr>
            <w:r>
              <w:rPr/>
              <w:t> </w:t>
            </w:r>
          </w:p>
        </w:tc>
        <w:tc>
          <w:tcPr>
            <w:tcW w:w="146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48" w:type="dxa"/>
            <w:tcBorders/>
            <w:shd w:fill="auto" w:val="clear"/>
            <w:vAlign w:val="bottom"/>
          </w:tcPr>
          <w:p>
            <w:pPr>
              <w:pStyle w:val="TableContents"/>
              <w:spacing w:before="0" w:after="283"/>
              <w:rPr/>
            </w:pPr>
            <w:r>
              <w:rPr/>
              <w:t> </w:t>
            </w:r>
          </w:p>
        </w:tc>
      </w:tr>
      <w:tr>
        <w:trPr/>
        <w:tc>
          <w:tcPr>
            <w:tcW w:w="5878"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3692" w:type="dxa"/>
            <w:gridSpan w:val="6"/>
            <w:tcBorders/>
            <w:shd w:fill="auto" w:val="clear"/>
            <w:vAlign w:val="bottom"/>
          </w:tcPr>
          <w:p>
            <w:pPr>
              <w:pStyle w:val="TableContents"/>
              <w:spacing w:before="0" w:after="283"/>
              <w:jc w:val="center"/>
              <w:rPr>
                <w:i/>
              </w:rPr>
            </w:pPr>
            <w:r>
              <w:rPr>
                <w:i/>
              </w:rPr>
              <w:t>(Dollars in thousands)</w:t>
            </w:r>
          </w:p>
        </w:tc>
        <w:tc>
          <w:tcPr>
            <w:tcW w:w="248" w:type="dxa"/>
            <w:tcBorders/>
            <w:shd w:fill="auto" w:val="clear"/>
            <w:vAlign w:val="bottom"/>
          </w:tcPr>
          <w:p>
            <w:pPr>
              <w:pStyle w:val="TableContents"/>
              <w:spacing w:before="0" w:after="283"/>
              <w:rPr/>
            </w:pPr>
            <w:r>
              <w:rPr/>
              <w:t> </w:t>
            </w:r>
          </w:p>
        </w:tc>
      </w:tr>
      <w:tr>
        <w:trPr/>
        <w:tc>
          <w:tcPr>
            <w:tcW w:w="5878" w:type="dxa"/>
            <w:tcBorders/>
            <w:shd w:fill="auto" w:val="clear"/>
            <w:vAlign w:val="center"/>
          </w:tcPr>
          <w:p>
            <w:pPr>
              <w:pStyle w:val="TableContents"/>
              <w:spacing w:before="0" w:after="283"/>
              <w:rPr/>
            </w:pPr>
            <w:r>
              <w:rPr/>
              <w:t> </w:t>
            </w:r>
          </w:p>
        </w:tc>
        <w:tc>
          <w:tcPr>
            <w:tcW w:w="4327" w:type="dxa"/>
            <w:gridSpan w:val="8"/>
            <w:tcBorders/>
            <w:shd w:fill="auto" w:val="clear"/>
          </w:tcPr>
          <w:p>
            <w:pPr>
              <w:pStyle w:val="TableContents"/>
              <w:spacing w:before="0" w:after="283"/>
              <w:rPr>
                <w:sz w:val="4"/>
                <w:szCs w:val="4"/>
              </w:rPr>
            </w:pPr>
            <w:r>
              <w:rPr>
                <w:sz w:val="4"/>
                <w:szCs w:val="4"/>
              </w:rPr>
            </w:r>
          </w:p>
        </w:tc>
      </w:tr>
      <w:tr>
        <w:trPr/>
        <w:tc>
          <w:tcPr>
            <w:tcW w:w="5878" w:type="dxa"/>
            <w:tcBorders/>
            <w:shd w:fill="CCEEFF" w:val="clear"/>
            <w:vAlign w:val="bottom"/>
          </w:tcPr>
          <w:p>
            <w:pPr>
              <w:pStyle w:val="TableContents"/>
              <w:spacing w:before="0" w:after="0"/>
              <w:ind w:left="450" w:right="0" w:hanging="225"/>
              <w:rPr/>
            </w:pPr>
            <w:r>
              <w:rPr/>
              <w:t>Sales</w:t>
            </w:r>
          </w:p>
        </w:tc>
        <w:tc>
          <w:tcPr>
            <w:tcW w:w="38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w:t>
            </w:r>
          </w:p>
        </w:tc>
        <w:tc>
          <w:tcPr>
            <w:tcW w:w="1217" w:type="dxa"/>
            <w:tcBorders/>
            <w:shd w:fill="CCEEFF" w:val="clear"/>
            <w:vAlign w:val="bottom"/>
          </w:tcPr>
          <w:p>
            <w:pPr>
              <w:pStyle w:val="TableContents"/>
              <w:spacing w:before="0" w:after="283"/>
              <w:jc w:val="right"/>
              <w:rPr/>
            </w:pPr>
            <w:r>
              <w:rPr/>
              <w:t>50,032</w:t>
            </w:r>
          </w:p>
        </w:tc>
        <w:tc>
          <w:tcPr>
            <w:tcW w:w="34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w:t>
            </w:r>
          </w:p>
        </w:tc>
        <w:tc>
          <w:tcPr>
            <w:tcW w:w="1218" w:type="dxa"/>
            <w:tcBorders/>
            <w:shd w:fill="CCEEFF" w:val="clear"/>
            <w:vAlign w:val="bottom"/>
          </w:tcPr>
          <w:p>
            <w:pPr>
              <w:pStyle w:val="TableContents"/>
              <w:spacing w:before="0" w:after="283"/>
              <w:jc w:val="right"/>
              <w:rPr/>
            </w:pPr>
            <w:r>
              <w:rPr/>
              <w:t>47,605</w:t>
            </w:r>
          </w:p>
        </w:tc>
        <w:tc>
          <w:tcPr>
            <w:tcW w:w="248" w:type="dxa"/>
            <w:tcBorders/>
            <w:shd w:fill="CCEEFF" w:val="clear"/>
            <w:vAlign w:val="bottom"/>
          </w:tcPr>
          <w:p>
            <w:pPr>
              <w:pStyle w:val="TableContents"/>
              <w:spacing w:before="0" w:after="283"/>
              <w:rPr/>
            </w:pPr>
            <w:r>
              <w:rPr/>
              <w:t> </w:t>
            </w:r>
          </w:p>
        </w:tc>
      </w:tr>
      <w:tr>
        <w:trPr/>
        <w:tc>
          <w:tcPr>
            <w:tcW w:w="5878" w:type="dxa"/>
            <w:tcBorders/>
            <w:shd w:fill="auto" w:val="clear"/>
            <w:vAlign w:val="bottom"/>
          </w:tcPr>
          <w:p>
            <w:pPr>
              <w:pStyle w:val="TableContents"/>
              <w:spacing w:before="0" w:after="0"/>
              <w:ind w:left="450" w:right="0" w:hanging="225"/>
              <w:rPr/>
            </w:pPr>
            <w:r>
              <w:rPr/>
              <w:t>Pawn service charges</w:t>
            </w:r>
          </w:p>
        </w:tc>
        <w:tc>
          <w:tcPr>
            <w:tcW w:w="38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right"/>
              <w:rPr/>
            </w:pPr>
            <w:r>
              <w:rPr/>
              <w:t>16,556</w:t>
            </w:r>
          </w:p>
        </w:tc>
        <w:tc>
          <w:tcPr>
            <w:tcW w:w="34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8" w:type="dxa"/>
            <w:tcBorders/>
            <w:shd w:fill="auto" w:val="clear"/>
            <w:vAlign w:val="bottom"/>
          </w:tcPr>
          <w:p>
            <w:pPr>
              <w:pStyle w:val="TableContents"/>
              <w:spacing w:before="0" w:after="283"/>
              <w:jc w:val="right"/>
              <w:rPr/>
            </w:pPr>
            <w:r>
              <w:rPr/>
              <w:t>15,453</w:t>
            </w:r>
          </w:p>
        </w:tc>
        <w:tc>
          <w:tcPr>
            <w:tcW w:w="248" w:type="dxa"/>
            <w:tcBorders/>
            <w:shd w:fill="auto" w:val="clear"/>
            <w:vAlign w:val="bottom"/>
          </w:tcPr>
          <w:p>
            <w:pPr>
              <w:pStyle w:val="TableContents"/>
              <w:spacing w:before="0" w:after="283"/>
              <w:rPr/>
            </w:pPr>
            <w:r>
              <w:rPr/>
              <w:t> </w:t>
            </w:r>
          </w:p>
        </w:tc>
      </w:tr>
      <w:tr>
        <w:trPr/>
        <w:tc>
          <w:tcPr>
            <w:tcW w:w="5878" w:type="dxa"/>
            <w:tcBorders/>
            <w:shd w:fill="CCEEFF" w:val="clear"/>
            <w:vAlign w:val="bottom"/>
          </w:tcPr>
          <w:p>
            <w:pPr>
              <w:pStyle w:val="TableContents"/>
              <w:spacing w:before="0" w:after="0"/>
              <w:ind w:left="450" w:right="0" w:hanging="225"/>
              <w:rPr/>
            </w:pPr>
            <w:r>
              <w:rPr/>
              <w:t>Credit service fees</w:t>
            </w:r>
          </w:p>
        </w:tc>
        <w:tc>
          <w:tcPr>
            <w:tcW w:w="38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jc w:val="right"/>
              <w:rPr/>
            </w:pPr>
            <w:r>
              <w:rPr/>
              <w:t>501</w:t>
            </w:r>
          </w:p>
        </w:tc>
        <w:tc>
          <w:tcPr>
            <w:tcW w:w="34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8" w:type="dxa"/>
            <w:tcBorders/>
            <w:shd w:fill="CCEEFF" w:val="clear"/>
            <w:vAlign w:val="bottom"/>
          </w:tcPr>
          <w:p>
            <w:pPr>
              <w:pStyle w:val="TableContents"/>
              <w:spacing w:before="0" w:after="283"/>
              <w:jc w:val="right"/>
              <w:rPr/>
            </w:pPr>
            <w:r>
              <w:rPr/>
              <w:t>430</w:t>
            </w:r>
          </w:p>
        </w:tc>
        <w:tc>
          <w:tcPr>
            <w:tcW w:w="248" w:type="dxa"/>
            <w:tcBorders/>
            <w:shd w:fill="CCEEFF" w:val="clear"/>
            <w:vAlign w:val="bottom"/>
          </w:tcPr>
          <w:p>
            <w:pPr>
              <w:pStyle w:val="TableContents"/>
              <w:spacing w:before="0" w:after="283"/>
              <w:rPr/>
            </w:pPr>
            <w:r>
              <w:rPr/>
              <w:t> </w:t>
            </w:r>
          </w:p>
        </w:tc>
      </w:tr>
      <w:tr>
        <w:trPr/>
        <w:tc>
          <w:tcPr>
            <w:tcW w:w="5878" w:type="dxa"/>
            <w:tcBorders/>
            <w:shd w:fill="auto" w:val="clear"/>
            <w:vAlign w:val="bottom"/>
          </w:tcPr>
          <w:p>
            <w:pPr>
              <w:pStyle w:val="TableContents"/>
              <w:spacing w:before="0" w:after="0"/>
              <w:ind w:left="450" w:right="0" w:hanging="225"/>
              <w:rPr/>
            </w:pPr>
            <w:r>
              <w:rPr/>
              <w:t>Payday loan fees</w:t>
            </w:r>
          </w:p>
        </w:tc>
        <w:tc>
          <w:tcPr>
            <w:tcW w:w="38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right"/>
              <w:rPr/>
            </w:pPr>
            <w:r>
              <w:rPr/>
              <w:t>313</w:t>
            </w:r>
          </w:p>
        </w:tc>
        <w:tc>
          <w:tcPr>
            <w:tcW w:w="34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8" w:type="dxa"/>
            <w:tcBorders/>
            <w:shd w:fill="auto" w:val="clear"/>
            <w:vAlign w:val="bottom"/>
          </w:tcPr>
          <w:p>
            <w:pPr>
              <w:pStyle w:val="TableContents"/>
              <w:spacing w:before="0" w:after="283"/>
              <w:jc w:val="right"/>
              <w:rPr/>
            </w:pPr>
            <w:r>
              <w:rPr/>
              <w:t>308</w:t>
            </w:r>
          </w:p>
        </w:tc>
        <w:tc>
          <w:tcPr>
            <w:tcW w:w="248" w:type="dxa"/>
            <w:tcBorders/>
            <w:shd w:fill="auto" w:val="clear"/>
            <w:vAlign w:val="bottom"/>
          </w:tcPr>
          <w:p>
            <w:pPr>
              <w:pStyle w:val="TableContents"/>
              <w:spacing w:before="0" w:after="283"/>
              <w:rPr/>
            </w:pPr>
            <w:r>
              <w:rPr/>
              <w:t> </w:t>
            </w:r>
          </w:p>
        </w:tc>
      </w:tr>
      <w:tr>
        <w:trPr/>
        <w:tc>
          <w:tcPr>
            <w:tcW w:w="5878" w:type="dxa"/>
            <w:tcBorders/>
            <w:shd w:fill="CCEEFF" w:val="clear"/>
            <w:vAlign w:val="bottom"/>
          </w:tcPr>
          <w:p>
            <w:pPr>
              <w:pStyle w:val="TableContents"/>
              <w:spacing w:before="0" w:after="0"/>
              <w:ind w:left="450" w:right="0" w:hanging="225"/>
              <w:rPr/>
            </w:pPr>
            <w:r>
              <w:rPr/>
              <w:t>Other</w:t>
            </w:r>
          </w:p>
        </w:tc>
        <w:tc>
          <w:tcPr>
            <w:tcW w:w="38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jc w:val="right"/>
              <w:rPr/>
            </w:pPr>
            <w:r>
              <w:rPr/>
              <w:t>342</w:t>
            </w:r>
          </w:p>
        </w:tc>
        <w:tc>
          <w:tcPr>
            <w:tcW w:w="34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8" w:type="dxa"/>
            <w:tcBorders/>
            <w:shd w:fill="CCEEFF" w:val="clear"/>
            <w:vAlign w:val="bottom"/>
          </w:tcPr>
          <w:p>
            <w:pPr>
              <w:pStyle w:val="TableContents"/>
              <w:spacing w:before="0" w:after="283"/>
              <w:jc w:val="right"/>
              <w:rPr/>
            </w:pPr>
            <w:r>
              <w:rPr/>
              <w:t>329</w:t>
            </w:r>
          </w:p>
        </w:tc>
        <w:tc>
          <w:tcPr>
            <w:tcW w:w="248" w:type="dxa"/>
            <w:tcBorders/>
            <w:shd w:fill="CCEEFF" w:val="clear"/>
            <w:vAlign w:val="bottom"/>
          </w:tcPr>
          <w:p>
            <w:pPr>
              <w:pStyle w:val="TableContents"/>
              <w:spacing w:before="0" w:after="283"/>
              <w:rPr/>
            </w:pPr>
            <w:r>
              <w:rPr/>
              <w:t> </w:t>
            </w:r>
          </w:p>
        </w:tc>
      </w:tr>
      <w:tr>
        <w:trPr/>
        <w:tc>
          <w:tcPr>
            <w:tcW w:w="5878" w:type="dxa"/>
            <w:tcBorders/>
            <w:shd w:fill="auto" w:val="clear"/>
            <w:vAlign w:val="center"/>
          </w:tcPr>
          <w:p>
            <w:pPr>
              <w:pStyle w:val="TableContents"/>
              <w:spacing w:before="0" w:after="0"/>
              <w:ind w:left="450" w:right="0" w:hanging="225"/>
              <w:rPr/>
            </w:pPr>
            <w:r>
              <w:rPr/>
              <w:t> </w:t>
            </w:r>
          </w:p>
        </w:tc>
        <w:tc>
          <w:tcPr>
            <w:tcW w:w="387" w:type="dxa"/>
            <w:tcBorders/>
            <w:shd w:fill="auto" w:val="clear"/>
            <w:vAlign w:val="center"/>
          </w:tcPr>
          <w:p>
            <w:pPr>
              <w:pStyle w:val="TableContents"/>
              <w:spacing w:before="0" w:after="283"/>
              <w:rPr/>
            </w:pPr>
            <w:r>
              <w:rPr/>
              <w:t> </w:t>
            </w:r>
          </w:p>
        </w:tc>
        <w:tc>
          <w:tcPr>
            <w:tcW w:w="14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5" w:type="dxa"/>
            <w:tcBorders/>
            <w:shd w:fill="auto" w:val="clear"/>
            <w:vAlign w:val="center"/>
          </w:tcPr>
          <w:p>
            <w:pPr>
              <w:pStyle w:val="TableContents"/>
              <w:spacing w:before="0" w:after="283"/>
              <w:rPr/>
            </w:pPr>
            <w:r>
              <w:rPr/>
              <w:t> </w:t>
            </w:r>
          </w:p>
        </w:tc>
        <w:tc>
          <w:tcPr>
            <w:tcW w:w="416"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rPr/>
            </w:pPr>
            <w:r>
              <w:rPr/>
              <w:t> </w:t>
            </w:r>
          </w:p>
        </w:tc>
      </w:tr>
      <w:tr>
        <w:trPr/>
        <w:tc>
          <w:tcPr>
            <w:tcW w:w="5878" w:type="dxa"/>
            <w:tcBorders/>
            <w:shd w:fill="auto" w:val="clear"/>
            <w:vAlign w:val="bottom"/>
          </w:tcPr>
          <w:p>
            <w:pPr>
              <w:pStyle w:val="TableContents"/>
              <w:spacing w:before="0" w:after="0"/>
              <w:ind w:left="675" w:right="0" w:hanging="225"/>
              <w:rPr/>
            </w:pPr>
            <w:r>
              <w:rPr/>
              <w:t>Total revenues</w:t>
            </w:r>
          </w:p>
        </w:tc>
        <w:tc>
          <w:tcPr>
            <w:tcW w:w="38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right"/>
              <w:rPr/>
            </w:pPr>
            <w:r>
              <w:rPr/>
              <w:t>67,744</w:t>
            </w:r>
          </w:p>
        </w:tc>
        <w:tc>
          <w:tcPr>
            <w:tcW w:w="34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8" w:type="dxa"/>
            <w:tcBorders/>
            <w:shd w:fill="auto" w:val="clear"/>
            <w:vAlign w:val="bottom"/>
          </w:tcPr>
          <w:p>
            <w:pPr>
              <w:pStyle w:val="TableContents"/>
              <w:spacing w:before="0" w:after="283"/>
              <w:jc w:val="right"/>
              <w:rPr/>
            </w:pPr>
            <w:r>
              <w:rPr/>
              <w:t>64,125</w:t>
            </w:r>
          </w:p>
        </w:tc>
        <w:tc>
          <w:tcPr>
            <w:tcW w:w="248" w:type="dxa"/>
            <w:tcBorders/>
            <w:shd w:fill="auto" w:val="clear"/>
            <w:vAlign w:val="bottom"/>
          </w:tcPr>
          <w:p>
            <w:pPr>
              <w:pStyle w:val="TableContents"/>
              <w:spacing w:before="0" w:after="283"/>
              <w:rPr/>
            </w:pPr>
            <w:r>
              <w:rPr/>
              <w:t> </w:t>
            </w:r>
          </w:p>
        </w:tc>
      </w:tr>
      <w:tr>
        <w:trPr/>
        <w:tc>
          <w:tcPr>
            <w:tcW w:w="5878" w:type="dxa"/>
            <w:tcBorders/>
            <w:shd w:fill="CCEEFF" w:val="clear"/>
            <w:vAlign w:val="bottom"/>
          </w:tcPr>
          <w:p>
            <w:pPr>
              <w:pStyle w:val="TableContents"/>
              <w:spacing w:before="0" w:after="0"/>
              <w:ind w:left="450" w:right="0" w:hanging="225"/>
              <w:rPr/>
            </w:pPr>
            <w:r>
              <w:rPr/>
              <w:t>Cost of goods sold</w:t>
            </w:r>
          </w:p>
        </w:tc>
        <w:tc>
          <w:tcPr>
            <w:tcW w:w="38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jc w:val="right"/>
              <w:rPr/>
            </w:pPr>
            <w:r>
              <w:rPr/>
              <w:t>30,374</w:t>
            </w:r>
          </w:p>
        </w:tc>
        <w:tc>
          <w:tcPr>
            <w:tcW w:w="34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8" w:type="dxa"/>
            <w:tcBorders/>
            <w:shd w:fill="CCEEFF" w:val="clear"/>
            <w:vAlign w:val="bottom"/>
          </w:tcPr>
          <w:p>
            <w:pPr>
              <w:pStyle w:val="TableContents"/>
              <w:spacing w:before="0" w:after="283"/>
              <w:jc w:val="right"/>
              <w:rPr/>
            </w:pPr>
            <w:r>
              <w:rPr/>
              <w:t>28,337</w:t>
            </w:r>
          </w:p>
        </w:tc>
        <w:tc>
          <w:tcPr>
            <w:tcW w:w="248" w:type="dxa"/>
            <w:tcBorders/>
            <w:shd w:fill="CCEEFF" w:val="clear"/>
            <w:vAlign w:val="bottom"/>
          </w:tcPr>
          <w:p>
            <w:pPr>
              <w:pStyle w:val="TableContents"/>
              <w:spacing w:before="0" w:after="283"/>
              <w:rPr/>
            </w:pPr>
            <w:r>
              <w:rPr/>
              <w:t> </w:t>
            </w:r>
          </w:p>
        </w:tc>
      </w:tr>
      <w:tr>
        <w:trPr/>
        <w:tc>
          <w:tcPr>
            <w:tcW w:w="5878" w:type="dxa"/>
            <w:tcBorders/>
            <w:shd w:fill="auto" w:val="clear"/>
            <w:vAlign w:val="center"/>
          </w:tcPr>
          <w:p>
            <w:pPr>
              <w:pStyle w:val="TableContents"/>
              <w:spacing w:before="0" w:after="0"/>
              <w:ind w:left="450" w:right="0" w:hanging="225"/>
              <w:rPr/>
            </w:pPr>
            <w:r>
              <w:rPr/>
              <w:t> </w:t>
            </w:r>
          </w:p>
        </w:tc>
        <w:tc>
          <w:tcPr>
            <w:tcW w:w="387" w:type="dxa"/>
            <w:tcBorders/>
            <w:shd w:fill="auto" w:val="clear"/>
            <w:vAlign w:val="center"/>
          </w:tcPr>
          <w:p>
            <w:pPr>
              <w:pStyle w:val="TableContents"/>
              <w:spacing w:before="0" w:after="283"/>
              <w:rPr/>
            </w:pPr>
            <w:r>
              <w:rPr/>
              <w:t> </w:t>
            </w:r>
          </w:p>
        </w:tc>
        <w:tc>
          <w:tcPr>
            <w:tcW w:w="14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5" w:type="dxa"/>
            <w:tcBorders/>
            <w:shd w:fill="auto" w:val="clear"/>
            <w:vAlign w:val="center"/>
          </w:tcPr>
          <w:p>
            <w:pPr>
              <w:pStyle w:val="TableContents"/>
              <w:spacing w:before="0" w:after="283"/>
              <w:rPr/>
            </w:pPr>
            <w:r>
              <w:rPr/>
              <w:t> </w:t>
            </w:r>
          </w:p>
        </w:tc>
        <w:tc>
          <w:tcPr>
            <w:tcW w:w="416"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rPr/>
            </w:pPr>
            <w:r>
              <w:rPr/>
              <w:t> </w:t>
            </w:r>
          </w:p>
        </w:tc>
      </w:tr>
      <w:tr>
        <w:trPr/>
        <w:tc>
          <w:tcPr>
            <w:tcW w:w="5878" w:type="dxa"/>
            <w:tcBorders/>
            <w:shd w:fill="auto" w:val="clear"/>
            <w:vAlign w:val="bottom"/>
          </w:tcPr>
          <w:p>
            <w:pPr>
              <w:pStyle w:val="TableContents"/>
              <w:spacing w:before="0" w:after="0"/>
              <w:ind w:left="675" w:right="0" w:hanging="225"/>
              <w:rPr/>
            </w:pPr>
            <w:r>
              <w:rPr/>
              <w:t>Net revenues</w:t>
            </w:r>
          </w:p>
        </w:tc>
        <w:tc>
          <w:tcPr>
            <w:tcW w:w="38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right"/>
              <w:rPr/>
            </w:pPr>
            <w:r>
              <w:rPr/>
              <w:t>37,370</w:t>
            </w:r>
          </w:p>
        </w:tc>
        <w:tc>
          <w:tcPr>
            <w:tcW w:w="34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8" w:type="dxa"/>
            <w:tcBorders/>
            <w:shd w:fill="auto" w:val="clear"/>
            <w:vAlign w:val="bottom"/>
          </w:tcPr>
          <w:p>
            <w:pPr>
              <w:pStyle w:val="TableContents"/>
              <w:spacing w:before="0" w:after="283"/>
              <w:jc w:val="right"/>
              <w:rPr/>
            </w:pPr>
            <w:r>
              <w:rPr/>
              <w:t>35,788</w:t>
            </w:r>
          </w:p>
        </w:tc>
        <w:tc>
          <w:tcPr>
            <w:tcW w:w="248" w:type="dxa"/>
            <w:tcBorders/>
            <w:shd w:fill="auto" w:val="clear"/>
            <w:vAlign w:val="bottom"/>
          </w:tcPr>
          <w:p>
            <w:pPr>
              <w:pStyle w:val="TableContents"/>
              <w:spacing w:before="0" w:after="283"/>
              <w:rPr/>
            </w:pPr>
            <w:r>
              <w:rPr/>
              <w:t> </w:t>
            </w:r>
          </w:p>
        </w:tc>
      </w:tr>
      <w:tr>
        <w:trPr/>
        <w:tc>
          <w:tcPr>
            <w:tcW w:w="5878" w:type="dxa"/>
            <w:tcBorders/>
            <w:shd w:fill="CCEEFF" w:val="clear"/>
            <w:vAlign w:val="bottom"/>
          </w:tcPr>
          <w:p>
            <w:pPr>
              <w:pStyle w:val="TableContents"/>
              <w:spacing w:before="0" w:after="0"/>
              <w:ind w:left="225" w:right="0" w:hanging="225"/>
              <w:rPr/>
            </w:pPr>
            <w:r>
              <w:rPr/>
              <w:t>Operating expenses:</w:t>
            </w:r>
          </w:p>
        </w:tc>
        <w:tc>
          <w:tcPr>
            <w:tcW w:w="38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8"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r>
      <w:tr>
        <w:trPr/>
        <w:tc>
          <w:tcPr>
            <w:tcW w:w="5878" w:type="dxa"/>
            <w:tcBorders/>
            <w:shd w:fill="auto" w:val="clear"/>
            <w:vAlign w:val="bottom"/>
          </w:tcPr>
          <w:p>
            <w:pPr>
              <w:pStyle w:val="TableContents"/>
              <w:spacing w:before="0" w:after="0"/>
              <w:ind w:left="450" w:right="0" w:hanging="225"/>
              <w:rPr/>
            </w:pPr>
            <w:r>
              <w:rPr/>
              <w:t>Operations expense</w:t>
            </w:r>
          </w:p>
        </w:tc>
        <w:tc>
          <w:tcPr>
            <w:tcW w:w="38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right"/>
              <w:rPr/>
            </w:pPr>
            <w:r>
              <w:rPr/>
              <w:t>21,569</w:t>
            </w:r>
          </w:p>
        </w:tc>
        <w:tc>
          <w:tcPr>
            <w:tcW w:w="34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8" w:type="dxa"/>
            <w:tcBorders/>
            <w:shd w:fill="auto" w:val="clear"/>
            <w:vAlign w:val="bottom"/>
          </w:tcPr>
          <w:p>
            <w:pPr>
              <w:pStyle w:val="TableContents"/>
              <w:spacing w:before="0" w:after="283"/>
              <w:jc w:val="right"/>
              <w:rPr/>
            </w:pPr>
            <w:r>
              <w:rPr/>
              <w:t>21,938</w:t>
            </w:r>
          </w:p>
        </w:tc>
        <w:tc>
          <w:tcPr>
            <w:tcW w:w="248" w:type="dxa"/>
            <w:tcBorders/>
            <w:shd w:fill="auto" w:val="clear"/>
            <w:vAlign w:val="bottom"/>
          </w:tcPr>
          <w:p>
            <w:pPr>
              <w:pStyle w:val="TableContents"/>
              <w:spacing w:before="0" w:after="283"/>
              <w:rPr/>
            </w:pPr>
            <w:r>
              <w:rPr/>
              <w:t> </w:t>
            </w:r>
          </w:p>
        </w:tc>
      </w:tr>
      <w:tr>
        <w:trPr/>
        <w:tc>
          <w:tcPr>
            <w:tcW w:w="5878" w:type="dxa"/>
            <w:tcBorders/>
            <w:shd w:fill="CCEEFF" w:val="clear"/>
            <w:vAlign w:val="bottom"/>
          </w:tcPr>
          <w:p>
            <w:pPr>
              <w:pStyle w:val="TableContents"/>
              <w:spacing w:before="0" w:after="0"/>
              <w:ind w:left="450" w:right="0" w:hanging="225"/>
              <w:rPr/>
            </w:pPr>
            <w:r>
              <w:rPr/>
              <w:t>Credit service bad debt</w:t>
            </w:r>
          </w:p>
        </w:tc>
        <w:tc>
          <w:tcPr>
            <w:tcW w:w="38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jc w:val="right"/>
              <w:rPr/>
            </w:pPr>
            <w:r>
              <w:rPr/>
              <w:t>91</w:t>
            </w:r>
          </w:p>
        </w:tc>
        <w:tc>
          <w:tcPr>
            <w:tcW w:w="34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8" w:type="dxa"/>
            <w:tcBorders/>
            <w:shd w:fill="CCEEFF" w:val="clear"/>
            <w:vAlign w:val="bottom"/>
          </w:tcPr>
          <w:p>
            <w:pPr>
              <w:pStyle w:val="TableContents"/>
              <w:spacing w:before="0" w:after="283"/>
              <w:jc w:val="right"/>
              <w:rPr/>
            </w:pPr>
            <w:r>
              <w:rPr/>
              <w:t>123</w:t>
            </w:r>
          </w:p>
        </w:tc>
        <w:tc>
          <w:tcPr>
            <w:tcW w:w="248" w:type="dxa"/>
            <w:tcBorders/>
            <w:shd w:fill="CCEEFF" w:val="clear"/>
            <w:vAlign w:val="bottom"/>
          </w:tcPr>
          <w:p>
            <w:pPr>
              <w:pStyle w:val="TableContents"/>
              <w:spacing w:before="0" w:after="283"/>
              <w:rPr/>
            </w:pPr>
            <w:r>
              <w:rPr/>
              <w:t> </w:t>
            </w:r>
          </w:p>
        </w:tc>
      </w:tr>
      <w:tr>
        <w:trPr/>
        <w:tc>
          <w:tcPr>
            <w:tcW w:w="5878" w:type="dxa"/>
            <w:tcBorders/>
            <w:shd w:fill="auto" w:val="clear"/>
            <w:vAlign w:val="bottom"/>
          </w:tcPr>
          <w:p>
            <w:pPr>
              <w:pStyle w:val="TableContents"/>
              <w:spacing w:before="0" w:after="0"/>
              <w:ind w:left="450" w:right="0" w:hanging="225"/>
              <w:rPr/>
            </w:pPr>
            <w:r>
              <w:rPr/>
              <w:t>Payday loan bad debt</w:t>
            </w:r>
          </w:p>
        </w:tc>
        <w:tc>
          <w:tcPr>
            <w:tcW w:w="38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right"/>
              <w:rPr/>
            </w:pPr>
            <w:r>
              <w:rPr/>
              <w:t>62</w:t>
            </w:r>
          </w:p>
        </w:tc>
        <w:tc>
          <w:tcPr>
            <w:tcW w:w="34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8" w:type="dxa"/>
            <w:tcBorders/>
            <w:shd w:fill="auto" w:val="clear"/>
            <w:vAlign w:val="bottom"/>
          </w:tcPr>
          <w:p>
            <w:pPr>
              <w:pStyle w:val="TableContents"/>
              <w:spacing w:before="0" w:after="283"/>
              <w:jc w:val="right"/>
              <w:rPr/>
            </w:pPr>
            <w:r>
              <w:rPr/>
              <w:t>57</w:t>
            </w:r>
          </w:p>
        </w:tc>
        <w:tc>
          <w:tcPr>
            <w:tcW w:w="248" w:type="dxa"/>
            <w:tcBorders/>
            <w:shd w:fill="auto" w:val="clear"/>
            <w:vAlign w:val="bottom"/>
          </w:tcPr>
          <w:p>
            <w:pPr>
              <w:pStyle w:val="TableContents"/>
              <w:spacing w:before="0" w:after="283"/>
              <w:rPr/>
            </w:pPr>
            <w:r>
              <w:rPr/>
              <w:t> </w:t>
            </w:r>
          </w:p>
        </w:tc>
      </w:tr>
      <w:tr>
        <w:trPr/>
        <w:tc>
          <w:tcPr>
            <w:tcW w:w="5878" w:type="dxa"/>
            <w:tcBorders/>
            <w:shd w:fill="auto" w:val="clear"/>
            <w:vAlign w:val="center"/>
          </w:tcPr>
          <w:p>
            <w:pPr>
              <w:pStyle w:val="TableContents"/>
              <w:spacing w:before="0" w:after="0"/>
              <w:ind w:left="450" w:right="0" w:hanging="225"/>
              <w:rPr/>
            </w:pPr>
            <w:r>
              <w:rPr/>
              <w:t> </w:t>
            </w:r>
          </w:p>
        </w:tc>
        <w:tc>
          <w:tcPr>
            <w:tcW w:w="387" w:type="dxa"/>
            <w:tcBorders/>
            <w:shd w:fill="auto" w:val="clear"/>
            <w:vAlign w:val="center"/>
          </w:tcPr>
          <w:p>
            <w:pPr>
              <w:pStyle w:val="TableContents"/>
              <w:spacing w:before="0" w:after="283"/>
              <w:rPr/>
            </w:pPr>
            <w:r>
              <w:rPr/>
              <w:t> </w:t>
            </w:r>
          </w:p>
        </w:tc>
        <w:tc>
          <w:tcPr>
            <w:tcW w:w="14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5" w:type="dxa"/>
            <w:tcBorders/>
            <w:shd w:fill="auto" w:val="clear"/>
            <w:vAlign w:val="center"/>
          </w:tcPr>
          <w:p>
            <w:pPr>
              <w:pStyle w:val="TableContents"/>
              <w:spacing w:before="0" w:after="283"/>
              <w:rPr/>
            </w:pPr>
            <w:r>
              <w:rPr/>
              <w:t> </w:t>
            </w:r>
          </w:p>
        </w:tc>
        <w:tc>
          <w:tcPr>
            <w:tcW w:w="416"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rPr/>
            </w:pPr>
            <w:r>
              <w:rPr/>
              <w:t> </w:t>
            </w:r>
          </w:p>
        </w:tc>
      </w:tr>
      <w:tr>
        <w:trPr/>
        <w:tc>
          <w:tcPr>
            <w:tcW w:w="5878" w:type="dxa"/>
            <w:tcBorders/>
            <w:shd w:fill="CCEEFF" w:val="clear"/>
            <w:vAlign w:val="bottom"/>
          </w:tcPr>
          <w:p>
            <w:pPr>
              <w:pStyle w:val="TableContents"/>
              <w:spacing w:before="0" w:after="0"/>
              <w:ind w:left="675" w:right="0" w:hanging="225"/>
              <w:rPr/>
            </w:pPr>
            <w:r>
              <w:rPr/>
              <w:t>Total operating expenses</w:t>
            </w:r>
          </w:p>
        </w:tc>
        <w:tc>
          <w:tcPr>
            <w:tcW w:w="38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jc w:val="right"/>
              <w:rPr/>
            </w:pPr>
            <w:r>
              <w:rPr/>
              <w:t>21,722</w:t>
            </w:r>
          </w:p>
        </w:tc>
        <w:tc>
          <w:tcPr>
            <w:tcW w:w="34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8" w:type="dxa"/>
            <w:tcBorders/>
            <w:shd w:fill="CCEEFF" w:val="clear"/>
            <w:vAlign w:val="bottom"/>
          </w:tcPr>
          <w:p>
            <w:pPr>
              <w:pStyle w:val="TableContents"/>
              <w:spacing w:before="0" w:after="283"/>
              <w:jc w:val="right"/>
              <w:rPr/>
            </w:pPr>
            <w:r>
              <w:rPr/>
              <w:t>22,118</w:t>
            </w:r>
          </w:p>
        </w:tc>
        <w:tc>
          <w:tcPr>
            <w:tcW w:w="248" w:type="dxa"/>
            <w:tcBorders/>
            <w:shd w:fill="CCEEFF" w:val="clear"/>
            <w:vAlign w:val="bottom"/>
          </w:tcPr>
          <w:p>
            <w:pPr>
              <w:pStyle w:val="TableContents"/>
              <w:spacing w:before="0" w:after="283"/>
              <w:rPr/>
            </w:pPr>
            <w:r>
              <w:rPr/>
              <w:t> </w:t>
            </w:r>
          </w:p>
        </w:tc>
      </w:tr>
      <w:tr>
        <w:trPr/>
        <w:tc>
          <w:tcPr>
            <w:tcW w:w="5878" w:type="dxa"/>
            <w:tcBorders/>
            <w:shd w:fill="auto" w:val="clear"/>
            <w:vAlign w:val="center"/>
          </w:tcPr>
          <w:p>
            <w:pPr>
              <w:pStyle w:val="TableContents"/>
              <w:spacing w:before="0" w:after="0"/>
              <w:ind w:left="450" w:right="0" w:hanging="225"/>
              <w:rPr/>
            </w:pPr>
            <w:r>
              <w:rPr/>
              <w:t> </w:t>
            </w:r>
          </w:p>
        </w:tc>
        <w:tc>
          <w:tcPr>
            <w:tcW w:w="387" w:type="dxa"/>
            <w:tcBorders/>
            <w:shd w:fill="auto" w:val="clear"/>
            <w:vAlign w:val="center"/>
          </w:tcPr>
          <w:p>
            <w:pPr>
              <w:pStyle w:val="TableContents"/>
              <w:spacing w:before="0" w:after="283"/>
              <w:rPr/>
            </w:pPr>
            <w:r>
              <w:rPr/>
              <w:t> </w:t>
            </w:r>
          </w:p>
        </w:tc>
        <w:tc>
          <w:tcPr>
            <w:tcW w:w="14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5" w:type="dxa"/>
            <w:tcBorders/>
            <w:shd w:fill="auto" w:val="clear"/>
            <w:vAlign w:val="center"/>
          </w:tcPr>
          <w:p>
            <w:pPr>
              <w:pStyle w:val="TableContents"/>
              <w:spacing w:before="0" w:after="283"/>
              <w:rPr/>
            </w:pPr>
            <w:r>
              <w:rPr/>
              <w:t> </w:t>
            </w:r>
          </w:p>
        </w:tc>
        <w:tc>
          <w:tcPr>
            <w:tcW w:w="416"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rPr/>
            </w:pPr>
            <w:r>
              <w:rPr/>
              <w:t> </w:t>
            </w:r>
          </w:p>
        </w:tc>
      </w:tr>
      <w:tr>
        <w:trPr/>
        <w:tc>
          <w:tcPr>
            <w:tcW w:w="5878" w:type="dxa"/>
            <w:tcBorders/>
            <w:shd w:fill="auto" w:val="clear"/>
            <w:vAlign w:val="bottom"/>
          </w:tcPr>
          <w:p>
            <w:pPr>
              <w:pStyle w:val="TableContents"/>
              <w:spacing w:before="0" w:after="0"/>
              <w:ind w:left="675" w:right="0" w:hanging="225"/>
              <w:rPr/>
            </w:pPr>
            <w:r>
              <w:rPr/>
              <w:t>Store operating income</w:t>
            </w:r>
          </w:p>
        </w:tc>
        <w:tc>
          <w:tcPr>
            <w:tcW w:w="38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w:t>
            </w:r>
          </w:p>
        </w:tc>
        <w:tc>
          <w:tcPr>
            <w:tcW w:w="1217" w:type="dxa"/>
            <w:tcBorders/>
            <w:shd w:fill="auto" w:val="clear"/>
            <w:vAlign w:val="bottom"/>
          </w:tcPr>
          <w:p>
            <w:pPr>
              <w:pStyle w:val="TableContents"/>
              <w:spacing w:before="0" w:after="283"/>
              <w:jc w:val="right"/>
              <w:rPr/>
            </w:pPr>
            <w:r>
              <w:rPr/>
              <w:t>15,648</w:t>
            </w:r>
          </w:p>
        </w:tc>
        <w:tc>
          <w:tcPr>
            <w:tcW w:w="34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w:t>
            </w:r>
          </w:p>
        </w:tc>
        <w:tc>
          <w:tcPr>
            <w:tcW w:w="1218" w:type="dxa"/>
            <w:tcBorders/>
            <w:shd w:fill="auto" w:val="clear"/>
            <w:vAlign w:val="bottom"/>
          </w:tcPr>
          <w:p>
            <w:pPr>
              <w:pStyle w:val="TableContents"/>
              <w:spacing w:before="0" w:after="283"/>
              <w:jc w:val="right"/>
              <w:rPr/>
            </w:pPr>
            <w:r>
              <w:rPr/>
              <w:t>13,670</w:t>
            </w:r>
          </w:p>
        </w:tc>
        <w:tc>
          <w:tcPr>
            <w:tcW w:w="248" w:type="dxa"/>
            <w:tcBorders/>
            <w:shd w:fill="auto" w:val="clear"/>
            <w:vAlign w:val="bottom"/>
          </w:tcPr>
          <w:p>
            <w:pPr>
              <w:pStyle w:val="TableContents"/>
              <w:spacing w:before="0" w:after="283"/>
              <w:rPr/>
            </w:pPr>
            <w:r>
              <w:rPr/>
              <w:t> </w:t>
            </w:r>
          </w:p>
        </w:tc>
      </w:tr>
      <w:tr>
        <w:trPr/>
        <w:tc>
          <w:tcPr>
            <w:tcW w:w="5878" w:type="dxa"/>
            <w:tcBorders/>
            <w:shd w:fill="auto" w:val="clear"/>
            <w:vAlign w:val="center"/>
          </w:tcPr>
          <w:p>
            <w:pPr>
              <w:pStyle w:val="TableContents"/>
              <w:spacing w:before="0" w:after="0"/>
              <w:ind w:left="450" w:right="0" w:hanging="225"/>
              <w:rPr/>
            </w:pPr>
            <w:r>
              <w:rPr/>
              <w:t> </w:t>
            </w:r>
          </w:p>
        </w:tc>
        <w:tc>
          <w:tcPr>
            <w:tcW w:w="387" w:type="dxa"/>
            <w:tcBorders/>
            <w:shd w:fill="auto" w:val="clear"/>
            <w:vAlign w:val="center"/>
          </w:tcPr>
          <w:p>
            <w:pPr>
              <w:pStyle w:val="TableContents"/>
              <w:spacing w:before="0" w:after="283"/>
              <w:rPr/>
            </w:pPr>
            <w:r>
              <w:rPr/>
              <w:t> </w:t>
            </w:r>
          </w:p>
        </w:tc>
        <w:tc>
          <w:tcPr>
            <w:tcW w:w="14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45" w:type="dxa"/>
            <w:tcBorders/>
            <w:shd w:fill="auto" w:val="clear"/>
            <w:vAlign w:val="center"/>
          </w:tcPr>
          <w:p>
            <w:pPr>
              <w:pStyle w:val="TableContents"/>
              <w:spacing w:before="0" w:after="283"/>
              <w:rPr/>
            </w:pPr>
            <w:r>
              <w:rPr/>
              <w:t> </w:t>
            </w:r>
          </w:p>
        </w:tc>
        <w:tc>
          <w:tcPr>
            <w:tcW w:w="416" w:type="dxa"/>
            <w:tcBorders/>
            <w:shd w:fill="auto" w:val="clear"/>
            <w:vAlign w:val="center"/>
          </w:tcPr>
          <w:p>
            <w:pPr>
              <w:pStyle w:val="TableContents"/>
              <w:spacing w:before="0" w:after="283"/>
              <w:rPr/>
            </w:pPr>
            <w:r>
              <w:rPr/>
              <w:t> </w:t>
            </w:r>
          </w:p>
        </w:tc>
        <w:tc>
          <w:tcPr>
            <w:tcW w:w="14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rPr/>
            </w:pPr>
            <w:r>
              <w:rPr/>
              <w:t> </w:t>
            </w:r>
          </w:p>
        </w:tc>
      </w:tr>
      <w:tr>
        <w:trPr/>
        <w:tc>
          <w:tcPr>
            <w:tcW w:w="5878" w:type="dxa"/>
            <w:tcBorders/>
            <w:shd w:fill="CCEEFF" w:val="clear"/>
            <w:vAlign w:val="bottom"/>
          </w:tcPr>
          <w:p>
            <w:pPr>
              <w:pStyle w:val="TableContents"/>
              <w:spacing w:before="0" w:after="0"/>
              <w:ind w:left="225" w:right="0" w:hanging="225"/>
              <w:rPr/>
            </w:pPr>
            <w:r>
              <w:rPr/>
              <w:t>Other data:</w:t>
            </w:r>
          </w:p>
        </w:tc>
        <w:tc>
          <w:tcPr>
            <w:tcW w:w="38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8"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r>
      <w:tr>
        <w:trPr/>
        <w:tc>
          <w:tcPr>
            <w:tcW w:w="5878" w:type="dxa"/>
            <w:tcBorders/>
            <w:shd w:fill="auto" w:val="clear"/>
            <w:vAlign w:val="bottom"/>
          </w:tcPr>
          <w:p>
            <w:pPr>
              <w:pStyle w:val="TableContents"/>
              <w:spacing w:before="0" w:after="0"/>
              <w:ind w:left="450" w:right="0" w:hanging="225"/>
              <w:rPr/>
            </w:pPr>
            <w:r>
              <w:rPr/>
              <w:t>Gross margin on sales</w:t>
            </w:r>
          </w:p>
        </w:tc>
        <w:tc>
          <w:tcPr>
            <w:tcW w:w="38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 </w:t>
            </w:r>
          </w:p>
        </w:tc>
        <w:tc>
          <w:tcPr>
            <w:tcW w:w="1217" w:type="dxa"/>
            <w:tcBorders/>
            <w:shd w:fill="auto" w:val="clear"/>
            <w:vAlign w:val="bottom"/>
          </w:tcPr>
          <w:p>
            <w:pPr>
              <w:pStyle w:val="TableContents"/>
              <w:spacing w:before="0" w:after="283"/>
              <w:jc w:val="right"/>
              <w:rPr/>
            </w:pPr>
            <w:r>
              <w:rPr/>
              <w:t>39</w:t>
            </w:r>
          </w:p>
        </w:tc>
        <w:tc>
          <w:tcPr>
            <w:tcW w:w="345" w:type="dxa"/>
            <w:tcBorders/>
            <w:shd w:fill="auto" w:val="clear"/>
            <w:vAlign w:val="bottom"/>
          </w:tcPr>
          <w:p>
            <w:pPr>
              <w:pStyle w:val="TableContents"/>
              <w:spacing w:before="0" w:after="283"/>
              <w:rPr/>
            </w:pPr>
            <w:r>
              <w:rPr/>
              <w:t>%</w:t>
            </w:r>
          </w:p>
        </w:tc>
        <w:tc>
          <w:tcPr>
            <w:tcW w:w="416"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 </w:t>
            </w:r>
          </w:p>
        </w:tc>
        <w:tc>
          <w:tcPr>
            <w:tcW w:w="1218" w:type="dxa"/>
            <w:tcBorders/>
            <w:shd w:fill="auto" w:val="clear"/>
            <w:vAlign w:val="bottom"/>
          </w:tcPr>
          <w:p>
            <w:pPr>
              <w:pStyle w:val="TableContents"/>
              <w:spacing w:before="0" w:after="283"/>
              <w:jc w:val="right"/>
              <w:rPr/>
            </w:pPr>
            <w:r>
              <w:rPr/>
              <w:t>41</w:t>
            </w:r>
          </w:p>
        </w:tc>
        <w:tc>
          <w:tcPr>
            <w:tcW w:w="248" w:type="dxa"/>
            <w:tcBorders/>
            <w:shd w:fill="auto" w:val="clear"/>
            <w:vAlign w:val="bottom"/>
          </w:tcPr>
          <w:p>
            <w:pPr>
              <w:pStyle w:val="TableContents"/>
              <w:spacing w:before="0" w:after="283"/>
              <w:rPr/>
            </w:pPr>
            <w:r>
              <w:rPr/>
              <w:t>%</w:t>
            </w:r>
          </w:p>
        </w:tc>
      </w:tr>
      <w:tr>
        <w:trPr/>
        <w:tc>
          <w:tcPr>
            <w:tcW w:w="5878" w:type="dxa"/>
            <w:tcBorders/>
            <w:shd w:fill="CCEEFF" w:val="clear"/>
            <w:vAlign w:val="bottom"/>
          </w:tcPr>
          <w:p>
            <w:pPr>
              <w:pStyle w:val="TableContents"/>
              <w:spacing w:before="0" w:after="0"/>
              <w:ind w:left="450" w:right="0" w:hanging="225"/>
              <w:rPr/>
            </w:pPr>
            <w:r>
              <w:rPr/>
              <w:t>Annualized inventory turnover</w:t>
            </w:r>
          </w:p>
        </w:tc>
        <w:tc>
          <w:tcPr>
            <w:tcW w:w="38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7" w:type="dxa"/>
            <w:tcBorders/>
            <w:shd w:fill="CCEEFF" w:val="clear"/>
            <w:vAlign w:val="bottom"/>
          </w:tcPr>
          <w:p>
            <w:pPr>
              <w:pStyle w:val="TableContents"/>
              <w:spacing w:before="0" w:after="283"/>
              <w:jc w:val="right"/>
              <w:rPr/>
            </w:pPr>
            <w:r>
              <w:rPr/>
              <w:t>3.8x</w:t>
            </w:r>
          </w:p>
        </w:tc>
        <w:tc>
          <w:tcPr>
            <w:tcW w:w="34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8" w:type="dxa"/>
            <w:tcBorders/>
            <w:shd w:fill="CCEEFF" w:val="clear"/>
            <w:vAlign w:val="bottom"/>
          </w:tcPr>
          <w:p>
            <w:pPr>
              <w:pStyle w:val="TableContents"/>
              <w:spacing w:before="0" w:after="283"/>
              <w:jc w:val="right"/>
              <w:rPr/>
            </w:pPr>
            <w:r>
              <w:rPr/>
              <w:t>3.5x</w:t>
            </w:r>
          </w:p>
        </w:tc>
        <w:tc>
          <w:tcPr>
            <w:tcW w:w="248" w:type="dxa"/>
            <w:tcBorders/>
            <w:shd w:fill="CCEEFF" w:val="clear"/>
            <w:vAlign w:val="bottom"/>
          </w:tcPr>
          <w:p>
            <w:pPr>
              <w:pStyle w:val="TableContents"/>
              <w:spacing w:before="0" w:after="283"/>
              <w:rPr/>
            </w:pPr>
            <w:r>
              <w:rPr/>
              <w:t> </w:t>
            </w:r>
          </w:p>
        </w:tc>
      </w:tr>
      <w:tr>
        <w:trPr/>
        <w:tc>
          <w:tcPr>
            <w:tcW w:w="5878" w:type="dxa"/>
            <w:tcBorders/>
            <w:shd w:fill="auto" w:val="clear"/>
            <w:vAlign w:val="bottom"/>
          </w:tcPr>
          <w:p>
            <w:pPr>
              <w:pStyle w:val="TableContents"/>
              <w:spacing w:before="0" w:after="0"/>
              <w:ind w:left="450" w:right="0" w:hanging="225"/>
              <w:rPr/>
            </w:pPr>
            <w:r>
              <w:rPr/>
              <w:t>Average pawn loan balance per pawn store at quarter end</w:t>
            </w:r>
          </w:p>
        </w:tc>
        <w:tc>
          <w:tcPr>
            <w:tcW w:w="38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w:t>
            </w:r>
          </w:p>
        </w:tc>
        <w:tc>
          <w:tcPr>
            <w:tcW w:w="1217" w:type="dxa"/>
            <w:tcBorders/>
            <w:shd w:fill="auto" w:val="clear"/>
            <w:vAlign w:val="bottom"/>
          </w:tcPr>
          <w:p>
            <w:pPr>
              <w:pStyle w:val="TableContents"/>
              <w:spacing w:before="0" w:after="283"/>
              <w:jc w:val="right"/>
              <w:rPr/>
            </w:pPr>
            <w:r>
              <w:rPr/>
              <w:t>153</w:t>
            </w:r>
          </w:p>
        </w:tc>
        <w:tc>
          <w:tcPr>
            <w:tcW w:w="34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w:t>
            </w:r>
          </w:p>
        </w:tc>
        <w:tc>
          <w:tcPr>
            <w:tcW w:w="1218" w:type="dxa"/>
            <w:tcBorders/>
            <w:shd w:fill="auto" w:val="clear"/>
            <w:vAlign w:val="bottom"/>
          </w:tcPr>
          <w:p>
            <w:pPr>
              <w:pStyle w:val="TableContents"/>
              <w:spacing w:before="0" w:after="283"/>
              <w:jc w:val="right"/>
              <w:rPr/>
            </w:pPr>
            <w:r>
              <w:rPr/>
              <w:t>139</w:t>
            </w:r>
          </w:p>
        </w:tc>
        <w:tc>
          <w:tcPr>
            <w:tcW w:w="248" w:type="dxa"/>
            <w:tcBorders/>
            <w:shd w:fill="auto" w:val="clear"/>
            <w:vAlign w:val="bottom"/>
          </w:tcPr>
          <w:p>
            <w:pPr>
              <w:pStyle w:val="TableContents"/>
              <w:spacing w:before="0" w:after="283"/>
              <w:rPr/>
            </w:pPr>
            <w:r>
              <w:rPr/>
              <w:t> </w:t>
            </w:r>
          </w:p>
        </w:tc>
      </w:tr>
      <w:tr>
        <w:trPr/>
        <w:tc>
          <w:tcPr>
            <w:tcW w:w="5878" w:type="dxa"/>
            <w:tcBorders/>
            <w:shd w:fill="CCEEFF" w:val="clear"/>
            <w:vAlign w:val="bottom"/>
          </w:tcPr>
          <w:p>
            <w:pPr>
              <w:pStyle w:val="TableContents"/>
              <w:spacing w:before="0" w:after="0"/>
              <w:ind w:left="450" w:right="0" w:hanging="225"/>
              <w:rPr/>
            </w:pPr>
            <w:r>
              <w:rPr/>
              <w:t>Average inventory per pawn store at quarter end</w:t>
            </w:r>
          </w:p>
        </w:tc>
        <w:tc>
          <w:tcPr>
            <w:tcW w:w="38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w:t>
            </w:r>
          </w:p>
        </w:tc>
        <w:tc>
          <w:tcPr>
            <w:tcW w:w="1217" w:type="dxa"/>
            <w:tcBorders/>
            <w:shd w:fill="CCEEFF" w:val="clear"/>
            <w:vAlign w:val="bottom"/>
          </w:tcPr>
          <w:p>
            <w:pPr>
              <w:pStyle w:val="TableContents"/>
              <w:spacing w:before="0" w:after="283"/>
              <w:jc w:val="right"/>
              <w:rPr/>
            </w:pPr>
            <w:r>
              <w:rPr/>
              <w:t>102</w:t>
            </w:r>
          </w:p>
        </w:tc>
        <w:tc>
          <w:tcPr>
            <w:tcW w:w="34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w:t>
            </w:r>
          </w:p>
        </w:tc>
        <w:tc>
          <w:tcPr>
            <w:tcW w:w="1218" w:type="dxa"/>
            <w:tcBorders/>
            <w:shd w:fill="CCEEFF" w:val="clear"/>
            <w:vAlign w:val="bottom"/>
          </w:tcPr>
          <w:p>
            <w:pPr>
              <w:pStyle w:val="TableContents"/>
              <w:spacing w:before="0" w:after="283"/>
              <w:jc w:val="right"/>
              <w:rPr/>
            </w:pPr>
            <w:r>
              <w:rPr/>
              <w:t>109</w:t>
            </w:r>
          </w:p>
        </w:tc>
        <w:tc>
          <w:tcPr>
            <w:tcW w:w="248" w:type="dxa"/>
            <w:tcBorders/>
            <w:shd w:fill="CCEEFF" w:val="clear"/>
            <w:vAlign w:val="bottom"/>
          </w:tcPr>
          <w:p>
            <w:pPr>
              <w:pStyle w:val="TableContents"/>
              <w:spacing w:before="0" w:after="283"/>
              <w:rPr/>
            </w:pPr>
            <w:r>
              <w:rPr/>
              <w:t> </w:t>
            </w:r>
          </w:p>
        </w:tc>
      </w:tr>
      <w:tr>
        <w:trPr/>
        <w:tc>
          <w:tcPr>
            <w:tcW w:w="5878" w:type="dxa"/>
            <w:tcBorders/>
            <w:shd w:fill="auto" w:val="clear"/>
            <w:vAlign w:val="bottom"/>
          </w:tcPr>
          <w:p>
            <w:pPr>
              <w:pStyle w:val="TableContents"/>
              <w:spacing w:before="0" w:after="0"/>
              <w:ind w:left="450" w:right="0" w:hanging="225"/>
              <w:rPr/>
            </w:pPr>
            <w:r>
              <w:rPr/>
              <w:t>Average yield on pawn loan portfolio</w:t>
            </w:r>
          </w:p>
        </w:tc>
        <w:tc>
          <w:tcPr>
            <w:tcW w:w="38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 </w:t>
            </w:r>
          </w:p>
        </w:tc>
        <w:tc>
          <w:tcPr>
            <w:tcW w:w="1217" w:type="dxa"/>
            <w:tcBorders/>
            <w:shd w:fill="auto" w:val="clear"/>
            <w:vAlign w:val="bottom"/>
          </w:tcPr>
          <w:p>
            <w:pPr>
              <w:pStyle w:val="TableContents"/>
              <w:spacing w:before="0" w:after="283"/>
              <w:jc w:val="right"/>
              <w:rPr/>
            </w:pPr>
            <w:r>
              <w:rPr/>
              <w:t>150</w:t>
            </w:r>
          </w:p>
        </w:tc>
        <w:tc>
          <w:tcPr>
            <w:tcW w:w="345" w:type="dxa"/>
            <w:tcBorders/>
            <w:shd w:fill="auto" w:val="clear"/>
            <w:vAlign w:val="bottom"/>
          </w:tcPr>
          <w:p>
            <w:pPr>
              <w:pStyle w:val="TableContents"/>
              <w:spacing w:before="0" w:after="283"/>
              <w:rPr/>
            </w:pPr>
            <w:r>
              <w:rPr/>
              <w:t>%</w:t>
            </w:r>
          </w:p>
        </w:tc>
        <w:tc>
          <w:tcPr>
            <w:tcW w:w="416"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 </w:t>
            </w:r>
          </w:p>
        </w:tc>
        <w:tc>
          <w:tcPr>
            <w:tcW w:w="1218" w:type="dxa"/>
            <w:tcBorders/>
            <w:shd w:fill="auto" w:val="clear"/>
            <w:vAlign w:val="bottom"/>
          </w:tcPr>
          <w:p>
            <w:pPr>
              <w:pStyle w:val="TableContents"/>
              <w:spacing w:before="0" w:after="283"/>
              <w:jc w:val="right"/>
              <w:rPr/>
            </w:pPr>
            <w:r>
              <w:rPr/>
              <w:t>149</w:t>
            </w:r>
          </w:p>
        </w:tc>
        <w:tc>
          <w:tcPr>
            <w:tcW w:w="248" w:type="dxa"/>
            <w:tcBorders/>
            <w:shd w:fill="auto" w:val="clear"/>
            <w:vAlign w:val="bottom"/>
          </w:tcPr>
          <w:p>
            <w:pPr>
              <w:pStyle w:val="TableContents"/>
              <w:spacing w:before="0" w:after="283"/>
              <w:rPr/>
            </w:pPr>
            <w:r>
              <w:rPr/>
              <w:t>%</w:t>
            </w:r>
          </w:p>
        </w:tc>
      </w:tr>
      <w:tr>
        <w:trPr/>
        <w:tc>
          <w:tcPr>
            <w:tcW w:w="5878" w:type="dxa"/>
            <w:tcBorders/>
            <w:shd w:fill="CCEEFF" w:val="clear"/>
            <w:vAlign w:val="bottom"/>
          </w:tcPr>
          <w:p>
            <w:pPr>
              <w:pStyle w:val="TableContents"/>
              <w:spacing w:before="0" w:after="0"/>
              <w:ind w:left="450" w:right="0" w:hanging="225"/>
              <w:rPr/>
            </w:pPr>
            <w:r>
              <w:rPr/>
              <w:t>Pawn loan redemption rate</w:t>
            </w:r>
          </w:p>
        </w:tc>
        <w:tc>
          <w:tcPr>
            <w:tcW w:w="38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 </w:t>
            </w:r>
          </w:p>
        </w:tc>
        <w:tc>
          <w:tcPr>
            <w:tcW w:w="1217" w:type="dxa"/>
            <w:tcBorders/>
            <w:shd w:fill="CCEEFF" w:val="clear"/>
            <w:vAlign w:val="bottom"/>
          </w:tcPr>
          <w:p>
            <w:pPr>
              <w:pStyle w:val="TableContents"/>
              <w:spacing w:before="0" w:after="283"/>
              <w:jc w:val="right"/>
              <w:rPr/>
            </w:pPr>
            <w:r>
              <w:rPr/>
              <w:t>80</w:t>
            </w:r>
          </w:p>
        </w:tc>
        <w:tc>
          <w:tcPr>
            <w:tcW w:w="345" w:type="dxa"/>
            <w:tcBorders/>
            <w:shd w:fill="CCEEFF" w:val="clear"/>
            <w:vAlign w:val="bottom"/>
          </w:tcPr>
          <w:p>
            <w:pPr>
              <w:pStyle w:val="TableContents"/>
              <w:spacing w:before="0" w:after="283"/>
              <w:rPr/>
            </w:pPr>
            <w:r>
              <w:rPr/>
              <w:t>%</w:t>
            </w:r>
          </w:p>
        </w:tc>
        <w:tc>
          <w:tcPr>
            <w:tcW w:w="416"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pPr>
            <w:r>
              <w:rPr/>
              <w:t>79</w:t>
            </w:r>
          </w:p>
        </w:tc>
        <w:tc>
          <w:tcPr>
            <w:tcW w:w="248" w:type="dxa"/>
            <w:tcBorders/>
            <w:shd w:fill="CCEEFF" w:val="clear"/>
            <w:vAlign w:val="bottom"/>
          </w:tcPr>
          <w:p>
            <w:pPr>
              <w:pStyle w:val="TableContents"/>
              <w:spacing w:before="0" w:after="283"/>
              <w:rPr/>
            </w:pPr>
            <w:r>
              <w:rPr/>
              <w:t>%</w:t>
            </w:r>
          </w:p>
        </w:tc>
      </w:tr>
      <w:tr>
        <w:trPr/>
        <w:tc>
          <w:tcPr>
            <w:tcW w:w="5878" w:type="dxa"/>
            <w:tcBorders/>
            <w:shd w:fill="auto" w:val="clear"/>
            <w:vAlign w:val="bottom"/>
          </w:tcPr>
          <w:p>
            <w:pPr>
              <w:pStyle w:val="TableContents"/>
              <w:spacing w:before="0" w:after="0"/>
              <w:ind w:left="450" w:right="0" w:hanging="225"/>
              <w:rPr/>
            </w:pPr>
            <w:r>
              <w:rPr/>
              <w:t>Average signature loan balance per store offering signature loans at quarter end (a)</w:t>
            </w:r>
          </w:p>
        </w:tc>
        <w:tc>
          <w:tcPr>
            <w:tcW w:w="38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w:t>
            </w:r>
          </w:p>
        </w:tc>
        <w:tc>
          <w:tcPr>
            <w:tcW w:w="1217" w:type="dxa"/>
            <w:tcBorders/>
            <w:shd w:fill="auto" w:val="clear"/>
            <w:vAlign w:val="bottom"/>
          </w:tcPr>
          <w:p>
            <w:pPr>
              <w:pStyle w:val="TableContents"/>
              <w:spacing w:before="0" w:after="283"/>
              <w:jc w:val="right"/>
              <w:rPr/>
            </w:pPr>
            <w:r>
              <w:rPr/>
              <w:t>10</w:t>
            </w:r>
          </w:p>
        </w:tc>
        <w:tc>
          <w:tcPr>
            <w:tcW w:w="34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w:t>
            </w:r>
          </w:p>
        </w:tc>
        <w:tc>
          <w:tcPr>
            <w:tcW w:w="1218" w:type="dxa"/>
            <w:tcBorders/>
            <w:shd w:fill="auto" w:val="clear"/>
            <w:vAlign w:val="bottom"/>
          </w:tcPr>
          <w:p>
            <w:pPr>
              <w:pStyle w:val="TableContents"/>
              <w:spacing w:before="0" w:after="283"/>
              <w:jc w:val="right"/>
              <w:rPr/>
            </w:pPr>
            <w:r>
              <w:rPr/>
              <w:t>8</w:t>
            </w:r>
          </w:p>
        </w:tc>
        <w:tc>
          <w:tcPr>
            <w:tcW w:w="248"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(a)</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Signature loan balances include payday loans (net of valuation allowance) recorded on our balance sheet and the principal portion of active brokered loans outstanding from unaffiliated lenders, the balance of which is not included on our balance sheet.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current quarter pawn service charge revenue increased 7%, or $1.1 million from the prior year quarter to $16.6 million. This was due to a 6% higher average pawn loan balance coupled with a one percentage point increase in loan yields to 150%. Beginning in the second quarter of fiscal 2006, we raised our loan values on gold jewelry in response to an increase in gold market values and similar changes by our competitors. This contributed about $0.8 million to the increase in pawn service charges in the current quarter. The ending pawn loan balance was 10% higher than the balance at March 31, 2006, indicating the year over year improvement in pawn service charges is likely to continue in the third fiscal quarter ending June 30,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109% ($18.0 million) of recorded pawn service charge revenue was collected in cash, offset by a $1.4 million decrease in pawn service charges receivable. In the comparable prior year quarter, 115% ($17.7 million) of recorded pawn service charge revenue was collected in cash, offset by a $2.2 million decrease in pawn service charges receivable. The accrual of pawn service charges is dependent on the size of the loan portfolio and our estimate of collectible loans in the portfolio at the end of each quarter.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summarizes our sales volume, gross profit and gross margins: </w:t>
      </w:r>
    </w:p>
    <w:tbl>
      <w:tblPr>
        <w:tblW w:w="5000" w:type="pct"/>
        <w:jc w:val="center"/>
        <w:tblInd w:w="0" w:type="dxa"/>
        <w:tblCellMar>
          <w:top w:w="0" w:type="dxa"/>
          <w:left w:w="0" w:type="dxa"/>
          <w:bottom w:w="0" w:type="dxa"/>
          <w:right w:w="0" w:type="dxa"/>
        </w:tblCellMar>
      </w:tblPr>
      <w:tblGrid>
        <w:gridCol w:w="5764"/>
        <w:gridCol w:w="373"/>
        <w:gridCol w:w="323"/>
        <w:gridCol w:w="1135"/>
        <w:gridCol w:w="462"/>
        <w:gridCol w:w="432"/>
        <w:gridCol w:w="323"/>
        <w:gridCol w:w="1137"/>
        <w:gridCol w:w="256"/>
      </w:tblGrid>
      <w:tr>
        <w:trPr/>
        <w:tc>
          <w:tcPr>
            <w:tcW w:w="5764"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r>
      <w:tr>
        <w:trPr/>
        <w:tc>
          <w:tcPr>
            <w:tcW w:w="5764"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3812" w:type="dxa"/>
            <w:gridSpan w:val="6"/>
            <w:tcBorders>
              <w:bottom w:val="single" w:sz="2" w:space="0" w:color="FFFFFF"/>
            </w:tcBorders>
            <w:shd w:fill="auto" w:val="clear"/>
            <w:tcMar>
              <w:bottom w:w="28" w:type="dxa"/>
            </w:tcMar>
            <w:vAlign w:val="bottom"/>
          </w:tcPr>
          <w:p>
            <w:pPr>
              <w:pStyle w:val="TableContents"/>
              <w:spacing w:before="0" w:after="283"/>
              <w:jc w:val="center"/>
              <w:rPr/>
            </w:pPr>
            <w:r>
              <w:rPr/>
              <w:t>Three Months Ended March 31,</w:t>
            </w:r>
          </w:p>
        </w:tc>
        <w:tc>
          <w:tcPr>
            <w:tcW w:w="256" w:type="dxa"/>
            <w:tcBorders/>
            <w:shd w:fill="auto" w:val="clear"/>
            <w:vAlign w:val="bottom"/>
          </w:tcPr>
          <w:p>
            <w:pPr>
              <w:pStyle w:val="TableContents"/>
              <w:spacing w:before="0" w:after="283"/>
              <w:rPr/>
            </w:pPr>
            <w:r>
              <w:rPr/>
              <w:t> </w:t>
            </w:r>
          </w:p>
        </w:tc>
      </w:tr>
      <w:tr>
        <w:trPr/>
        <w:tc>
          <w:tcPr>
            <w:tcW w:w="5764"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458" w:type="dxa"/>
            <w:gridSpan w:val="2"/>
            <w:tcBorders>
              <w:bottom w:val="single" w:sz="2" w:space="0" w:color="FFFFFF"/>
            </w:tcBorders>
            <w:shd w:fill="auto" w:val="clear"/>
            <w:tcMar>
              <w:bottom w:w="28" w:type="dxa"/>
            </w:tcMar>
            <w:vAlign w:val="bottom"/>
          </w:tcPr>
          <w:p>
            <w:pPr>
              <w:pStyle w:val="TableContents"/>
              <w:spacing w:before="0" w:after="283"/>
              <w:jc w:val="center"/>
              <w:rPr/>
            </w:pPr>
            <w:r>
              <w:rPr/>
              <w:t>2007</w:t>
            </w:r>
          </w:p>
        </w:tc>
        <w:tc>
          <w:tcPr>
            <w:tcW w:w="462"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460" w:type="dxa"/>
            <w:gridSpan w:val="2"/>
            <w:tcBorders>
              <w:bottom w:val="single" w:sz="2" w:space="0" w:color="FFFFFF"/>
            </w:tcBorders>
            <w:shd w:fill="auto" w:val="clear"/>
            <w:tcMar>
              <w:bottom w:w="28" w:type="dxa"/>
            </w:tcMar>
            <w:vAlign w:val="bottom"/>
          </w:tcPr>
          <w:p>
            <w:pPr>
              <w:pStyle w:val="TableContents"/>
              <w:spacing w:before="0" w:after="283"/>
              <w:jc w:val="center"/>
              <w:rPr/>
            </w:pPr>
            <w:r>
              <w:rPr/>
              <w:t>2006</w:t>
            </w:r>
          </w:p>
        </w:tc>
        <w:tc>
          <w:tcPr>
            <w:tcW w:w="256" w:type="dxa"/>
            <w:tcBorders/>
            <w:shd w:fill="auto" w:val="clear"/>
            <w:vAlign w:val="bottom"/>
          </w:tcPr>
          <w:p>
            <w:pPr>
              <w:pStyle w:val="TableContents"/>
              <w:spacing w:before="0" w:after="283"/>
              <w:rPr/>
            </w:pPr>
            <w:r>
              <w:rPr/>
              <w:t> </w:t>
            </w:r>
          </w:p>
        </w:tc>
      </w:tr>
      <w:tr>
        <w:trPr/>
        <w:tc>
          <w:tcPr>
            <w:tcW w:w="5764"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068"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764"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3812" w:type="dxa"/>
            <w:gridSpan w:val="6"/>
            <w:tcBorders/>
            <w:shd w:fill="auto" w:val="clear"/>
            <w:vAlign w:val="bottom"/>
          </w:tcPr>
          <w:p>
            <w:pPr>
              <w:pStyle w:val="TableContents"/>
              <w:spacing w:before="0" w:after="283"/>
              <w:jc w:val="center"/>
              <w:rPr>
                <w:i/>
              </w:rPr>
            </w:pPr>
            <w:r>
              <w:rPr>
                <w:i/>
              </w:rPr>
              <w:t>(Dollars in millions)</w:t>
            </w:r>
          </w:p>
        </w:tc>
        <w:tc>
          <w:tcPr>
            <w:tcW w:w="256" w:type="dxa"/>
            <w:tcBorders/>
            <w:shd w:fill="auto" w:val="clear"/>
            <w:vAlign w:val="bottom"/>
          </w:tcPr>
          <w:p>
            <w:pPr>
              <w:pStyle w:val="TableContents"/>
              <w:spacing w:before="0" w:after="283"/>
              <w:rPr/>
            </w:pPr>
            <w:r>
              <w:rPr/>
              <w:t> </w:t>
            </w:r>
          </w:p>
        </w:tc>
      </w:tr>
      <w:tr>
        <w:trPr/>
        <w:tc>
          <w:tcPr>
            <w:tcW w:w="5764"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r>
      <w:tr>
        <w:trPr/>
        <w:tc>
          <w:tcPr>
            <w:tcW w:w="5764" w:type="dxa"/>
            <w:tcBorders/>
            <w:shd w:fill="CCEEFF" w:val="clear"/>
            <w:vAlign w:val="bottom"/>
          </w:tcPr>
          <w:p>
            <w:pPr>
              <w:pStyle w:val="TableContents"/>
              <w:spacing w:before="0" w:after="0"/>
              <w:ind w:left="225" w:right="0" w:hanging="225"/>
              <w:rPr/>
            </w:pPr>
            <w:r>
              <w:rPr/>
              <w:t>Merchandise sales</w:t>
            </w:r>
          </w:p>
        </w:tc>
        <w:tc>
          <w:tcPr>
            <w:tcW w:w="373"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w:t>
            </w:r>
          </w:p>
        </w:tc>
        <w:tc>
          <w:tcPr>
            <w:tcW w:w="1135" w:type="dxa"/>
            <w:tcBorders/>
            <w:shd w:fill="CCEEFF" w:val="clear"/>
            <w:vAlign w:val="bottom"/>
          </w:tcPr>
          <w:p>
            <w:pPr>
              <w:pStyle w:val="TableContents"/>
              <w:spacing w:before="0" w:after="283"/>
              <w:jc w:val="right"/>
              <w:rPr/>
            </w:pPr>
            <w:r>
              <w:rPr/>
              <w:t>39.5</w:t>
            </w:r>
          </w:p>
        </w:tc>
        <w:tc>
          <w:tcPr>
            <w:tcW w:w="462"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w:t>
            </w:r>
          </w:p>
        </w:tc>
        <w:tc>
          <w:tcPr>
            <w:tcW w:w="1137" w:type="dxa"/>
            <w:tcBorders/>
            <w:shd w:fill="CCEEFF" w:val="clear"/>
            <w:vAlign w:val="bottom"/>
          </w:tcPr>
          <w:p>
            <w:pPr>
              <w:pStyle w:val="TableContents"/>
              <w:spacing w:before="0" w:after="283"/>
              <w:jc w:val="right"/>
              <w:rPr/>
            </w:pPr>
            <w:r>
              <w:rPr/>
              <w:t>39.0</w:t>
            </w:r>
          </w:p>
        </w:tc>
        <w:tc>
          <w:tcPr>
            <w:tcW w:w="256" w:type="dxa"/>
            <w:tcBorders/>
            <w:shd w:fill="CCEEFF" w:val="clear"/>
            <w:vAlign w:val="bottom"/>
          </w:tcPr>
          <w:p>
            <w:pPr>
              <w:pStyle w:val="TableContents"/>
              <w:spacing w:before="0" w:after="283"/>
              <w:rPr/>
            </w:pPr>
            <w:r>
              <w:rPr/>
              <w:t> </w:t>
            </w:r>
          </w:p>
        </w:tc>
      </w:tr>
      <w:tr>
        <w:trPr/>
        <w:tc>
          <w:tcPr>
            <w:tcW w:w="5764" w:type="dxa"/>
            <w:tcBorders/>
            <w:shd w:fill="auto" w:val="clear"/>
            <w:vAlign w:val="bottom"/>
          </w:tcPr>
          <w:p>
            <w:pPr>
              <w:pStyle w:val="TableContents"/>
              <w:spacing w:before="0" w:after="0"/>
              <w:ind w:left="225" w:right="0" w:hanging="225"/>
              <w:rPr/>
            </w:pPr>
            <w:r>
              <w:rPr/>
              <w:t>Jewelry scrapping sales</w:t>
            </w:r>
          </w:p>
        </w:tc>
        <w:tc>
          <w:tcPr>
            <w:tcW w:w="373"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jc w:val="right"/>
              <w:rPr/>
            </w:pPr>
            <w:r>
              <w:rPr/>
              <w:t>10.5</w:t>
            </w:r>
          </w:p>
        </w:tc>
        <w:tc>
          <w:tcPr>
            <w:tcW w:w="462"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pPr>
            <w:r>
              <w:rPr/>
              <w:t>8.6</w:t>
            </w:r>
          </w:p>
        </w:tc>
        <w:tc>
          <w:tcPr>
            <w:tcW w:w="256" w:type="dxa"/>
            <w:tcBorders/>
            <w:shd w:fill="auto" w:val="clear"/>
            <w:vAlign w:val="bottom"/>
          </w:tcPr>
          <w:p>
            <w:pPr>
              <w:pStyle w:val="TableContents"/>
              <w:spacing w:before="0" w:after="283"/>
              <w:rPr/>
            </w:pPr>
            <w:r>
              <w:rPr/>
              <w:t> </w:t>
            </w:r>
          </w:p>
        </w:tc>
      </w:tr>
      <w:tr>
        <w:trPr/>
        <w:tc>
          <w:tcPr>
            <w:tcW w:w="5764" w:type="dxa"/>
            <w:tcBorders/>
            <w:shd w:fill="auto" w:val="clear"/>
            <w:vAlign w:val="center"/>
          </w:tcPr>
          <w:p>
            <w:pPr>
              <w:pStyle w:val="TableContents"/>
              <w:spacing w:before="0" w:after="0"/>
              <w:ind w:left="225" w:right="0" w:hanging="225"/>
              <w:rPr/>
            </w:pPr>
            <w:r>
              <w:rPr/>
              <w:t> </w:t>
            </w:r>
          </w:p>
        </w:tc>
        <w:tc>
          <w:tcPr>
            <w:tcW w:w="373" w:type="dxa"/>
            <w:tcBorders/>
            <w:shd w:fill="auto" w:val="clear"/>
            <w:vAlign w:val="center"/>
          </w:tcPr>
          <w:p>
            <w:pPr>
              <w:pStyle w:val="TableContents"/>
              <w:spacing w:before="0" w:after="283"/>
              <w:rPr/>
            </w:pPr>
            <w:r>
              <w:rPr/>
              <w:t> </w:t>
            </w:r>
          </w:p>
        </w:tc>
        <w:tc>
          <w:tcPr>
            <w:tcW w:w="14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462"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6" w:type="dxa"/>
            <w:tcBorders/>
            <w:shd w:fill="auto" w:val="clear"/>
            <w:vAlign w:val="center"/>
          </w:tcPr>
          <w:p>
            <w:pPr>
              <w:pStyle w:val="TableContents"/>
              <w:spacing w:before="0" w:after="283"/>
              <w:rPr/>
            </w:pPr>
            <w:r>
              <w:rPr/>
              <w:t> </w:t>
            </w:r>
          </w:p>
        </w:tc>
      </w:tr>
      <w:tr>
        <w:trPr/>
        <w:tc>
          <w:tcPr>
            <w:tcW w:w="5764" w:type="dxa"/>
            <w:tcBorders/>
            <w:shd w:fill="CCEEFF" w:val="clear"/>
            <w:vAlign w:val="bottom"/>
          </w:tcPr>
          <w:p>
            <w:pPr>
              <w:pStyle w:val="TableContents"/>
              <w:spacing w:before="0" w:after="0"/>
              <w:ind w:left="225" w:right="0" w:hanging="225"/>
              <w:rPr/>
            </w:pPr>
            <w:r>
              <w:rPr/>
              <w:t>Total sales</w:t>
            </w:r>
          </w:p>
        </w:tc>
        <w:tc>
          <w:tcPr>
            <w:tcW w:w="373"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w:t>
            </w:r>
          </w:p>
        </w:tc>
        <w:tc>
          <w:tcPr>
            <w:tcW w:w="1135" w:type="dxa"/>
            <w:tcBorders/>
            <w:shd w:fill="CCEEFF" w:val="clear"/>
            <w:vAlign w:val="bottom"/>
          </w:tcPr>
          <w:p>
            <w:pPr>
              <w:pStyle w:val="TableContents"/>
              <w:spacing w:before="0" w:after="283"/>
              <w:jc w:val="right"/>
              <w:rPr/>
            </w:pPr>
            <w:r>
              <w:rPr/>
              <w:t>50.0</w:t>
            </w:r>
          </w:p>
        </w:tc>
        <w:tc>
          <w:tcPr>
            <w:tcW w:w="462"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w:t>
            </w:r>
          </w:p>
        </w:tc>
        <w:tc>
          <w:tcPr>
            <w:tcW w:w="1137" w:type="dxa"/>
            <w:tcBorders/>
            <w:shd w:fill="CCEEFF" w:val="clear"/>
            <w:vAlign w:val="bottom"/>
          </w:tcPr>
          <w:p>
            <w:pPr>
              <w:pStyle w:val="TableContents"/>
              <w:spacing w:before="0" w:after="283"/>
              <w:jc w:val="right"/>
              <w:rPr/>
            </w:pPr>
            <w:r>
              <w:rPr/>
              <w:t>47.6</w:t>
            </w:r>
          </w:p>
        </w:tc>
        <w:tc>
          <w:tcPr>
            <w:tcW w:w="256" w:type="dxa"/>
            <w:tcBorders/>
            <w:shd w:fill="CCEEFF" w:val="clear"/>
            <w:vAlign w:val="bottom"/>
          </w:tcPr>
          <w:p>
            <w:pPr>
              <w:pStyle w:val="TableContents"/>
              <w:spacing w:before="0" w:after="283"/>
              <w:rPr/>
            </w:pPr>
            <w:r>
              <w:rPr/>
              <w:t> </w:t>
            </w:r>
          </w:p>
        </w:tc>
      </w:tr>
      <w:tr>
        <w:trPr/>
        <w:tc>
          <w:tcPr>
            <w:tcW w:w="5764"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r>
      <w:tr>
        <w:trPr/>
        <w:tc>
          <w:tcPr>
            <w:tcW w:w="5764" w:type="dxa"/>
            <w:tcBorders/>
            <w:shd w:fill="auto" w:val="clear"/>
            <w:vAlign w:val="bottom"/>
          </w:tcPr>
          <w:p>
            <w:pPr>
              <w:pStyle w:val="TableContents"/>
              <w:spacing w:before="0" w:after="0"/>
              <w:ind w:left="225" w:right="0" w:hanging="225"/>
              <w:rPr/>
            </w:pPr>
            <w:r>
              <w:rPr/>
              <w:t>Gross profit on merchandise sales</w:t>
            </w:r>
          </w:p>
        </w:tc>
        <w:tc>
          <w:tcPr>
            <w:tcW w:w="373"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w:t>
            </w:r>
          </w:p>
        </w:tc>
        <w:tc>
          <w:tcPr>
            <w:tcW w:w="1135" w:type="dxa"/>
            <w:tcBorders/>
            <w:shd w:fill="auto" w:val="clear"/>
            <w:vAlign w:val="bottom"/>
          </w:tcPr>
          <w:p>
            <w:pPr>
              <w:pStyle w:val="TableContents"/>
              <w:spacing w:before="0" w:after="283"/>
              <w:jc w:val="right"/>
              <w:rPr/>
            </w:pPr>
            <w:r>
              <w:rPr/>
              <w:t>15.9</w:t>
            </w:r>
          </w:p>
        </w:tc>
        <w:tc>
          <w:tcPr>
            <w:tcW w:w="462"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w:t>
            </w:r>
          </w:p>
        </w:tc>
        <w:tc>
          <w:tcPr>
            <w:tcW w:w="1137" w:type="dxa"/>
            <w:tcBorders/>
            <w:shd w:fill="auto" w:val="clear"/>
            <w:vAlign w:val="bottom"/>
          </w:tcPr>
          <w:p>
            <w:pPr>
              <w:pStyle w:val="TableContents"/>
              <w:spacing w:before="0" w:after="283"/>
              <w:jc w:val="right"/>
              <w:rPr/>
            </w:pPr>
            <w:r>
              <w:rPr/>
              <w:t>16.3</w:t>
            </w:r>
          </w:p>
        </w:tc>
        <w:tc>
          <w:tcPr>
            <w:tcW w:w="256" w:type="dxa"/>
            <w:tcBorders/>
            <w:shd w:fill="auto" w:val="clear"/>
            <w:vAlign w:val="bottom"/>
          </w:tcPr>
          <w:p>
            <w:pPr>
              <w:pStyle w:val="TableContents"/>
              <w:spacing w:before="0" w:after="283"/>
              <w:rPr/>
            </w:pPr>
            <w:r>
              <w:rPr/>
              <w:t> </w:t>
            </w:r>
          </w:p>
        </w:tc>
      </w:tr>
      <w:tr>
        <w:trPr/>
        <w:tc>
          <w:tcPr>
            <w:tcW w:w="5764" w:type="dxa"/>
            <w:tcBorders/>
            <w:shd w:fill="CCEEFF" w:val="clear"/>
            <w:vAlign w:val="bottom"/>
          </w:tcPr>
          <w:p>
            <w:pPr>
              <w:pStyle w:val="TableContents"/>
              <w:spacing w:before="0" w:after="0"/>
              <w:ind w:left="225" w:right="0" w:hanging="225"/>
              <w:rPr/>
            </w:pPr>
            <w:r>
              <w:rPr/>
              <w:t>Gross profit on jewelry scrapping sales</w:t>
            </w:r>
          </w:p>
        </w:tc>
        <w:tc>
          <w:tcPr>
            <w:tcW w:w="373"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w:t>
            </w:r>
          </w:p>
        </w:tc>
        <w:tc>
          <w:tcPr>
            <w:tcW w:w="1135" w:type="dxa"/>
            <w:tcBorders/>
            <w:shd w:fill="CCEEFF" w:val="clear"/>
            <w:vAlign w:val="bottom"/>
          </w:tcPr>
          <w:p>
            <w:pPr>
              <w:pStyle w:val="TableContents"/>
              <w:spacing w:before="0" w:after="283"/>
              <w:jc w:val="right"/>
              <w:rPr/>
            </w:pPr>
            <w:r>
              <w:rPr/>
              <w:t>3.7</w:t>
            </w:r>
          </w:p>
        </w:tc>
        <w:tc>
          <w:tcPr>
            <w:tcW w:w="462"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w:t>
            </w:r>
          </w:p>
        </w:tc>
        <w:tc>
          <w:tcPr>
            <w:tcW w:w="1137" w:type="dxa"/>
            <w:tcBorders/>
            <w:shd w:fill="CCEEFF" w:val="clear"/>
            <w:vAlign w:val="bottom"/>
          </w:tcPr>
          <w:p>
            <w:pPr>
              <w:pStyle w:val="TableContents"/>
              <w:spacing w:before="0" w:after="283"/>
              <w:jc w:val="right"/>
              <w:rPr/>
            </w:pPr>
            <w:r>
              <w:rPr/>
              <w:t>3.0</w:t>
            </w:r>
          </w:p>
        </w:tc>
        <w:tc>
          <w:tcPr>
            <w:tcW w:w="256" w:type="dxa"/>
            <w:tcBorders/>
            <w:shd w:fill="CCEEFF" w:val="clear"/>
            <w:vAlign w:val="bottom"/>
          </w:tcPr>
          <w:p>
            <w:pPr>
              <w:pStyle w:val="TableContents"/>
              <w:spacing w:before="0" w:after="283"/>
              <w:rPr/>
            </w:pPr>
            <w:r>
              <w:rPr/>
              <w:t> </w:t>
            </w:r>
          </w:p>
        </w:tc>
      </w:tr>
      <w:tr>
        <w:trPr/>
        <w:tc>
          <w:tcPr>
            <w:tcW w:w="5764"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r>
      <w:tr>
        <w:trPr/>
        <w:tc>
          <w:tcPr>
            <w:tcW w:w="5764" w:type="dxa"/>
            <w:tcBorders/>
            <w:shd w:fill="auto" w:val="clear"/>
            <w:vAlign w:val="bottom"/>
          </w:tcPr>
          <w:p>
            <w:pPr>
              <w:pStyle w:val="TableContents"/>
              <w:spacing w:before="0" w:after="0"/>
              <w:ind w:left="225" w:right="0" w:hanging="225"/>
              <w:rPr/>
            </w:pPr>
            <w:r>
              <w:rPr/>
              <w:t>Gross margin on merchandise sales</w:t>
            </w:r>
          </w:p>
        </w:tc>
        <w:tc>
          <w:tcPr>
            <w:tcW w:w="373"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 </w:t>
            </w:r>
          </w:p>
        </w:tc>
        <w:tc>
          <w:tcPr>
            <w:tcW w:w="1135" w:type="dxa"/>
            <w:tcBorders/>
            <w:shd w:fill="auto" w:val="clear"/>
            <w:vAlign w:val="bottom"/>
          </w:tcPr>
          <w:p>
            <w:pPr>
              <w:pStyle w:val="TableContents"/>
              <w:spacing w:before="0" w:after="283"/>
              <w:jc w:val="right"/>
              <w:rPr/>
            </w:pPr>
            <w:r>
              <w:rPr/>
              <w:t>40.3</w:t>
            </w:r>
          </w:p>
        </w:tc>
        <w:tc>
          <w:tcPr>
            <w:tcW w:w="462" w:type="dxa"/>
            <w:tcBorders/>
            <w:shd w:fill="auto" w:val="clear"/>
            <w:vAlign w:val="bottom"/>
          </w:tcPr>
          <w:p>
            <w:pPr>
              <w:pStyle w:val="TableContents"/>
              <w:spacing w:before="0" w:after="283"/>
              <w:rPr/>
            </w:pPr>
            <w:r>
              <w:rPr/>
              <w:t>%</w:t>
            </w:r>
          </w:p>
        </w:tc>
        <w:tc>
          <w:tcPr>
            <w:tcW w:w="432"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 </w:t>
            </w:r>
          </w:p>
        </w:tc>
        <w:tc>
          <w:tcPr>
            <w:tcW w:w="1137" w:type="dxa"/>
            <w:tcBorders/>
            <w:shd w:fill="auto" w:val="clear"/>
            <w:vAlign w:val="bottom"/>
          </w:tcPr>
          <w:p>
            <w:pPr>
              <w:pStyle w:val="TableContents"/>
              <w:spacing w:before="0" w:after="283"/>
              <w:jc w:val="right"/>
              <w:rPr/>
            </w:pPr>
            <w:r>
              <w:rPr/>
              <w:t>41.7</w:t>
            </w:r>
          </w:p>
        </w:tc>
        <w:tc>
          <w:tcPr>
            <w:tcW w:w="256" w:type="dxa"/>
            <w:tcBorders/>
            <w:shd w:fill="auto" w:val="clear"/>
            <w:vAlign w:val="bottom"/>
          </w:tcPr>
          <w:p>
            <w:pPr>
              <w:pStyle w:val="TableContents"/>
              <w:spacing w:before="0" w:after="283"/>
              <w:rPr/>
            </w:pPr>
            <w:r>
              <w:rPr/>
              <w:t>%</w:t>
            </w:r>
          </w:p>
        </w:tc>
      </w:tr>
      <w:tr>
        <w:trPr/>
        <w:tc>
          <w:tcPr>
            <w:tcW w:w="5764" w:type="dxa"/>
            <w:tcBorders/>
            <w:shd w:fill="CCEEFF" w:val="clear"/>
            <w:vAlign w:val="bottom"/>
          </w:tcPr>
          <w:p>
            <w:pPr>
              <w:pStyle w:val="TableContents"/>
              <w:spacing w:before="0" w:after="0"/>
              <w:ind w:left="225" w:right="0" w:hanging="225"/>
              <w:rPr/>
            </w:pPr>
            <w:r>
              <w:rPr/>
              <w:t>Gross margin on jewelry scrapping sales</w:t>
            </w:r>
          </w:p>
        </w:tc>
        <w:tc>
          <w:tcPr>
            <w:tcW w:w="373"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 </w:t>
            </w:r>
          </w:p>
        </w:tc>
        <w:tc>
          <w:tcPr>
            <w:tcW w:w="1135" w:type="dxa"/>
            <w:tcBorders/>
            <w:shd w:fill="CCEEFF" w:val="clear"/>
            <w:vAlign w:val="bottom"/>
          </w:tcPr>
          <w:p>
            <w:pPr>
              <w:pStyle w:val="TableContents"/>
              <w:spacing w:before="0" w:after="283"/>
              <w:jc w:val="right"/>
              <w:rPr/>
            </w:pPr>
            <w:r>
              <w:rPr/>
              <w:t>35.4</w:t>
            </w:r>
          </w:p>
        </w:tc>
        <w:tc>
          <w:tcPr>
            <w:tcW w:w="462" w:type="dxa"/>
            <w:tcBorders/>
            <w:shd w:fill="CCEEFF" w:val="clear"/>
            <w:vAlign w:val="bottom"/>
          </w:tcPr>
          <w:p>
            <w:pPr>
              <w:pStyle w:val="TableContents"/>
              <w:spacing w:before="0" w:after="283"/>
              <w:rPr/>
            </w:pPr>
            <w:r>
              <w:rPr/>
              <w:t>%</w:t>
            </w:r>
          </w:p>
        </w:tc>
        <w:tc>
          <w:tcPr>
            <w:tcW w:w="432"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 </w:t>
            </w:r>
          </w:p>
        </w:tc>
        <w:tc>
          <w:tcPr>
            <w:tcW w:w="1137" w:type="dxa"/>
            <w:tcBorders/>
            <w:shd w:fill="CCEEFF" w:val="clear"/>
            <w:vAlign w:val="bottom"/>
          </w:tcPr>
          <w:p>
            <w:pPr>
              <w:pStyle w:val="TableContents"/>
              <w:spacing w:before="0" w:after="283"/>
              <w:jc w:val="right"/>
              <w:rPr/>
            </w:pPr>
            <w:r>
              <w:rPr/>
              <w:t>35.1</w:t>
            </w:r>
          </w:p>
        </w:tc>
        <w:tc>
          <w:tcPr>
            <w:tcW w:w="256" w:type="dxa"/>
            <w:tcBorders/>
            <w:shd w:fill="CCEEFF" w:val="clear"/>
            <w:vAlign w:val="bottom"/>
          </w:tcPr>
          <w:p>
            <w:pPr>
              <w:pStyle w:val="TableContents"/>
              <w:spacing w:before="0" w:after="283"/>
              <w:rPr/>
            </w:pPr>
            <w:r>
              <w:rPr/>
              <w:t>%</w:t>
            </w:r>
          </w:p>
        </w:tc>
      </w:tr>
      <w:tr>
        <w:trPr/>
        <w:tc>
          <w:tcPr>
            <w:tcW w:w="5764" w:type="dxa"/>
            <w:tcBorders/>
            <w:shd w:fill="auto" w:val="clear"/>
            <w:vAlign w:val="bottom"/>
          </w:tcPr>
          <w:p>
            <w:pPr>
              <w:pStyle w:val="TableContents"/>
              <w:spacing w:before="0" w:after="0"/>
              <w:ind w:left="225" w:right="0" w:hanging="225"/>
              <w:rPr/>
            </w:pPr>
            <w:r>
              <w:rPr/>
              <w:t>Overall gross margin</w:t>
            </w:r>
          </w:p>
        </w:tc>
        <w:tc>
          <w:tcPr>
            <w:tcW w:w="373"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 </w:t>
            </w:r>
          </w:p>
        </w:tc>
        <w:tc>
          <w:tcPr>
            <w:tcW w:w="1135" w:type="dxa"/>
            <w:tcBorders/>
            <w:shd w:fill="auto" w:val="clear"/>
            <w:vAlign w:val="bottom"/>
          </w:tcPr>
          <w:p>
            <w:pPr>
              <w:pStyle w:val="TableContents"/>
              <w:spacing w:before="0" w:after="283"/>
              <w:jc w:val="right"/>
              <w:rPr/>
            </w:pPr>
            <w:r>
              <w:rPr/>
              <w:t>39.3</w:t>
            </w:r>
          </w:p>
        </w:tc>
        <w:tc>
          <w:tcPr>
            <w:tcW w:w="462" w:type="dxa"/>
            <w:tcBorders/>
            <w:shd w:fill="auto" w:val="clear"/>
            <w:vAlign w:val="bottom"/>
          </w:tcPr>
          <w:p>
            <w:pPr>
              <w:pStyle w:val="TableContents"/>
              <w:spacing w:before="0" w:after="283"/>
              <w:rPr/>
            </w:pPr>
            <w:r>
              <w:rPr/>
              <w:t>%</w:t>
            </w:r>
          </w:p>
        </w:tc>
        <w:tc>
          <w:tcPr>
            <w:tcW w:w="432"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 </w:t>
            </w:r>
          </w:p>
        </w:tc>
        <w:tc>
          <w:tcPr>
            <w:tcW w:w="1137" w:type="dxa"/>
            <w:tcBorders/>
            <w:shd w:fill="auto" w:val="clear"/>
            <w:vAlign w:val="bottom"/>
          </w:tcPr>
          <w:p>
            <w:pPr>
              <w:pStyle w:val="TableContents"/>
              <w:spacing w:before="0" w:after="283"/>
              <w:jc w:val="right"/>
              <w:rPr/>
            </w:pPr>
            <w:r>
              <w:rPr/>
              <w:t>40.5</w:t>
            </w:r>
          </w:p>
        </w:tc>
        <w:tc>
          <w:tcPr>
            <w:tcW w:w="256" w:type="dxa"/>
            <w:tcBorders/>
            <w:shd w:fill="auto"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$15.9 million of gross profit on merchandise sales represents a $0.4 million decrease from the prior year quarter. This resulted from a $0.5 million, or 1% increase in merchandise sales, more than offset by a 1.4 percentage point decrease in gross margins on merchandise sales. The decrease in merchandise sales margins was due primarily to more aggressive discounting of electronics and jewelry in the current quarter. In the prior year quarter, we had the benefit of the doubling of loan forfeitures due to the reduction of loan terms in the majority of our stores. This provided a greater amount of fresh inventory to fuel sales at a better margin. Included in the merchandise gross profit for the quarter is the benefit of higher gold values. Over the past year, we raised our retail prices on gold jewelry in response to higher gold values. We also increased the amount we pay to purchase jewelry from customers and loan on jewelry, increasing the cost of these items. The net effect contributed an additional $0.6 million to the gross profit on merchandise sales in the current quarter.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gross profit on jewelry scrapping sales increased $0.7 million from the prior year quarter to $3.7 million. This was due to a $1.9 million increase in jewelry scrapping sales on 5% more volume, and a 0.3 percentage point improvement in margins. The recent increases in gold values and the amount we loan on gold jewelry had a $0.9 million positive effect on the gross profit on jewelry scrapping sales. Future changes in gold prices would immediately and directly impact the proceeds of scrapped jewelry. In response to these changes, we periodically adjust the amount we lend on jewelry. This ultimately impacts the cost of inventory sold and sales margins.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Merchandise and jewelry scrapping sales volume is heavily dependent on inventory available for sale, or beginning inventory on hand plus pawn loan forfeitures and inventory purchases. In the quarter ending June 30, 2007, the 7% lower beginning inventory balance will likely have a negative effect on the June quarters sales. We expect this will be largely offset by an increase in pawn loan forfeitures from the 10% higher beginning pawn loan balance.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Selected signature loan data for the EZPAWN Operations segment are as follows: </w:t>
      </w:r>
    </w:p>
    <w:tbl>
      <w:tblPr>
        <w:tblW w:w="5000" w:type="pct"/>
        <w:jc w:val="center"/>
        <w:tblInd w:w="0" w:type="dxa"/>
        <w:tblCellMar>
          <w:top w:w="0" w:type="dxa"/>
          <w:left w:w="0" w:type="dxa"/>
          <w:bottom w:w="0" w:type="dxa"/>
          <w:right w:w="0" w:type="dxa"/>
        </w:tblCellMar>
      </w:tblPr>
      <w:tblGrid>
        <w:gridCol w:w="5699"/>
        <w:gridCol w:w="387"/>
        <w:gridCol w:w="326"/>
        <w:gridCol w:w="1149"/>
        <w:gridCol w:w="464"/>
        <w:gridCol w:w="446"/>
        <w:gridCol w:w="326"/>
        <w:gridCol w:w="1151"/>
        <w:gridCol w:w="257"/>
      </w:tblGrid>
      <w:tr>
        <w:trPr/>
        <w:tc>
          <w:tcPr>
            <w:tcW w:w="5699"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r>
      <w:tr>
        <w:trPr/>
        <w:tc>
          <w:tcPr>
            <w:tcW w:w="5699"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3862" w:type="dxa"/>
            <w:gridSpan w:val="6"/>
            <w:tcBorders>
              <w:bottom w:val="single" w:sz="2" w:space="0" w:color="FFFFFF"/>
            </w:tcBorders>
            <w:shd w:fill="auto" w:val="clear"/>
            <w:tcMar>
              <w:bottom w:w="28" w:type="dxa"/>
            </w:tcMar>
            <w:vAlign w:val="bottom"/>
          </w:tcPr>
          <w:p>
            <w:pPr>
              <w:pStyle w:val="TableContents"/>
              <w:spacing w:before="0" w:after="283"/>
              <w:jc w:val="center"/>
              <w:rPr/>
            </w:pPr>
            <w:r>
              <w:rPr/>
              <w:t>Three Months Ended March 31,</w:t>
            </w:r>
          </w:p>
        </w:tc>
        <w:tc>
          <w:tcPr>
            <w:tcW w:w="257" w:type="dxa"/>
            <w:tcBorders/>
            <w:shd w:fill="auto" w:val="clear"/>
            <w:vAlign w:val="bottom"/>
          </w:tcPr>
          <w:p>
            <w:pPr>
              <w:pStyle w:val="TableContents"/>
              <w:spacing w:before="0" w:after="283"/>
              <w:rPr/>
            </w:pPr>
            <w:r>
              <w:rPr/>
              <w:t> </w:t>
            </w:r>
          </w:p>
        </w:tc>
      </w:tr>
      <w:tr>
        <w:trPr/>
        <w:tc>
          <w:tcPr>
            <w:tcW w:w="5699"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75" w:type="dxa"/>
            <w:gridSpan w:val="2"/>
            <w:tcBorders>
              <w:bottom w:val="single" w:sz="2" w:space="0" w:color="FFFFFF"/>
            </w:tcBorders>
            <w:shd w:fill="auto" w:val="clear"/>
            <w:tcMar>
              <w:bottom w:w="28" w:type="dxa"/>
            </w:tcMar>
            <w:vAlign w:val="bottom"/>
          </w:tcPr>
          <w:p>
            <w:pPr>
              <w:pStyle w:val="TableContents"/>
              <w:spacing w:before="0" w:after="283"/>
              <w:jc w:val="center"/>
              <w:rPr/>
            </w:pPr>
            <w:r>
              <w:rPr/>
              <w:t>2007</w:t>
            </w:r>
          </w:p>
        </w:tc>
        <w:tc>
          <w:tcPr>
            <w:tcW w:w="46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477" w:type="dxa"/>
            <w:gridSpan w:val="2"/>
            <w:tcBorders>
              <w:bottom w:val="single" w:sz="2" w:space="0" w:color="FFFFFF"/>
            </w:tcBorders>
            <w:shd w:fill="auto" w:val="clear"/>
            <w:tcMar>
              <w:bottom w:w="28" w:type="dxa"/>
            </w:tcMar>
            <w:vAlign w:val="bottom"/>
          </w:tcPr>
          <w:p>
            <w:pPr>
              <w:pStyle w:val="TableContents"/>
              <w:spacing w:before="0" w:after="283"/>
              <w:jc w:val="center"/>
              <w:rPr/>
            </w:pPr>
            <w:r>
              <w:rPr/>
              <w:t>2006</w:t>
            </w:r>
          </w:p>
        </w:tc>
        <w:tc>
          <w:tcPr>
            <w:tcW w:w="257" w:type="dxa"/>
            <w:tcBorders/>
            <w:shd w:fill="auto" w:val="clear"/>
            <w:vAlign w:val="bottom"/>
          </w:tcPr>
          <w:p>
            <w:pPr>
              <w:pStyle w:val="TableContents"/>
              <w:spacing w:before="0" w:after="283"/>
              <w:rPr/>
            </w:pPr>
            <w:r>
              <w:rPr/>
              <w:t> </w:t>
            </w:r>
          </w:p>
        </w:tc>
      </w:tr>
      <w:tr>
        <w:trPr/>
        <w:tc>
          <w:tcPr>
            <w:tcW w:w="5699"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4119"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5699"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3862" w:type="dxa"/>
            <w:gridSpan w:val="6"/>
            <w:tcBorders/>
            <w:shd w:fill="auto" w:val="clear"/>
            <w:vAlign w:val="bottom"/>
          </w:tcPr>
          <w:p>
            <w:pPr>
              <w:pStyle w:val="TableContents"/>
              <w:spacing w:before="0" w:after="283"/>
              <w:jc w:val="center"/>
              <w:rPr>
                <w:i/>
              </w:rPr>
            </w:pPr>
            <w:r>
              <w:rPr>
                <w:i/>
              </w:rPr>
              <w:t>(Dollars in thousands)</w:t>
            </w:r>
          </w:p>
        </w:tc>
        <w:tc>
          <w:tcPr>
            <w:tcW w:w="257" w:type="dxa"/>
            <w:tcBorders/>
            <w:shd w:fill="auto" w:val="clear"/>
            <w:vAlign w:val="bottom"/>
          </w:tcPr>
          <w:p>
            <w:pPr>
              <w:pStyle w:val="TableContents"/>
              <w:spacing w:before="0" w:after="283"/>
              <w:rPr/>
            </w:pPr>
            <w:r>
              <w:rPr/>
              <w:t> </w:t>
            </w:r>
          </w:p>
        </w:tc>
      </w:tr>
      <w:tr>
        <w:trPr/>
        <w:tc>
          <w:tcPr>
            <w:tcW w:w="5699"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r>
      <w:tr>
        <w:trPr/>
        <w:tc>
          <w:tcPr>
            <w:tcW w:w="5699" w:type="dxa"/>
            <w:tcBorders/>
            <w:shd w:fill="CCEEFF" w:val="clear"/>
            <w:vAlign w:val="bottom"/>
          </w:tcPr>
          <w:p>
            <w:pPr>
              <w:pStyle w:val="TableContents"/>
              <w:spacing w:before="0" w:after="0"/>
              <w:ind w:left="225" w:right="0" w:hanging="225"/>
              <w:rPr/>
            </w:pPr>
            <w:r>
              <w:rPr/>
              <w:t>Fee revenue</w:t>
            </w:r>
          </w:p>
        </w:tc>
        <w:tc>
          <w:tcPr>
            <w:tcW w:w="387"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left"/>
              <w:rPr/>
            </w:pPr>
            <w:r>
              <w:rPr/>
              <w:t>$</w:t>
            </w:r>
          </w:p>
        </w:tc>
        <w:tc>
          <w:tcPr>
            <w:tcW w:w="1149" w:type="dxa"/>
            <w:tcBorders/>
            <w:shd w:fill="CCEEFF" w:val="clear"/>
            <w:vAlign w:val="bottom"/>
          </w:tcPr>
          <w:p>
            <w:pPr>
              <w:pStyle w:val="TableContents"/>
              <w:spacing w:before="0" w:after="283"/>
              <w:jc w:val="right"/>
              <w:rPr/>
            </w:pPr>
            <w:r>
              <w:rPr/>
              <w:t>814</w:t>
            </w:r>
          </w:p>
        </w:tc>
        <w:tc>
          <w:tcPr>
            <w:tcW w:w="464"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left"/>
              <w:rPr/>
            </w:pPr>
            <w:r>
              <w:rPr/>
              <w:t>$</w:t>
            </w:r>
          </w:p>
        </w:tc>
        <w:tc>
          <w:tcPr>
            <w:tcW w:w="1151" w:type="dxa"/>
            <w:tcBorders/>
            <w:shd w:fill="CCEEFF" w:val="clear"/>
            <w:vAlign w:val="bottom"/>
          </w:tcPr>
          <w:p>
            <w:pPr>
              <w:pStyle w:val="TableContents"/>
              <w:spacing w:before="0" w:after="283"/>
              <w:jc w:val="right"/>
              <w:rPr/>
            </w:pPr>
            <w:r>
              <w:rPr/>
              <w:t>738</w:t>
            </w:r>
          </w:p>
        </w:tc>
        <w:tc>
          <w:tcPr>
            <w:tcW w:w="257" w:type="dxa"/>
            <w:tcBorders/>
            <w:shd w:fill="CCEEFF" w:val="clear"/>
            <w:vAlign w:val="bottom"/>
          </w:tcPr>
          <w:p>
            <w:pPr>
              <w:pStyle w:val="TableContents"/>
              <w:spacing w:before="0" w:after="283"/>
              <w:rPr/>
            </w:pPr>
            <w:r>
              <w:rPr/>
              <w:t> </w:t>
            </w:r>
          </w:p>
        </w:tc>
      </w:tr>
      <w:tr>
        <w:trPr/>
        <w:tc>
          <w:tcPr>
            <w:tcW w:w="5699" w:type="dxa"/>
            <w:tcBorders/>
            <w:shd w:fill="auto" w:val="clear"/>
            <w:vAlign w:val="bottom"/>
          </w:tcPr>
          <w:p>
            <w:pPr>
              <w:pStyle w:val="TableContents"/>
              <w:spacing w:before="0" w:after="0"/>
              <w:ind w:left="225" w:right="0" w:hanging="225"/>
              <w:rPr/>
            </w:pPr>
            <w:r>
              <w:rPr/>
              <w:t>Net bad debt</w:t>
            </w:r>
          </w:p>
        </w:tc>
        <w:tc>
          <w:tcPr>
            <w:tcW w:w="387"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153</w:t>
            </w:r>
          </w:p>
        </w:tc>
        <w:tc>
          <w:tcPr>
            <w:tcW w:w="46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180</w:t>
            </w:r>
          </w:p>
        </w:tc>
        <w:tc>
          <w:tcPr>
            <w:tcW w:w="257" w:type="dxa"/>
            <w:tcBorders/>
            <w:shd w:fill="auto" w:val="clear"/>
            <w:vAlign w:val="bottom"/>
          </w:tcPr>
          <w:p>
            <w:pPr>
              <w:pStyle w:val="TableContents"/>
              <w:spacing w:before="0" w:after="283"/>
              <w:rPr/>
            </w:pPr>
            <w:r>
              <w:rPr/>
              <w:t> </w:t>
            </w:r>
          </w:p>
        </w:tc>
      </w:tr>
      <w:tr>
        <w:trPr/>
        <w:tc>
          <w:tcPr>
            <w:tcW w:w="5699"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14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464"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 </w:t>
            </w:r>
          </w:p>
        </w:tc>
        <w:tc>
          <w:tcPr>
            <w:tcW w:w="14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7" w:type="dxa"/>
            <w:tcBorders/>
            <w:shd w:fill="auto" w:val="clear"/>
            <w:vAlign w:val="center"/>
          </w:tcPr>
          <w:p>
            <w:pPr>
              <w:pStyle w:val="TableContents"/>
              <w:spacing w:before="0" w:after="283"/>
              <w:rPr/>
            </w:pPr>
            <w:r>
              <w:rPr/>
              <w:t> </w:t>
            </w:r>
          </w:p>
        </w:tc>
      </w:tr>
      <w:tr>
        <w:trPr/>
        <w:tc>
          <w:tcPr>
            <w:tcW w:w="5699" w:type="dxa"/>
            <w:tcBorders/>
            <w:shd w:fill="CCEEFF" w:val="clear"/>
            <w:vAlign w:val="bottom"/>
          </w:tcPr>
          <w:p>
            <w:pPr>
              <w:pStyle w:val="TableContents"/>
              <w:spacing w:before="0" w:after="0"/>
              <w:ind w:left="450" w:right="0" w:hanging="225"/>
              <w:rPr/>
            </w:pPr>
            <w:r>
              <w:rPr/>
              <w:t>Fee revenue less bad debt</w:t>
            </w:r>
          </w:p>
        </w:tc>
        <w:tc>
          <w:tcPr>
            <w:tcW w:w="387"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left"/>
              <w:rPr/>
            </w:pPr>
            <w:r>
              <w:rPr/>
              <w:t>$</w:t>
            </w:r>
          </w:p>
        </w:tc>
        <w:tc>
          <w:tcPr>
            <w:tcW w:w="1149" w:type="dxa"/>
            <w:tcBorders/>
            <w:shd w:fill="CCEEFF" w:val="clear"/>
            <w:vAlign w:val="bottom"/>
          </w:tcPr>
          <w:p>
            <w:pPr>
              <w:pStyle w:val="TableContents"/>
              <w:spacing w:before="0" w:after="283"/>
              <w:jc w:val="right"/>
              <w:rPr/>
            </w:pPr>
            <w:r>
              <w:rPr/>
              <w:t>661</w:t>
            </w:r>
          </w:p>
        </w:tc>
        <w:tc>
          <w:tcPr>
            <w:tcW w:w="464"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left"/>
              <w:rPr/>
            </w:pPr>
            <w:r>
              <w:rPr/>
              <w:t>$</w:t>
            </w:r>
          </w:p>
        </w:tc>
        <w:tc>
          <w:tcPr>
            <w:tcW w:w="1151" w:type="dxa"/>
            <w:tcBorders/>
            <w:shd w:fill="CCEEFF" w:val="clear"/>
            <w:vAlign w:val="bottom"/>
          </w:tcPr>
          <w:p>
            <w:pPr>
              <w:pStyle w:val="TableContents"/>
              <w:spacing w:before="0" w:after="283"/>
              <w:jc w:val="right"/>
              <w:rPr/>
            </w:pPr>
            <w:r>
              <w:rPr/>
              <w:t>558</w:t>
            </w:r>
          </w:p>
        </w:tc>
        <w:tc>
          <w:tcPr>
            <w:tcW w:w="257" w:type="dxa"/>
            <w:tcBorders/>
            <w:shd w:fill="CCEEFF" w:val="clear"/>
            <w:vAlign w:val="bottom"/>
          </w:tcPr>
          <w:p>
            <w:pPr>
              <w:pStyle w:val="TableContents"/>
              <w:spacing w:before="0" w:after="283"/>
              <w:rPr/>
            </w:pPr>
            <w:r>
              <w:rPr/>
              <w:t> </w:t>
            </w:r>
          </w:p>
        </w:tc>
      </w:tr>
      <w:tr>
        <w:trPr/>
        <w:tc>
          <w:tcPr>
            <w:tcW w:w="5699"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14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464"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 </w:t>
            </w:r>
          </w:p>
        </w:tc>
        <w:tc>
          <w:tcPr>
            <w:tcW w:w="14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7" w:type="dxa"/>
            <w:tcBorders/>
            <w:shd w:fill="auto" w:val="clear"/>
            <w:vAlign w:val="center"/>
          </w:tcPr>
          <w:p>
            <w:pPr>
              <w:pStyle w:val="TableContents"/>
              <w:spacing w:before="0" w:after="283"/>
              <w:rPr/>
            </w:pPr>
            <w:r>
              <w:rPr/>
              <w:t> </w:t>
            </w:r>
          </w:p>
        </w:tc>
      </w:tr>
      <w:tr>
        <w:trPr/>
        <w:tc>
          <w:tcPr>
            <w:tcW w:w="5699" w:type="dxa"/>
            <w:tcBorders/>
            <w:shd w:fill="auto" w:val="clear"/>
            <w:vAlign w:val="bottom"/>
          </w:tcPr>
          <w:p>
            <w:pPr>
              <w:pStyle w:val="TableContents"/>
              <w:spacing w:before="0" w:after="0"/>
              <w:ind w:left="225" w:right="0" w:hanging="225"/>
              <w:rPr/>
            </w:pPr>
            <w:r>
              <w:rPr/>
              <w:t>Signature loan bad debt, as a percent of fee revenue</w:t>
            </w:r>
          </w:p>
        </w:tc>
        <w:tc>
          <w:tcPr>
            <w:tcW w:w="387"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jc w:val="left"/>
              <w:rPr/>
            </w:pPr>
            <w:r>
              <w:rPr/>
              <w:t> </w:t>
            </w:r>
          </w:p>
        </w:tc>
        <w:tc>
          <w:tcPr>
            <w:tcW w:w="1149" w:type="dxa"/>
            <w:tcBorders/>
            <w:shd w:fill="auto" w:val="clear"/>
            <w:vAlign w:val="bottom"/>
          </w:tcPr>
          <w:p>
            <w:pPr>
              <w:pStyle w:val="TableContents"/>
              <w:spacing w:before="0" w:after="283"/>
              <w:jc w:val="right"/>
              <w:rPr/>
            </w:pPr>
            <w:r>
              <w:rPr/>
              <w:t>18.8</w:t>
            </w:r>
          </w:p>
        </w:tc>
        <w:tc>
          <w:tcPr>
            <w:tcW w:w="464" w:type="dxa"/>
            <w:tcBorders/>
            <w:shd w:fill="auto" w:val="clear"/>
            <w:vAlign w:val="bottom"/>
          </w:tcPr>
          <w:p>
            <w:pPr>
              <w:pStyle w:val="TableContents"/>
              <w:spacing w:before="0" w:after="283"/>
              <w:rPr/>
            </w:pPr>
            <w:r>
              <w:rPr/>
              <w:t>%</w:t>
            </w:r>
          </w:p>
        </w:tc>
        <w:tc>
          <w:tcPr>
            <w:tcW w:w="44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jc w:val="left"/>
              <w:rPr/>
            </w:pPr>
            <w:r>
              <w:rPr/>
              <w:t> </w:t>
            </w:r>
          </w:p>
        </w:tc>
        <w:tc>
          <w:tcPr>
            <w:tcW w:w="1151" w:type="dxa"/>
            <w:tcBorders/>
            <w:shd w:fill="auto" w:val="clear"/>
            <w:vAlign w:val="bottom"/>
          </w:tcPr>
          <w:p>
            <w:pPr>
              <w:pStyle w:val="TableContents"/>
              <w:spacing w:before="0" w:after="283"/>
              <w:jc w:val="right"/>
              <w:rPr/>
            </w:pPr>
            <w:r>
              <w:rPr/>
              <w:t>24.4</w:t>
            </w:r>
          </w:p>
        </w:tc>
        <w:tc>
          <w:tcPr>
            <w:tcW w:w="257" w:type="dxa"/>
            <w:tcBorders/>
            <w:shd w:fill="auto"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signature loan contribution, or fee revenue less bad debt, increased $0.1 million, or 18% in the current quarter compared to the prior year quarter. A 10% increase in signature loan fee revenue, primarily due to higher average loan balances in existing stores, and an improvement in signature loan bad debt from 24.4% of fees in the prior year quarter to 18.8% in the current quarter make up the increase in signature loan contribution. Due to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favorable seasonal impact of income tax refunds on our ability to collect loans and bad debt, the March quarter generally has the lowest level of bad debt. For the last twelve months, the segment bad debt was 36.4% of fee revenues, compared to 40.2% for the twelve months ended March 31,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improved to 58% of net revenues ($21.6 million) in the current quarter from 61% of net revenues ($21.9 million) in the prior year quarter. Included in the current quarter are a $0.3 million reversal of a loss contingency, a $0.3 million reduction in health benefit claims, and a $0.2 million reduction in workers compensation expense.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$1.6 million greater net revenue from pawn activities, $0.1 million greater contribution from signature loans, and $0.3 million lower operations expenses resulted in a $2.0 million overall increase in store operating income from the EZPAWN Operations segment compared to the prior year quarter. For the quarter, EZPAWN Operations made up 62% of consolidated store operating income compared to 67% in the prior year quarter. The relative reduction is due to the more rapid growth in the EZMONEY Operations segment.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EZMONEY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EZMONEY Operations segment: </w:t>
      </w:r>
    </w:p>
    <w:tbl>
      <w:tblPr>
        <w:tblW w:w="5000" w:type="pct"/>
        <w:jc w:val="center"/>
        <w:tblInd w:w="0" w:type="dxa"/>
        <w:tblCellMar>
          <w:top w:w="0" w:type="dxa"/>
          <w:left w:w="0" w:type="dxa"/>
          <w:bottom w:w="0" w:type="dxa"/>
          <w:right w:w="0" w:type="dxa"/>
        </w:tblCellMar>
      </w:tblPr>
      <w:tblGrid>
        <w:gridCol w:w="5877"/>
        <w:gridCol w:w="391"/>
        <w:gridCol w:w="248"/>
        <w:gridCol w:w="1216"/>
        <w:gridCol w:w="344"/>
        <w:gridCol w:w="419"/>
        <w:gridCol w:w="248"/>
        <w:gridCol w:w="1216"/>
        <w:gridCol w:w="246"/>
      </w:tblGrid>
      <w:tr>
        <w:trPr/>
        <w:tc>
          <w:tcPr>
            <w:tcW w:w="5877"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691" w:type="dxa"/>
            <w:gridSpan w:val="6"/>
            <w:tcBorders/>
            <w:shd w:fill="auto" w:val="clear"/>
            <w:vAlign w:val="bottom"/>
          </w:tcPr>
          <w:p>
            <w:pPr>
              <w:pStyle w:val="TableContents"/>
              <w:spacing w:before="0" w:after="283"/>
              <w:jc w:val="center"/>
              <w:rPr/>
            </w:pPr>
            <w:r>
              <w:rPr/>
              <w:t>Three Months Ended March 31,</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46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344" w:type="dxa"/>
            <w:tcBorders>
              <w:bottom w:val="single" w:sz="2" w:space="0" w:color="000000"/>
            </w:tcBorders>
            <w:shd w:fill="auto" w:val="clear"/>
            <w:tcMar>
              <w:bottom w:w="28" w:type="dxa"/>
            </w:tcMar>
            <w:vAlign w:val="bottom"/>
          </w:tcPr>
          <w:p>
            <w:pPr>
              <w:pStyle w:val="TableContents"/>
              <w:spacing w:before="0" w:after="283"/>
              <w:rPr/>
            </w:pPr>
            <w:r>
              <w:rPr/>
              <w:t> </w:t>
            </w:r>
          </w:p>
        </w:tc>
        <w:tc>
          <w:tcPr>
            <w:tcW w:w="419" w:type="dxa"/>
            <w:tcBorders>
              <w:bottom w:val="single" w:sz="2" w:space="0" w:color="000000"/>
            </w:tcBorders>
            <w:shd w:fill="auto" w:val="clear"/>
            <w:tcMar>
              <w:bottom w:w="28" w:type="dxa"/>
            </w:tcMar>
            <w:vAlign w:val="bottom"/>
          </w:tcPr>
          <w:p>
            <w:pPr>
              <w:pStyle w:val="TableContents"/>
              <w:spacing w:before="0" w:after="283"/>
              <w:rPr/>
            </w:pPr>
            <w:r>
              <w:rPr/>
              <w:t> </w:t>
            </w:r>
          </w:p>
        </w:tc>
        <w:tc>
          <w:tcPr>
            <w:tcW w:w="146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691" w:type="dxa"/>
            <w:gridSpan w:val="6"/>
            <w:tcBorders/>
            <w:shd w:fill="auto" w:val="clear"/>
            <w:vAlign w:val="bottom"/>
          </w:tcPr>
          <w:p>
            <w:pPr>
              <w:pStyle w:val="TableContents"/>
              <w:spacing w:before="0" w:after="283"/>
              <w:jc w:val="center"/>
              <w:rPr>
                <w:i/>
              </w:rPr>
            </w:pPr>
            <w:r>
              <w:rPr>
                <w:i/>
              </w:rPr>
              <w:t>(Dollars in thousands)</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r>
      <w:tr>
        <w:trPr/>
        <w:tc>
          <w:tcPr>
            <w:tcW w:w="5877" w:type="dxa"/>
            <w:tcBorders/>
            <w:shd w:fill="CCEEFF" w:val="clear"/>
            <w:vAlign w:val="bottom"/>
          </w:tcPr>
          <w:p>
            <w:pPr>
              <w:pStyle w:val="TableContents"/>
              <w:spacing w:before="0" w:after="0"/>
              <w:ind w:left="450" w:right="0" w:hanging="225"/>
              <w:rPr/>
            </w:pPr>
            <w:r>
              <w:rPr/>
              <w:t>Credit service fees</w:t>
            </w:r>
          </w:p>
        </w:tc>
        <w:tc>
          <w:tcPr>
            <w:tcW w:w="39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w:t>
            </w:r>
          </w:p>
        </w:tc>
        <w:tc>
          <w:tcPr>
            <w:tcW w:w="1216" w:type="dxa"/>
            <w:tcBorders/>
            <w:shd w:fill="CCEEFF" w:val="clear"/>
            <w:vAlign w:val="bottom"/>
          </w:tcPr>
          <w:p>
            <w:pPr>
              <w:pStyle w:val="TableContents"/>
              <w:spacing w:before="0" w:after="283"/>
              <w:jc w:val="right"/>
              <w:rPr/>
            </w:pPr>
            <w:r>
              <w:rPr/>
              <w:t>19,540</w:t>
            </w:r>
          </w:p>
        </w:tc>
        <w:tc>
          <w:tcPr>
            <w:tcW w:w="344"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w:t>
            </w:r>
          </w:p>
        </w:tc>
        <w:tc>
          <w:tcPr>
            <w:tcW w:w="1216" w:type="dxa"/>
            <w:tcBorders/>
            <w:shd w:fill="CCEEFF" w:val="clear"/>
            <w:vAlign w:val="bottom"/>
          </w:tcPr>
          <w:p>
            <w:pPr>
              <w:pStyle w:val="TableContents"/>
              <w:spacing w:before="0" w:after="283"/>
              <w:jc w:val="right"/>
              <w:rPr/>
            </w:pPr>
            <w:r>
              <w:rPr/>
              <w:t>14,021</w:t>
            </w:r>
          </w:p>
        </w:tc>
        <w:tc>
          <w:tcPr>
            <w:tcW w:w="246" w:type="dxa"/>
            <w:tcBorders/>
            <w:shd w:fill="CCEEFF"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0"/>
              <w:ind w:left="450" w:right="0" w:hanging="225"/>
              <w:rPr/>
            </w:pPr>
            <w:r>
              <w:rPr/>
              <w:t>Payday loan fees</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2,359</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795</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4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4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6" w:type="dxa"/>
            <w:tcBorders/>
            <w:shd w:fill="auto" w:val="clear"/>
            <w:vAlign w:val="center"/>
          </w:tcPr>
          <w:p>
            <w:pPr>
              <w:pStyle w:val="TableContents"/>
              <w:spacing w:before="0" w:after="283"/>
              <w:rPr/>
            </w:pPr>
            <w:r>
              <w:rPr/>
              <w:t> </w:t>
            </w:r>
          </w:p>
        </w:tc>
      </w:tr>
      <w:tr>
        <w:trPr/>
        <w:tc>
          <w:tcPr>
            <w:tcW w:w="5877" w:type="dxa"/>
            <w:tcBorders/>
            <w:shd w:fill="CCEEFF" w:val="clear"/>
            <w:vAlign w:val="bottom"/>
          </w:tcPr>
          <w:p>
            <w:pPr>
              <w:pStyle w:val="TableContents"/>
              <w:spacing w:before="0" w:after="0"/>
              <w:ind w:left="675" w:right="0" w:hanging="225"/>
              <w:rPr/>
            </w:pPr>
            <w:r>
              <w:rPr/>
              <w:t>Total and net revenues</w:t>
            </w:r>
          </w:p>
        </w:tc>
        <w:tc>
          <w:tcPr>
            <w:tcW w:w="39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21,899</w:t>
            </w:r>
          </w:p>
        </w:tc>
        <w:tc>
          <w:tcPr>
            <w:tcW w:w="344"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14,816</w:t>
            </w:r>
          </w:p>
        </w:tc>
        <w:tc>
          <w:tcPr>
            <w:tcW w:w="246" w:type="dxa"/>
            <w:tcBorders/>
            <w:shd w:fill="CCEEFF"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0"/>
              <w:ind w:left="225" w:right="0" w:hanging="225"/>
              <w:rPr/>
            </w:pPr>
            <w:r>
              <w:rPr/>
              <w:t>Bad debt:</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r>
      <w:tr>
        <w:trPr/>
        <w:tc>
          <w:tcPr>
            <w:tcW w:w="5877" w:type="dxa"/>
            <w:tcBorders/>
            <w:shd w:fill="CCEEFF" w:val="clear"/>
            <w:vAlign w:val="bottom"/>
          </w:tcPr>
          <w:p>
            <w:pPr>
              <w:pStyle w:val="TableContents"/>
              <w:spacing w:before="0" w:after="0"/>
              <w:ind w:left="450" w:right="0" w:hanging="225"/>
              <w:rPr/>
            </w:pPr>
            <w:r>
              <w:rPr/>
              <w:t>Credit service bad debt</w:t>
            </w:r>
          </w:p>
        </w:tc>
        <w:tc>
          <w:tcPr>
            <w:tcW w:w="39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2,311</w:t>
            </w:r>
          </w:p>
        </w:tc>
        <w:tc>
          <w:tcPr>
            <w:tcW w:w="344"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1,750</w:t>
            </w:r>
          </w:p>
        </w:tc>
        <w:tc>
          <w:tcPr>
            <w:tcW w:w="246" w:type="dxa"/>
            <w:tcBorders/>
            <w:shd w:fill="CCEEFF"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0"/>
              <w:ind w:left="450" w:right="0" w:hanging="225"/>
              <w:rPr/>
            </w:pPr>
            <w:r>
              <w:rPr/>
              <w:t>Payday loan bad debt</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452</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227</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4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4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6" w:type="dxa"/>
            <w:tcBorders/>
            <w:shd w:fill="auto" w:val="clear"/>
            <w:vAlign w:val="center"/>
          </w:tcPr>
          <w:p>
            <w:pPr>
              <w:pStyle w:val="TableContents"/>
              <w:spacing w:before="0" w:after="283"/>
              <w:rPr/>
            </w:pPr>
            <w:r>
              <w:rPr/>
              <w:t> </w:t>
            </w:r>
          </w:p>
        </w:tc>
      </w:tr>
      <w:tr>
        <w:trPr/>
        <w:tc>
          <w:tcPr>
            <w:tcW w:w="5877" w:type="dxa"/>
            <w:tcBorders/>
            <w:shd w:fill="CCEEFF" w:val="clear"/>
            <w:vAlign w:val="bottom"/>
          </w:tcPr>
          <w:p>
            <w:pPr>
              <w:pStyle w:val="TableContents"/>
              <w:spacing w:before="0" w:after="0"/>
              <w:ind w:left="675" w:right="0" w:hanging="225"/>
              <w:rPr/>
            </w:pPr>
            <w:r>
              <w:rPr/>
              <w:t>Net bad debt</w:t>
            </w:r>
          </w:p>
        </w:tc>
        <w:tc>
          <w:tcPr>
            <w:tcW w:w="39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2,763</w:t>
            </w:r>
          </w:p>
        </w:tc>
        <w:tc>
          <w:tcPr>
            <w:tcW w:w="344"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1,977</w:t>
            </w:r>
          </w:p>
        </w:tc>
        <w:tc>
          <w:tcPr>
            <w:tcW w:w="246" w:type="dxa"/>
            <w:tcBorders/>
            <w:shd w:fill="CCEEFF" w:val="clear"/>
            <w:vAlign w:val="bottom"/>
          </w:tcPr>
          <w:p>
            <w:pPr>
              <w:pStyle w:val="TableContents"/>
              <w:spacing w:before="0" w:after="283"/>
              <w:rPr/>
            </w:pPr>
            <w:r>
              <w:rPr/>
              <w:t> </w:t>
            </w:r>
          </w:p>
        </w:tc>
      </w:tr>
      <w:tr>
        <w:trPr/>
        <w:tc>
          <w:tcPr>
            <w:tcW w:w="5877"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4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4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6" w:type="dxa"/>
            <w:tcBorders/>
            <w:shd w:fill="auto" w:val="clear"/>
            <w:vAlign w:val="center"/>
          </w:tcPr>
          <w:p>
            <w:pPr>
              <w:pStyle w:val="TableContents"/>
              <w:spacing w:before="0" w:after="283"/>
              <w:rPr/>
            </w:pPr>
            <w:r>
              <w:rPr/>
              <w:t> </w:t>
            </w:r>
          </w:p>
        </w:tc>
      </w:tr>
      <w:tr>
        <w:trPr/>
        <w:tc>
          <w:tcPr>
            <w:tcW w:w="5877" w:type="dxa"/>
            <w:tcBorders/>
            <w:shd w:fill="auto" w:val="clear"/>
            <w:vAlign w:val="bottom"/>
          </w:tcPr>
          <w:p>
            <w:pPr>
              <w:pStyle w:val="TableContents"/>
              <w:spacing w:before="0" w:after="0"/>
              <w:ind w:left="675" w:right="0" w:hanging="225"/>
              <w:rPr/>
            </w:pPr>
            <w:r>
              <w:rPr/>
              <w:t>Fee revenue less bad debt</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19,136</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12,839</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r>
      <w:tr>
        <w:trPr/>
        <w:tc>
          <w:tcPr>
            <w:tcW w:w="5877" w:type="dxa"/>
            <w:tcBorders/>
            <w:shd w:fill="CCEEFF" w:val="clear"/>
            <w:vAlign w:val="bottom"/>
          </w:tcPr>
          <w:p>
            <w:pPr>
              <w:pStyle w:val="TableContents"/>
              <w:spacing w:before="0" w:after="0"/>
              <w:ind w:left="450" w:right="0" w:hanging="225"/>
              <w:rPr/>
            </w:pPr>
            <w:r>
              <w:rPr/>
              <w:t>Operations expense</w:t>
            </w:r>
          </w:p>
        </w:tc>
        <w:tc>
          <w:tcPr>
            <w:tcW w:w="39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9,535</w:t>
            </w:r>
          </w:p>
        </w:tc>
        <w:tc>
          <w:tcPr>
            <w:tcW w:w="344"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6,138</w:t>
            </w:r>
          </w:p>
        </w:tc>
        <w:tc>
          <w:tcPr>
            <w:tcW w:w="246" w:type="dxa"/>
            <w:tcBorders/>
            <w:shd w:fill="CCEEFF" w:val="clear"/>
            <w:vAlign w:val="bottom"/>
          </w:tcPr>
          <w:p>
            <w:pPr>
              <w:pStyle w:val="TableContents"/>
              <w:spacing w:before="0" w:after="283"/>
              <w:rPr/>
            </w:pPr>
            <w:r>
              <w:rPr/>
              <w:t> </w:t>
            </w:r>
          </w:p>
        </w:tc>
      </w:tr>
      <w:tr>
        <w:trPr/>
        <w:tc>
          <w:tcPr>
            <w:tcW w:w="5877"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4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4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6" w:type="dxa"/>
            <w:tcBorders/>
            <w:shd w:fill="auto" w:val="clear"/>
            <w:vAlign w:val="center"/>
          </w:tcPr>
          <w:p>
            <w:pPr>
              <w:pStyle w:val="TableContents"/>
              <w:spacing w:before="0" w:after="283"/>
              <w:rPr/>
            </w:pPr>
            <w:r>
              <w:rPr/>
              <w:t> </w:t>
            </w:r>
          </w:p>
        </w:tc>
      </w:tr>
      <w:tr>
        <w:trPr/>
        <w:tc>
          <w:tcPr>
            <w:tcW w:w="5877" w:type="dxa"/>
            <w:tcBorders/>
            <w:shd w:fill="auto" w:val="clear"/>
            <w:vAlign w:val="bottom"/>
          </w:tcPr>
          <w:p>
            <w:pPr>
              <w:pStyle w:val="TableContents"/>
              <w:spacing w:before="0" w:after="0"/>
              <w:ind w:left="675" w:right="0" w:hanging="225"/>
              <w:rPr/>
            </w:pPr>
            <w:r>
              <w:rPr/>
              <w:t>Store operating income</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w:t>
            </w:r>
          </w:p>
        </w:tc>
        <w:tc>
          <w:tcPr>
            <w:tcW w:w="1216" w:type="dxa"/>
            <w:tcBorders/>
            <w:shd w:fill="auto" w:val="clear"/>
            <w:vAlign w:val="bottom"/>
          </w:tcPr>
          <w:p>
            <w:pPr>
              <w:pStyle w:val="TableContents"/>
              <w:spacing w:before="0" w:after="283"/>
              <w:jc w:val="right"/>
              <w:rPr/>
            </w:pPr>
            <w:r>
              <w:rPr/>
              <w:t>9,601</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w:t>
            </w:r>
          </w:p>
        </w:tc>
        <w:tc>
          <w:tcPr>
            <w:tcW w:w="1216" w:type="dxa"/>
            <w:tcBorders/>
            <w:shd w:fill="auto" w:val="clear"/>
            <w:vAlign w:val="bottom"/>
          </w:tcPr>
          <w:p>
            <w:pPr>
              <w:pStyle w:val="TableContents"/>
              <w:spacing w:before="0" w:after="283"/>
              <w:jc w:val="right"/>
              <w:rPr/>
            </w:pPr>
            <w:r>
              <w:rPr/>
              <w:t>6,701</w:t>
            </w:r>
          </w:p>
        </w:tc>
        <w:tc>
          <w:tcPr>
            <w:tcW w:w="246" w:type="dxa"/>
            <w:tcBorders/>
            <w:shd w:fill="auto" w:val="clear"/>
            <w:vAlign w:val="bottom"/>
          </w:tcPr>
          <w:p>
            <w:pPr>
              <w:pStyle w:val="TableContents"/>
              <w:spacing w:before="0" w:after="283"/>
              <w:rPr/>
            </w:pPr>
            <w:r>
              <w:rPr/>
              <w:t> </w:t>
            </w:r>
          </w:p>
        </w:tc>
      </w:tr>
      <w:tr>
        <w:trPr/>
        <w:tc>
          <w:tcPr>
            <w:tcW w:w="5877"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4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44"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4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6" w:type="dxa"/>
            <w:tcBorders/>
            <w:shd w:fill="auto" w:val="clear"/>
            <w:vAlign w:val="center"/>
          </w:tcPr>
          <w:p>
            <w:pPr>
              <w:pStyle w:val="TableContents"/>
              <w:spacing w:before="0" w:after="283"/>
              <w:rPr/>
            </w:pPr>
            <w:r>
              <w:rPr/>
              <w:t> </w:t>
            </w:r>
          </w:p>
        </w:tc>
      </w:tr>
      <w:tr>
        <w:trPr/>
        <w:tc>
          <w:tcPr>
            <w:tcW w:w="5877"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r>
      <w:tr>
        <w:trPr/>
        <w:tc>
          <w:tcPr>
            <w:tcW w:w="5877" w:type="dxa"/>
            <w:tcBorders/>
            <w:shd w:fill="CCEEFF" w:val="clear"/>
            <w:vAlign w:val="bottom"/>
          </w:tcPr>
          <w:p>
            <w:pPr>
              <w:pStyle w:val="TableContents"/>
              <w:spacing w:before="0" w:after="0"/>
              <w:ind w:left="225" w:right="0" w:hanging="225"/>
              <w:rPr/>
            </w:pPr>
            <w:r>
              <w:rPr/>
              <w:t>Other data:</w:t>
            </w:r>
          </w:p>
        </w:tc>
        <w:tc>
          <w:tcPr>
            <w:tcW w:w="39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r>
      <w:tr>
        <w:trPr/>
        <w:tc>
          <w:tcPr>
            <w:tcW w:w="5877" w:type="dxa"/>
            <w:tcBorders/>
            <w:shd w:fill="auto" w:val="clear"/>
            <w:vAlign w:val="bottom"/>
          </w:tcPr>
          <w:p>
            <w:pPr>
              <w:pStyle w:val="TableContents"/>
              <w:spacing w:before="0" w:after="0"/>
              <w:ind w:left="450" w:right="0" w:hanging="225"/>
              <w:rPr/>
            </w:pPr>
            <w:r>
              <w:rPr/>
              <w:t>Signature loan bad debt as a percent of signature loan fees</w:t>
            </w:r>
          </w:p>
        </w:tc>
        <w:tc>
          <w:tcPr>
            <w:tcW w:w="39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 </w:t>
            </w:r>
          </w:p>
        </w:tc>
        <w:tc>
          <w:tcPr>
            <w:tcW w:w="1216" w:type="dxa"/>
            <w:tcBorders/>
            <w:shd w:fill="auto" w:val="clear"/>
            <w:vAlign w:val="bottom"/>
          </w:tcPr>
          <w:p>
            <w:pPr>
              <w:pStyle w:val="TableContents"/>
              <w:spacing w:before="0" w:after="283"/>
              <w:jc w:val="right"/>
              <w:rPr/>
            </w:pPr>
            <w:r>
              <w:rPr/>
              <w:t>12.6</w:t>
            </w:r>
          </w:p>
        </w:tc>
        <w:tc>
          <w:tcPr>
            <w:tcW w:w="344" w:type="dxa"/>
            <w:tcBorders/>
            <w:shd w:fill="auto" w:val="clear"/>
            <w:vAlign w:val="bottom"/>
          </w:tcPr>
          <w:p>
            <w:pPr>
              <w:pStyle w:val="TableContents"/>
              <w:spacing w:before="0" w:after="283"/>
              <w:rPr/>
            </w:pPr>
            <w:r>
              <w:rPr/>
              <w:t>%</w:t>
            </w:r>
          </w:p>
        </w:tc>
        <w:tc>
          <w:tcPr>
            <w:tcW w:w="41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 </w:t>
            </w:r>
          </w:p>
        </w:tc>
        <w:tc>
          <w:tcPr>
            <w:tcW w:w="1216" w:type="dxa"/>
            <w:tcBorders/>
            <w:shd w:fill="auto" w:val="clear"/>
            <w:vAlign w:val="bottom"/>
          </w:tcPr>
          <w:p>
            <w:pPr>
              <w:pStyle w:val="TableContents"/>
              <w:spacing w:before="0" w:after="283"/>
              <w:jc w:val="right"/>
              <w:rPr/>
            </w:pPr>
            <w:r>
              <w:rPr/>
              <w:t>13.3</w:t>
            </w:r>
          </w:p>
        </w:tc>
        <w:tc>
          <w:tcPr>
            <w:tcW w:w="246" w:type="dxa"/>
            <w:tcBorders/>
            <w:shd w:fill="auto" w:val="clear"/>
            <w:vAlign w:val="bottom"/>
          </w:tcPr>
          <w:p>
            <w:pPr>
              <w:pStyle w:val="TableContents"/>
              <w:spacing w:before="0" w:after="283"/>
              <w:rPr/>
            </w:pPr>
            <w:r>
              <w:rPr/>
              <w:t>%</w:t>
            </w:r>
          </w:p>
        </w:tc>
      </w:tr>
      <w:tr>
        <w:trPr/>
        <w:tc>
          <w:tcPr>
            <w:tcW w:w="5877" w:type="dxa"/>
            <w:tcBorders/>
            <w:shd w:fill="CCEEFF" w:val="clear"/>
            <w:vAlign w:val="bottom"/>
          </w:tcPr>
          <w:p>
            <w:pPr>
              <w:pStyle w:val="TableContents"/>
              <w:spacing w:before="0" w:after="0"/>
              <w:ind w:left="450" w:right="0" w:hanging="225"/>
              <w:rPr/>
            </w:pPr>
            <w:r>
              <w:rPr/>
              <w:t>Average signature loan balance per store offering signature loans at quarter end (a)</w:t>
            </w:r>
          </w:p>
        </w:tc>
        <w:tc>
          <w:tcPr>
            <w:tcW w:w="39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w:t>
            </w:r>
          </w:p>
        </w:tc>
        <w:tc>
          <w:tcPr>
            <w:tcW w:w="1216" w:type="dxa"/>
            <w:tcBorders/>
            <w:shd w:fill="CCEEFF" w:val="clear"/>
            <w:vAlign w:val="bottom"/>
          </w:tcPr>
          <w:p>
            <w:pPr>
              <w:pStyle w:val="TableContents"/>
              <w:spacing w:before="0" w:after="283"/>
              <w:jc w:val="right"/>
              <w:rPr/>
            </w:pPr>
            <w:r>
              <w:rPr/>
              <w:t>53</w:t>
            </w:r>
          </w:p>
        </w:tc>
        <w:tc>
          <w:tcPr>
            <w:tcW w:w="344"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w:t>
            </w:r>
          </w:p>
        </w:tc>
        <w:tc>
          <w:tcPr>
            <w:tcW w:w="1216" w:type="dxa"/>
            <w:tcBorders/>
            <w:shd w:fill="CCEEFF" w:val="clear"/>
            <w:vAlign w:val="bottom"/>
          </w:tcPr>
          <w:p>
            <w:pPr>
              <w:pStyle w:val="TableContents"/>
              <w:spacing w:before="0" w:after="283"/>
              <w:jc w:val="right"/>
              <w:rPr/>
            </w:pPr>
            <w:r>
              <w:rPr/>
              <w:t>50</w:t>
            </w:r>
          </w:p>
        </w:tc>
        <w:tc>
          <w:tcPr>
            <w:tcW w:w="246"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(a)</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Signature loan balances include payday loans (net of valuation allowance) recorded on our balance sheet and the principal portion of active brokered loans outstanding from unaffiliated lenders, the balance of which is not included on our balance sheet.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signature loan contribution, or fees less bad debt, increased $6.3 million, or 49% compared to the prior year quarter. The primary cause of the increased contribution was the higher average loan balances at existing stores and the addition of new stores, resulting in a 48% current quarter increase in signature loan fee revenue. Although signature loan bad debt increased $0.8 million, it improved to 12.6% of related fees in the current quarter, compared to 13.3% in the prior year quarter due to improved underwriting and servicing on a larger portfolio. Due to the favorable seasonal impact of income tax refunds on our ability to collect loans and bad debt, the March quarter generally has the lowest level of bad debt. For the last twelve months, the segments bad debt was 22.8% of fee revenues, compared to 28.9% for the twelve months ended March 31,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$3.4 million in the current quarter to $9.5 million, or 44% of segment net revenues from 41% in the prior year quarter. The increase was mostly from additional labor, rent and other costs at new stores that have not yet matured. In the current quarter, operations expense was $27,700 per average store, compared to $25,000 in the prior year quarter. Stores adjoining an EZPAWN location, which generally have lower operating costs, now comprise a smaller percentage of the total EZMONEY stores.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$6.3 million increase in signature loan fees net of bad debt and $3.4 million greater operations expense resulted in a $2.9 million net increase in store operating income from the EZMONEY Operations segment. For the quarter, EZMONEY Operations made up 38% of consolidated store operating income compared to 33% in the prior year quarter. The relative increase is due to the more rapid growth in the EZMONEY Operations segment compared to the EZPAWN Operations segment.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Other Items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items discussed below affect our consolidated financial results, but are not allocated between segments.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Administrative expenses in the current quarter were $8.0 million compared to $6.7 million in the prior year quarter, an increase of 0.2 of a percentage point to 13.4% when measured as a percent of net revenue. The dollar increase was due primarily to a $0.6 million increase in stock compensation and a $0.3 million increase in administrative labor and benefits.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Depreciation and amortization expense was $2.4 million in the current quarter, compared to $2.1 million in the prior year quarter. Depreciation on assets placed in service, primarily related to new EZMONEY stores, exceeded the reduction from assets that became fully depreciated or were retired.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earned $0.6 million of interest income on our invested cash in the current quarter, for an annualized rate of return of 5.1%. In the comparable prior year quarter, we earned $0.1 million of interest income on a smaller amount of invested cash, yielding 3.6%.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Throughout the current and prior year quarters, we had no debt. Our $0.1 million interest expense in each period was mostly amortization of deferred financing costs and the commitment fee on our line of credit.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 income tax expense was $6.0 million (37.0% of pretax income) compared to $4.4 million (36.4% of pretax income) for the prior year quarter. The increase in effective tax rate between these periods is due primarily to a legislative change increasing our expected taxes in Texas.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operating income for the current quarter improved $3.3 million over the prior year quarter to $14.9 million. Contributing to this were the $2.0 million and $2.9 million increases in store operating income in our EZPAWN and EZMONEY Operations segments, partially offset by the $1.3 million increase in administrative expenses. After a $0.5 million improvement in net interest and a $1.6 million increase in income taxes and other smaller items, net income improved to $10.2 million in the current quarter from $7.7 million in the prior year quarter.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sz w:val="17"/>
          <w:u w:val="single"/>
        </w:rPr>
        <w:t>Six Months Ended March 31, 2007 vs. Six Months Ended March 31, 2006</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discussion compares our results of operations for the six months ended March 31, 2007 to the six months ended March 31, 2006. The discussion should be read with the accompanying financial statements and related notes.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EZPAWN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EZPAWN Operations segment: </w:t>
      </w:r>
    </w:p>
    <w:tbl>
      <w:tblPr>
        <w:tblW w:w="5000" w:type="pct"/>
        <w:jc w:val="center"/>
        <w:tblInd w:w="0" w:type="dxa"/>
        <w:tblCellMar>
          <w:top w:w="0" w:type="dxa"/>
          <w:left w:w="0" w:type="dxa"/>
          <w:bottom w:w="0" w:type="dxa"/>
          <w:right w:w="0" w:type="dxa"/>
        </w:tblCellMar>
      </w:tblPr>
      <w:tblGrid>
        <w:gridCol w:w="6155"/>
        <w:gridCol w:w="406"/>
        <w:gridCol w:w="208"/>
        <w:gridCol w:w="1143"/>
        <w:gridCol w:w="282"/>
        <w:gridCol w:w="419"/>
        <w:gridCol w:w="208"/>
        <w:gridCol w:w="1146"/>
        <w:gridCol w:w="238"/>
      </w:tblGrid>
      <w:tr>
        <w:trPr/>
        <w:tc>
          <w:tcPr>
            <w:tcW w:w="6155"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6155"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3406" w:type="dxa"/>
            <w:gridSpan w:val="6"/>
            <w:tcBorders/>
            <w:shd w:fill="auto" w:val="clear"/>
            <w:vAlign w:val="bottom"/>
          </w:tcPr>
          <w:p>
            <w:pPr>
              <w:pStyle w:val="TableContents"/>
              <w:spacing w:before="0" w:after="283"/>
              <w:jc w:val="center"/>
              <w:rPr/>
            </w:pPr>
            <w:r>
              <w:rPr/>
              <w:t>Six Months Ended March 31,</w:t>
            </w:r>
          </w:p>
        </w:tc>
        <w:tc>
          <w:tcPr>
            <w:tcW w:w="238" w:type="dxa"/>
            <w:tcBorders/>
            <w:shd w:fill="auto" w:val="clear"/>
            <w:vAlign w:val="bottom"/>
          </w:tcPr>
          <w:p>
            <w:pPr>
              <w:pStyle w:val="TableContents"/>
              <w:spacing w:before="0" w:after="283"/>
              <w:rPr/>
            </w:pPr>
            <w:r>
              <w:rPr/>
              <w:t> </w:t>
            </w:r>
          </w:p>
        </w:tc>
      </w:tr>
      <w:tr>
        <w:trPr/>
        <w:tc>
          <w:tcPr>
            <w:tcW w:w="6155"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3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282" w:type="dxa"/>
            <w:tcBorders>
              <w:bottom w:val="single" w:sz="2" w:space="0" w:color="000000"/>
            </w:tcBorders>
            <w:shd w:fill="auto" w:val="clear"/>
            <w:tcMar>
              <w:bottom w:w="28" w:type="dxa"/>
            </w:tcMar>
            <w:vAlign w:val="bottom"/>
          </w:tcPr>
          <w:p>
            <w:pPr>
              <w:pStyle w:val="TableContents"/>
              <w:spacing w:before="0" w:after="283"/>
              <w:rPr/>
            </w:pPr>
            <w:r>
              <w:rPr/>
              <w:t> </w:t>
            </w:r>
          </w:p>
        </w:tc>
        <w:tc>
          <w:tcPr>
            <w:tcW w:w="419" w:type="dxa"/>
            <w:tcBorders>
              <w:bottom w:val="single" w:sz="2" w:space="0" w:color="000000"/>
            </w:tcBorders>
            <w:shd w:fill="auto" w:val="clear"/>
            <w:tcMar>
              <w:bottom w:w="28" w:type="dxa"/>
            </w:tcMar>
            <w:vAlign w:val="bottom"/>
          </w:tcPr>
          <w:p>
            <w:pPr>
              <w:pStyle w:val="TableContents"/>
              <w:spacing w:before="0" w:after="283"/>
              <w:rPr/>
            </w:pPr>
            <w:r>
              <w:rPr/>
              <w:t> </w:t>
            </w:r>
          </w:p>
        </w:tc>
        <w:tc>
          <w:tcPr>
            <w:tcW w:w="135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38" w:type="dxa"/>
            <w:tcBorders/>
            <w:shd w:fill="auto" w:val="clear"/>
            <w:vAlign w:val="bottom"/>
          </w:tcPr>
          <w:p>
            <w:pPr>
              <w:pStyle w:val="TableContents"/>
              <w:spacing w:before="0" w:after="283"/>
              <w:rPr/>
            </w:pPr>
            <w:r>
              <w:rPr/>
              <w:t> </w:t>
            </w:r>
          </w:p>
        </w:tc>
      </w:tr>
      <w:tr>
        <w:trPr/>
        <w:tc>
          <w:tcPr>
            <w:tcW w:w="6155"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3406" w:type="dxa"/>
            <w:gridSpan w:val="6"/>
            <w:tcBorders/>
            <w:shd w:fill="auto" w:val="clear"/>
            <w:vAlign w:val="bottom"/>
          </w:tcPr>
          <w:p>
            <w:pPr>
              <w:pStyle w:val="TableContents"/>
              <w:spacing w:before="0" w:after="283"/>
              <w:jc w:val="center"/>
              <w:rPr>
                <w:i/>
              </w:rPr>
            </w:pPr>
            <w:r>
              <w:rPr>
                <w:i/>
              </w:rPr>
              <w:t>(Dollars in thousands)</w:t>
            </w:r>
          </w:p>
        </w:tc>
        <w:tc>
          <w:tcPr>
            <w:tcW w:w="238" w:type="dxa"/>
            <w:tcBorders/>
            <w:shd w:fill="auto" w:val="clear"/>
            <w:vAlign w:val="bottom"/>
          </w:tcPr>
          <w:p>
            <w:pPr>
              <w:pStyle w:val="TableContents"/>
              <w:spacing w:before="0" w:after="283"/>
              <w:rPr/>
            </w:pPr>
            <w:r>
              <w:rPr/>
              <w:t> </w:t>
            </w:r>
          </w:p>
        </w:tc>
      </w:tr>
      <w:tr>
        <w:trPr/>
        <w:tc>
          <w:tcPr>
            <w:tcW w:w="6155" w:type="dxa"/>
            <w:tcBorders/>
            <w:shd w:fill="auto" w:val="clear"/>
            <w:vAlign w:val="bottom"/>
          </w:tcPr>
          <w:p>
            <w:pPr>
              <w:pStyle w:val="TableContents"/>
              <w:spacing w:before="0" w:after="0"/>
              <w:ind w:left="225" w:right="0" w:hanging="225"/>
              <w:rPr/>
            </w:pPr>
            <w:r>
              <w:rPr/>
              <w:t> </w:t>
            </w:r>
          </w:p>
        </w:tc>
        <w:tc>
          <w:tcPr>
            <w:tcW w:w="40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6155" w:type="dxa"/>
            <w:tcBorders/>
            <w:shd w:fill="CCEEFF" w:val="clear"/>
            <w:vAlign w:val="bottom"/>
          </w:tcPr>
          <w:p>
            <w:pPr>
              <w:pStyle w:val="TableContents"/>
              <w:spacing w:before="0" w:after="0"/>
              <w:ind w:left="450" w:right="0" w:hanging="225"/>
              <w:rPr/>
            </w:pPr>
            <w:r>
              <w:rPr/>
              <w:t>Sales</w:t>
            </w:r>
          </w:p>
        </w:tc>
        <w:tc>
          <w:tcPr>
            <w:tcW w:w="40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w:t>
            </w:r>
          </w:p>
        </w:tc>
        <w:tc>
          <w:tcPr>
            <w:tcW w:w="1143" w:type="dxa"/>
            <w:tcBorders/>
            <w:shd w:fill="CCEEFF" w:val="clear"/>
            <w:vAlign w:val="bottom"/>
          </w:tcPr>
          <w:p>
            <w:pPr>
              <w:pStyle w:val="TableContents"/>
              <w:spacing w:before="0" w:after="283"/>
              <w:jc w:val="right"/>
              <w:rPr/>
            </w:pPr>
            <w:r>
              <w:rPr/>
              <w:t>99,012</w:t>
            </w:r>
          </w:p>
        </w:tc>
        <w:tc>
          <w:tcPr>
            <w:tcW w:w="282"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w:t>
            </w:r>
          </w:p>
        </w:tc>
        <w:tc>
          <w:tcPr>
            <w:tcW w:w="1146" w:type="dxa"/>
            <w:tcBorders/>
            <w:shd w:fill="CCEEFF" w:val="clear"/>
            <w:vAlign w:val="bottom"/>
          </w:tcPr>
          <w:p>
            <w:pPr>
              <w:pStyle w:val="TableContents"/>
              <w:spacing w:before="0" w:after="283"/>
              <w:jc w:val="right"/>
              <w:rPr/>
            </w:pPr>
            <w:r>
              <w:rPr/>
              <w:t>89,958</w:t>
            </w:r>
          </w:p>
        </w:tc>
        <w:tc>
          <w:tcPr>
            <w:tcW w:w="238" w:type="dxa"/>
            <w:tcBorders/>
            <w:shd w:fill="CCEEFF" w:val="clear"/>
            <w:vAlign w:val="bottom"/>
          </w:tcPr>
          <w:p>
            <w:pPr>
              <w:pStyle w:val="TableContents"/>
              <w:spacing w:before="0" w:after="283"/>
              <w:rPr/>
            </w:pPr>
            <w:r>
              <w:rPr/>
              <w:t> </w:t>
            </w:r>
          </w:p>
        </w:tc>
      </w:tr>
      <w:tr>
        <w:trPr/>
        <w:tc>
          <w:tcPr>
            <w:tcW w:w="6155" w:type="dxa"/>
            <w:tcBorders/>
            <w:shd w:fill="auto" w:val="clear"/>
            <w:vAlign w:val="bottom"/>
          </w:tcPr>
          <w:p>
            <w:pPr>
              <w:pStyle w:val="TableContents"/>
              <w:spacing w:before="0" w:after="0"/>
              <w:ind w:left="450" w:right="0" w:hanging="225"/>
              <w:rPr/>
            </w:pPr>
            <w:r>
              <w:rPr/>
              <w:t>Pawn service charges</w:t>
            </w:r>
          </w:p>
        </w:tc>
        <w:tc>
          <w:tcPr>
            <w:tcW w:w="40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34,518</w:t>
            </w:r>
          </w:p>
        </w:tc>
        <w:tc>
          <w:tcPr>
            <w:tcW w:w="282"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31,967</w:t>
            </w:r>
          </w:p>
        </w:tc>
        <w:tc>
          <w:tcPr>
            <w:tcW w:w="238" w:type="dxa"/>
            <w:tcBorders/>
            <w:shd w:fill="auto" w:val="clear"/>
            <w:vAlign w:val="bottom"/>
          </w:tcPr>
          <w:p>
            <w:pPr>
              <w:pStyle w:val="TableContents"/>
              <w:spacing w:before="0" w:after="283"/>
              <w:rPr/>
            </w:pPr>
            <w:r>
              <w:rPr/>
              <w:t> </w:t>
            </w:r>
          </w:p>
        </w:tc>
      </w:tr>
      <w:tr>
        <w:trPr/>
        <w:tc>
          <w:tcPr>
            <w:tcW w:w="6155" w:type="dxa"/>
            <w:tcBorders/>
            <w:shd w:fill="CCEEFF" w:val="clear"/>
            <w:vAlign w:val="bottom"/>
          </w:tcPr>
          <w:p>
            <w:pPr>
              <w:pStyle w:val="TableContents"/>
              <w:spacing w:before="0" w:after="0"/>
              <w:ind w:left="450" w:right="0" w:hanging="225"/>
              <w:rPr/>
            </w:pPr>
            <w:r>
              <w:rPr/>
              <w:t>Credit service fees</w:t>
            </w:r>
          </w:p>
        </w:tc>
        <w:tc>
          <w:tcPr>
            <w:tcW w:w="40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1,078</w:t>
            </w:r>
          </w:p>
        </w:tc>
        <w:tc>
          <w:tcPr>
            <w:tcW w:w="282"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652</w:t>
            </w:r>
          </w:p>
        </w:tc>
        <w:tc>
          <w:tcPr>
            <w:tcW w:w="238" w:type="dxa"/>
            <w:tcBorders/>
            <w:shd w:fill="CCEEFF" w:val="clear"/>
            <w:vAlign w:val="bottom"/>
          </w:tcPr>
          <w:p>
            <w:pPr>
              <w:pStyle w:val="TableContents"/>
              <w:spacing w:before="0" w:after="283"/>
              <w:rPr/>
            </w:pPr>
            <w:r>
              <w:rPr/>
              <w:t> </w:t>
            </w:r>
          </w:p>
        </w:tc>
      </w:tr>
      <w:tr>
        <w:trPr/>
        <w:tc>
          <w:tcPr>
            <w:tcW w:w="6155" w:type="dxa"/>
            <w:tcBorders/>
            <w:shd w:fill="auto" w:val="clear"/>
            <w:vAlign w:val="bottom"/>
          </w:tcPr>
          <w:p>
            <w:pPr>
              <w:pStyle w:val="TableContents"/>
              <w:spacing w:before="0" w:after="0"/>
              <w:ind w:left="450" w:right="0" w:hanging="225"/>
              <w:rPr/>
            </w:pPr>
            <w:r>
              <w:rPr/>
              <w:t>Payday loan fees</w:t>
            </w:r>
          </w:p>
        </w:tc>
        <w:tc>
          <w:tcPr>
            <w:tcW w:w="40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668</w:t>
            </w:r>
          </w:p>
        </w:tc>
        <w:tc>
          <w:tcPr>
            <w:tcW w:w="282"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749</w:t>
            </w:r>
          </w:p>
        </w:tc>
        <w:tc>
          <w:tcPr>
            <w:tcW w:w="238" w:type="dxa"/>
            <w:tcBorders/>
            <w:shd w:fill="auto" w:val="clear"/>
            <w:vAlign w:val="bottom"/>
          </w:tcPr>
          <w:p>
            <w:pPr>
              <w:pStyle w:val="TableContents"/>
              <w:spacing w:before="0" w:after="283"/>
              <w:rPr/>
            </w:pPr>
            <w:r>
              <w:rPr/>
              <w:t> </w:t>
            </w:r>
          </w:p>
        </w:tc>
      </w:tr>
      <w:tr>
        <w:trPr/>
        <w:tc>
          <w:tcPr>
            <w:tcW w:w="6155" w:type="dxa"/>
            <w:tcBorders/>
            <w:shd w:fill="CCEEFF" w:val="clear"/>
            <w:vAlign w:val="bottom"/>
          </w:tcPr>
          <w:p>
            <w:pPr>
              <w:pStyle w:val="TableContents"/>
              <w:spacing w:before="0" w:after="0"/>
              <w:ind w:left="450" w:right="0" w:hanging="225"/>
              <w:rPr/>
            </w:pPr>
            <w:r>
              <w:rPr/>
              <w:t>Other</w:t>
            </w:r>
          </w:p>
        </w:tc>
        <w:tc>
          <w:tcPr>
            <w:tcW w:w="40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692</w:t>
            </w:r>
          </w:p>
        </w:tc>
        <w:tc>
          <w:tcPr>
            <w:tcW w:w="282"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658</w:t>
            </w:r>
          </w:p>
        </w:tc>
        <w:tc>
          <w:tcPr>
            <w:tcW w:w="238" w:type="dxa"/>
            <w:tcBorders/>
            <w:shd w:fill="CCEEFF" w:val="clear"/>
            <w:vAlign w:val="bottom"/>
          </w:tcPr>
          <w:p>
            <w:pPr>
              <w:pStyle w:val="TableContents"/>
              <w:spacing w:before="0" w:after="283"/>
              <w:rPr/>
            </w:pPr>
            <w:r>
              <w:rPr/>
              <w:t> </w:t>
            </w:r>
          </w:p>
        </w:tc>
      </w:tr>
      <w:tr>
        <w:trPr/>
        <w:tc>
          <w:tcPr>
            <w:tcW w:w="6155" w:type="dxa"/>
            <w:tcBorders/>
            <w:shd w:fill="auto" w:val="clear"/>
            <w:vAlign w:val="center"/>
          </w:tcPr>
          <w:p>
            <w:pPr>
              <w:pStyle w:val="TableContents"/>
              <w:spacing w:before="0" w:after="0"/>
              <w:ind w:left="450" w:right="0" w:hanging="225"/>
              <w:rPr/>
            </w:pPr>
            <w:r>
              <w:rPr/>
              <w:t> </w:t>
            </w:r>
          </w:p>
        </w:tc>
        <w:tc>
          <w:tcPr>
            <w:tcW w:w="406" w:type="dxa"/>
            <w:tcBorders/>
            <w:shd w:fill="auto" w:val="clear"/>
            <w:vAlign w:val="center"/>
          </w:tcPr>
          <w:p>
            <w:pPr>
              <w:pStyle w:val="TableContents"/>
              <w:spacing w:before="0" w:after="283"/>
              <w:rPr/>
            </w:pPr>
            <w:r>
              <w:rPr/>
              <w:t> </w:t>
            </w:r>
          </w:p>
        </w:tc>
        <w:tc>
          <w:tcPr>
            <w:tcW w:w="13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2"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3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6155" w:type="dxa"/>
            <w:tcBorders/>
            <w:shd w:fill="auto" w:val="clear"/>
            <w:vAlign w:val="bottom"/>
          </w:tcPr>
          <w:p>
            <w:pPr>
              <w:pStyle w:val="TableContents"/>
              <w:spacing w:before="0" w:after="0"/>
              <w:ind w:left="675" w:right="0" w:hanging="225"/>
              <w:rPr/>
            </w:pPr>
            <w:r>
              <w:rPr/>
              <w:t>Total revenues</w:t>
            </w:r>
          </w:p>
        </w:tc>
        <w:tc>
          <w:tcPr>
            <w:tcW w:w="40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135,968</w:t>
            </w:r>
          </w:p>
        </w:tc>
        <w:tc>
          <w:tcPr>
            <w:tcW w:w="282"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123,984</w:t>
            </w:r>
          </w:p>
        </w:tc>
        <w:tc>
          <w:tcPr>
            <w:tcW w:w="238" w:type="dxa"/>
            <w:tcBorders/>
            <w:shd w:fill="auto" w:val="clear"/>
            <w:vAlign w:val="bottom"/>
          </w:tcPr>
          <w:p>
            <w:pPr>
              <w:pStyle w:val="TableContents"/>
              <w:spacing w:before="0" w:after="283"/>
              <w:rPr/>
            </w:pPr>
            <w:r>
              <w:rPr/>
              <w:t> </w:t>
            </w:r>
          </w:p>
        </w:tc>
      </w:tr>
      <w:tr>
        <w:trPr/>
        <w:tc>
          <w:tcPr>
            <w:tcW w:w="6155" w:type="dxa"/>
            <w:tcBorders/>
            <w:shd w:fill="CCEEFF" w:val="clear"/>
            <w:vAlign w:val="bottom"/>
          </w:tcPr>
          <w:p>
            <w:pPr>
              <w:pStyle w:val="TableContents"/>
              <w:spacing w:before="0" w:after="0"/>
              <w:ind w:left="450" w:right="0" w:hanging="225"/>
              <w:rPr/>
            </w:pPr>
            <w:r>
              <w:rPr/>
              <w:t>Cost of goods sold</w:t>
            </w:r>
          </w:p>
        </w:tc>
        <w:tc>
          <w:tcPr>
            <w:tcW w:w="40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60,197</w:t>
            </w:r>
          </w:p>
        </w:tc>
        <w:tc>
          <w:tcPr>
            <w:tcW w:w="282"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53,998</w:t>
            </w:r>
          </w:p>
        </w:tc>
        <w:tc>
          <w:tcPr>
            <w:tcW w:w="238" w:type="dxa"/>
            <w:tcBorders/>
            <w:shd w:fill="CCEEFF" w:val="clear"/>
            <w:vAlign w:val="bottom"/>
          </w:tcPr>
          <w:p>
            <w:pPr>
              <w:pStyle w:val="TableContents"/>
              <w:spacing w:before="0" w:after="283"/>
              <w:rPr/>
            </w:pPr>
            <w:r>
              <w:rPr/>
              <w:t> </w:t>
            </w:r>
          </w:p>
        </w:tc>
      </w:tr>
      <w:tr>
        <w:trPr/>
        <w:tc>
          <w:tcPr>
            <w:tcW w:w="6155" w:type="dxa"/>
            <w:tcBorders/>
            <w:shd w:fill="auto" w:val="clear"/>
            <w:vAlign w:val="center"/>
          </w:tcPr>
          <w:p>
            <w:pPr>
              <w:pStyle w:val="TableContents"/>
              <w:spacing w:before="0" w:after="0"/>
              <w:ind w:left="450" w:right="0" w:hanging="225"/>
              <w:rPr/>
            </w:pPr>
            <w:r>
              <w:rPr/>
              <w:t> </w:t>
            </w:r>
          </w:p>
        </w:tc>
        <w:tc>
          <w:tcPr>
            <w:tcW w:w="406" w:type="dxa"/>
            <w:tcBorders/>
            <w:shd w:fill="auto" w:val="clear"/>
            <w:vAlign w:val="center"/>
          </w:tcPr>
          <w:p>
            <w:pPr>
              <w:pStyle w:val="TableContents"/>
              <w:spacing w:before="0" w:after="283"/>
              <w:rPr/>
            </w:pPr>
            <w:r>
              <w:rPr/>
              <w:t> </w:t>
            </w:r>
          </w:p>
        </w:tc>
        <w:tc>
          <w:tcPr>
            <w:tcW w:w="13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2"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3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6155" w:type="dxa"/>
            <w:tcBorders/>
            <w:shd w:fill="auto" w:val="clear"/>
            <w:vAlign w:val="bottom"/>
          </w:tcPr>
          <w:p>
            <w:pPr>
              <w:pStyle w:val="TableContents"/>
              <w:spacing w:before="0" w:after="0"/>
              <w:ind w:left="675" w:right="0" w:hanging="225"/>
              <w:rPr/>
            </w:pPr>
            <w:r>
              <w:rPr/>
              <w:t>Net revenues</w:t>
            </w:r>
          </w:p>
        </w:tc>
        <w:tc>
          <w:tcPr>
            <w:tcW w:w="40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75,771</w:t>
            </w:r>
          </w:p>
        </w:tc>
        <w:tc>
          <w:tcPr>
            <w:tcW w:w="282"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69,986</w:t>
            </w:r>
          </w:p>
        </w:tc>
        <w:tc>
          <w:tcPr>
            <w:tcW w:w="238" w:type="dxa"/>
            <w:tcBorders/>
            <w:shd w:fill="auto" w:val="clear"/>
            <w:vAlign w:val="bottom"/>
          </w:tcPr>
          <w:p>
            <w:pPr>
              <w:pStyle w:val="TableContents"/>
              <w:spacing w:before="0" w:after="283"/>
              <w:rPr/>
            </w:pPr>
            <w:r>
              <w:rPr/>
              <w:t> </w:t>
            </w:r>
          </w:p>
        </w:tc>
      </w:tr>
      <w:tr>
        <w:trPr/>
        <w:tc>
          <w:tcPr>
            <w:tcW w:w="6155" w:type="dxa"/>
            <w:tcBorders/>
            <w:shd w:fill="CCEEFF" w:val="clear"/>
            <w:vAlign w:val="bottom"/>
          </w:tcPr>
          <w:p>
            <w:pPr>
              <w:pStyle w:val="TableContents"/>
              <w:spacing w:before="0" w:after="0"/>
              <w:ind w:left="225" w:right="0" w:hanging="225"/>
              <w:rPr/>
            </w:pPr>
            <w:r>
              <w:rPr/>
              <w:t>Operating expenses:</w:t>
            </w:r>
          </w:p>
        </w:tc>
        <w:tc>
          <w:tcPr>
            <w:tcW w:w="40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r>
      <w:tr>
        <w:trPr/>
        <w:tc>
          <w:tcPr>
            <w:tcW w:w="6155" w:type="dxa"/>
            <w:tcBorders/>
            <w:shd w:fill="auto" w:val="clear"/>
            <w:vAlign w:val="bottom"/>
          </w:tcPr>
          <w:p>
            <w:pPr>
              <w:pStyle w:val="TableContents"/>
              <w:spacing w:before="0" w:after="0"/>
              <w:ind w:left="450" w:right="0" w:hanging="225"/>
              <w:rPr/>
            </w:pPr>
            <w:r>
              <w:rPr/>
              <w:t>Operations expense</w:t>
            </w:r>
          </w:p>
        </w:tc>
        <w:tc>
          <w:tcPr>
            <w:tcW w:w="40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43,311</w:t>
            </w:r>
          </w:p>
        </w:tc>
        <w:tc>
          <w:tcPr>
            <w:tcW w:w="282"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42,656</w:t>
            </w:r>
          </w:p>
        </w:tc>
        <w:tc>
          <w:tcPr>
            <w:tcW w:w="238" w:type="dxa"/>
            <w:tcBorders/>
            <w:shd w:fill="auto" w:val="clear"/>
            <w:vAlign w:val="bottom"/>
          </w:tcPr>
          <w:p>
            <w:pPr>
              <w:pStyle w:val="TableContents"/>
              <w:spacing w:before="0" w:after="283"/>
              <w:rPr/>
            </w:pPr>
            <w:r>
              <w:rPr/>
              <w:t> </w:t>
            </w:r>
          </w:p>
        </w:tc>
      </w:tr>
      <w:tr>
        <w:trPr/>
        <w:tc>
          <w:tcPr>
            <w:tcW w:w="6155" w:type="dxa"/>
            <w:tcBorders/>
            <w:shd w:fill="CCEEFF" w:val="clear"/>
            <w:vAlign w:val="bottom"/>
          </w:tcPr>
          <w:p>
            <w:pPr>
              <w:pStyle w:val="TableContents"/>
              <w:spacing w:before="0" w:after="0"/>
              <w:ind w:left="450" w:right="0" w:hanging="225"/>
              <w:rPr/>
            </w:pPr>
            <w:r>
              <w:rPr/>
              <w:t>Credit service bad debt</w:t>
            </w:r>
          </w:p>
        </w:tc>
        <w:tc>
          <w:tcPr>
            <w:tcW w:w="40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294</w:t>
            </w:r>
          </w:p>
        </w:tc>
        <w:tc>
          <w:tcPr>
            <w:tcW w:w="282"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225</w:t>
            </w:r>
          </w:p>
        </w:tc>
        <w:tc>
          <w:tcPr>
            <w:tcW w:w="238" w:type="dxa"/>
            <w:tcBorders/>
            <w:shd w:fill="CCEEFF" w:val="clear"/>
            <w:vAlign w:val="bottom"/>
          </w:tcPr>
          <w:p>
            <w:pPr>
              <w:pStyle w:val="TableContents"/>
              <w:spacing w:before="0" w:after="283"/>
              <w:rPr/>
            </w:pPr>
            <w:r>
              <w:rPr/>
              <w:t> </w:t>
            </w:r>
          </w:p>
        </w:tc>
      </w:tr>
      <w:tr>
        <w:trPr/>
        <w:tc>
          <w:tcPr>
            <w:tcW w:w="6155" w:type="dxa"/>
            <w:tcBorders/>
            <w:shd w:fill="auto" w:val="clear"/>
            <w:vAlign w:val="bottom"/>
          </w:tcPr>
          <w:p>
            <w:pPr>
              <w:pStyle w:val="TableContents"/>
              <w:spacing w:before="0" w:after="0"/>
              <w:ind w:left="450" w:right="0" w:hanging="225"/>
              <w:rPr/>
            </w:pPr>
            <w:r>
              <w:rPr/>
              <w:t>Payday loan bad debt</w:t>
            </w:r>
          </w:p>
        </w:tc>
        <w:tc>
          <w:tcPr>
            <w:tcW w:w="40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206</w:t>
            </w:r>
          </w:p>
        </w:tc>
        <w:tc>
          <w:tcPr>
            <w:tcW w:w="282"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297</w:t>
            </w:r>
          </w:p>
        </w:tc>
        <w:tc>
          <w:tcPr>
            <w:tcW w:w="238" w:type="dxa"/>
            <w:tcBorders/>
            <w:shd w:fill="auto" w:val="clear"/>
            <w:vAlign w:val="bottom"/>
          </w:tcPr>
          <w:p>
            <w:pPr>
              <w:pStyle w:val="TableContents"/>
              <w:spacing w:before="0" w:after="283"/>
              <w:rPr/>
            </w:pPr>
            <w:r>
              <w:rPr/>
              <w:t> </w:t>
            </w:r>
          </w:p>
        </w:tc>
      </w:tr>
      <w:tr>
        <w:trPr/>
        <w:tc>
          <w:tcPr>
            <w:tcW w:w="6155" w:type="dxa"/>
            <w:tcBorders/>
            <w:shd w:fill="auto" w:val="clear"/>
            <w:vAlign w:val="center"/>
          </w:tcPr>
          <w:p>
            <w:pPr>
              <w:pStyle w:val="TableContents"/>
              <w:spacing w:before="0" w:after="0"/>
              <w:ind w:left="450" w:right="0" w:hanging="225"/>
              <w:rPr/>
            </w:pPr>
            <w:r>
              <w:rPr/>
              <w:t> </w:t>
            </w:r>
          </w:p>
        </w:tc>
        <w:tc>
          <w:tcPr>
            <w:tcW w:w="406" w:type="dxa"/>
            <w:tcBorders/>
            <w:shd w:fill="auto" w:val="clear"/>
            <w:vAlign w:val="center"/>
          </w:tcPr>
          <w:p>
            <w:pPr>
              <w:pStyle w:val="TableContents"/>
              <w:spacing w:before="0" w:after="283"/>
              <w:rPr/>
            </w:pPr>
            <w:r>
              <w:rPr/>
              <w:t> </w:t>
            </w:r>
          </w:p>
        </w:tc>
        <w:tc>
          <w:tcPr>
            <w:tcW w:w="13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2"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3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6155" w:type="dxa"/>
            <w:tcBorders/>
            <w:shd w:fill="CCEEFF" w:val="clear"/>
            <w:vAlign w:val="bottom"/>
          </w:tcPr>
          <w:p>
            <w:pPr>
              <w:pStyle w:val="TableContents"/>
              <w:spacing w:before="0" w:after="0"/>
              <w:ind w:left="675" w:right="0" w:hanging="225"/>
              <w:rPr/>
            </w:pPr>
            <w:r>
              <w:rPr/>
              <w:t>Total operating expenses</w:t>
            </w:r>
          </w:p>
        </w:tc>
        <w:tc>
          <w:tcPr>
            <w:tcW w:w="40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43,811</w:t>
            </w:r>
          </w:p>
        </w:tc>
        <w:tc>
          <w:tcPr>
            <w:tcW w:w="282"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43,178</w:t>
            </w:r>
          </w:p>
        </w:tc>
        <w:tc>
          <w:tcPr>
            <w:tcW w:w="238" w:type="dxa"/>
            <w:tcBorders/>
            <w:shd w:fill="CCEEFF" w:val="clear"/>
            <w:vAlign w:val="bottom"/>
          </w:tcPr>
          <w:p>
            <w:pPr>
              <w:pStyle w:val="TableContents"/>
              <w:spacing w:before="0" w:after="283"/>
              <w:rPr/>
            </w:pPr>
            <w:r>
              <w:rPr/>
              <w:t> </w:t>
            </w:r>
          </w:p>
        </w:tc>
      </w:tr>
      <w:tr>
        <w:trPr/>
        <w:tc>
          <w:tcPr>
            <w:tcW w:w="6155" w:type="dxa"/>
            <w:tcBorders/>
            <w:shd w:fill="auto" w:val="clear"/>
            <w:vAlign w:val="center"/>
          </w:tcPr>
          <w:p>
            <w:pPr>
              <w:pStyle w:val="TableContents"/>
              <w:spacing w:before="0" w:after="0"/>
              <w:ind w:left="450" w:right="0" w:hanging="225"/>
              <w:rPr/>
            </w:pPr>
            <w:r>
              <w:rPr/>
              <w:t> </w:t>
            </w:r>
          </w:p>
        </w:tc>
        <w:tc>
          <w:tcPr>
            <w:tcW w:w="406" w:type="dxa"/>
            <w:tcBorders/>
            <w:shd w:fill="auto" w:val="clear"/>
            <w:vAlign w:val="center"/>
          </w:tcPr>
          <w:p>
            <w:pPr>
              <w:pStyle w:val="TableContents"/>
              <w:spacing w:before="0" w:after="283"/>
              <w:rPr/>
            </w:pPr>
            <w:r>
              <w:rPr/>
              <w:t> </w:t>
            </w:r>
          </w:p>
        </w:tc>
        <w:tc>
          <w:tcPr>
            <w:tcW w:w="13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2"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3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6155" w:type="dxa"/>
            <w:tcBorders/>
            <w:shd w:fill="auto" w:val="clear"/>
            <w:vAlign w:val="bottom"/>
          </w:tcPr>
          <w:p>
            <w:pPr>
              <w:pStyle w:val="TableContents"/>
              <w:spacing w:before="0" w:after="0"/>
              <w:ind w:left="675" w:right="0" w:hanging="225"/>
              <w:rPr/>
            </w:pPr>
            <w:r>
              <w:rPr/>
              <w:t>Store operating income</w:t>
            </w:r>
          </w:p>
        </w:tc>
        <w:tc>
          <w:tcPr>
            <w:tcW w:w="40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w:t>
            </w:r>
          </w:p>
        </w:tc>
        <w:tc>
          <w:tcPr>
            <w:tcW w:w="1143" w:type="dxa"/>
            <w:tcBorders/>
            <w:shd w:fill="auto" w:val="clear"/>
            <w:vAlign w:val="bottom"/>
          </w:tcPr>
          <w:p>
            <w:pPr>
              <w:pStyle w:val="TableContents"/>
              <w:spacing w:before="0" w:after="283"/>
              <w:jc w:val="right"/>
              <w:rPr/>
            </w:pPr>
            <w:r>
              <w:rPr/>
              <w:t>31,960</w:t>
            </w:r>
          </w:p>
        </w:tc>
        <w:tc>
          <w:tcPr>
            <w:tcW w:w="282"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w:t>
            </w:r>
          </w:p>
        </w:tc>
        <w:tc>
          <w:tcPr>
            <w:tcW w:w="1146" w:type="dxa"/>
            <w:tcBorders/>
            <w:shd w:fill="auto" w:val="clear"/>
            <w:vAlign w:val="bottom"/>
          </w:tcPr>
          <w:p>
            <w:pPr>
              <w:pStyle w:val="TableContents"/>
              <w:spacing w:before="0" w:after="283"/>
              <w:jc w:val="right"/>
              <w:rPr/>
            </w:pPr>
            <w:r>
              <w:rPr/>
              <w:t>26,808</w:t>
            </w:r>
          </w:p>
        </w:tc>
        <w:tc>
          <w:tcPr>
            <w:tcW w:w="238" w:type="dxa"/>
            <w:tcBorders/>
            <w:shd w:fill="auto" w:val="clear"/>
            <w:vAlign w:val="bottom"/>
          </w:tcPr>
          <w:p>
            <w:pPr>
              <w:pStyle w:val="TableContents"/>
              <w:spacing w:before="0" w:after="283"/>
              <w:rPr/>
            </w:pPr>
            <w:r>
              <w:rPr/>
              <w:t> </w:t>
            </w:r>
          </w:p>
        </w:tc>
      </w:tr>
      <w:tr>
        <w:trPr/>
        <w:tc>
          <w:tcPr>
            <w:tcW w:w="6155" w:type="dxa"/>
            <w:tcBorders/>
            <w:shd w:fill="auto" w:val="clear"/>
            <w:vAlign w:val="center"/>
          </w:tcPr>
          <w:p>
            <w:pPr>
              <w:pStyle w:val="TableContents"/>
              <w:spacing w:before="0" w:after="0"/>
              <w:ind w:left="450" w:right="0" w:hanging="225"/>
              <w:rPr/>
            </w:pPr>
            <w:r>
              <w:rPr/>
              <w:t> </w:t>
            </w:r>
          </w:p>
        </w:tc>
        <w:tc>
          <w:tcPr>
            <w:tcW w:w="406" w:type="dxa"/>
            <w:tcBorders/>
            <w:shd w:fill="auto" w:val="clear"/>
            <w:vAlign w:val="center"/>
          </w:tcPr>
          <w:p>
            <w:pPr>
              <w:pStyle w:val="TableContents"/>
              <w:spacing w:before="0" w:after="283"/>
              <w:rPr/>
            </w:pPr>
            <w:r>
              <w:rPr/>
              <w:t> </w:t>
            </w:r>
          </w:p>
        </w:tc>
        <w:tc>
          <w:tcPr>
            <w:tcW w:w="13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82"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3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6155" w:type="dxa"/>
            <w:tcBorders/>
            <w:shd w:fill="CCEEFF" w:val="clear"/>
            <w:vAlign w:val="bottom"/>
          </w:tcPr>
          <w:p>
            <w:pPr>
              <w:pStyle w:val="TableContents"/>
              <w:spacing w:before="0" w:after="0"/>
              <w:ind w:left="225" w:right="0" w:hanging="225"/>
              <w:rPr/>
            </w:pPr>
            <w:r>
              <w:rPr/>
              <w:t>Other data:</w:t>
            </w:r>
          </w:p>
        </w:tc>
        <w:tc>
          <w:tcPr>
            <w:tcW w:w="40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r>
      <w:tr>
        <w:trPr/>
        <w:tc>
          <w:tcPr>
            <w:tcW w:w="6155" w:type="dxa"/>
            <w:tcBorders/>
            <w:shd w:fill="auto" w:val="clear"/>
            <w:vAlign w:val="bottom"/>
          </w:tcPr>
          <w:p>
            <w:pPr>
              <w:pStyle w:val="TableContents"/>
              <w:spacing w:before="0" w:after="0"/>
              <w:ind w:left="450" w:right="0" w:hanging="225"/>
              <w:rPr/>
            </w:pPr>
            <w:r>
              <w:rPr/>
              <w:t>Gross margin on sales</w:t>
            </w:r>
          </w:p>
        </w:tc>
        <w:tc>
          <w:tcPr>
            <w:tcW w:w="40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1143" w:type="dxa"/>
            <w:tcBorders/>
            <w:shd w:fill="auto" w:val="clear"/>
            <w:vAlign w:val="bottom"/>
          </w:tcPr>
          <w:p>
            <w:pPr>
              <w:pStyle w:val="TableContents"/>
              <w:spacing w:before="0" w:after="283"/>
              <w:jc w:val="right"/>
              <w:rPr/>
            </w:pPr>
            <w:r>
              <w:rPr/>
              <w:t>39</w:t>
            </w:r>
          </w:p>
        </w:tc>
        <w:tc>
          <w:tcPr>
            <w:tcW w:w="282" w:type="dxa"/>
            <w:tcBorders/>
            <w:shd w:fill="auto" w:val="clear"/>
            <w:vAlign w:val="bottom"/>
          </w:tcPr>
          <w:p>
            <w:pPr>
              <w:pStyle w:val="TableContents"/>
              <w:spacing w:before="0" w:after="283"/>
              <w:rPr/>
            </w:pPr>
            <w:r>
              <w:rPr/>
              <w:t>%</w:t>
            </w:r>
          </w:p>
        </w:tc>
        <w:tc>
          <w:tcPr>
            <w:tcW w:w="41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1146" w:type="dxa"/>
            <w:tcBorders/>
            <w:shd w:fill="auto" w:val="clear"/>
            <w:vAlign w:val="bottom"/>
          </w:tcPr>
          <w:p>
            <w:pPr>
              <w:pStyle w:val="TableContents"/>
              <w:spacing w:before="0" w:after="283"/>
              <w:jc w:val="right"/>
              <w:rPr/>
            </w:pPr>
            <w:r>
              <w:rPr/>
              <w:t>40</w:t>
            </w:r>
          </w:p>
        </w:tc>
        <w:tc>
          <w:tcPr>
            <w:tcW w:w="238" w:type="dxa"/>
            <w:tcBorders/>
            <w:shd w:fill="auto" w:val="clear"/>
            <w:vAlign w:val="bottom"/>
          </w:tcPr>
          <w:p>
            <w:pPr>
              <w:pStyle w:val="TableContents"/>
              <w:spacing w:before="0" w:after="283"/>
              <w:rPr/>
            </w:pPr>
            <w:r>
              <w:rPr/>
              <w:t>%</w:t>
            </w:r>
          </w:p>
        </w:tc>
      </w:tr>
      <w:tr>
        <w:trPr/>
        <w:tc>
          <w:tcPr>
            <w:tcW w:w="6155" w:type="dxa"/>
            <w:tcBorders/>
            <w:shd w:fill="CCEEFF" w:val="clear"/>
            <w:vAlign w:val="bottom"/>
          </w:tcPr>
          <w:p>
            <w:pPr>
              <w:pStyle w:val="TableContents"/>
              <w:spacing w:before="0" w:after="0"/>
              <w:ind w:left="450" w:right="0" w:hanging="225"/>
              <w:rPr/>
            </w:pPr>
            <w:r>
              <w:rPr/>
              <w:t>Annualized inventory turnover</w:t>
            </w:r>
          </w:p>
        </w:tc>
        <w:tc>
          <w:tcPr>
            <w:tcW w:w="40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1143" w:type="dxa"/>
            <w:tcBorders/>
            <w:shd w:fill="CCEEFF" w:val="clear"/>
            <w:vAlign w:val="bottom"/>
          </w:tcPr>
          <w:p>
            <w:pPr>
              <w:pStyle w:val="TableContents"/>
              <w:spacing w:before="0" w:after="283"/>
              <w:jc w:val="right"/>
              <w:rPr/>
            </w:pPr>
            <w:r>
              <w:rPr/>
              <w:t>3.5</w:t>
            </w:r>
          </w:p>
        </w:tc>
        <w:tc>
          <w:tcPr>
            <w:tcW w:w="282" w:type="dxa"/>
            <w:tcBorders/>
            <w:shd w:fill="CCEEFF" w:val="clear"/>
            <w:vAlign w:val="bottom"/>
          </w:tcPr>
          <w:p>
            <w:pPr>
              <w:pStyle w:val="TableContents"/>
              <w:spacing w:before="0" w:after="283"/>
              <w:rPr/>
            </w:pPr>
            <w:r>
              <w:rPr/>
              <w:t>x</w:t>
            </w:r>
          </w:p>
        </w:tc>
        <w:tc>
          <w:tcPr>
            <w:tcW w:w="419"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1146" w:type="dxa"/>
            <w:tcBorders/>
            <w:shd w:fill="CCEEFF" w:val="clear"/>
            <w:vAlign w:val="bottom"/>
          </w:tcPr>
          <w:p>
            <w:pPr>
              <w:pStyle w:val="TableContents"/>
              <w:spacing w:before="0" w:after="283"/>
              <w:jc w:val="right"/>
              <w:rPr/>
            </w:pPr>
            <w:r>
              <w:rPr/>
              <w:t>3.3</w:t>
            </w:r>
          </w:p>
        </w:tc>
        <w:tc>
          <w:tcPr>
            <w:tcW w:w="238" w:type="dxa"/>
            <w:tcBorders/>
            <w:shd w:fill="CCEEFF" w:val="clear"/>
            <w:vAlign w:val="bottom"/>
          </w:tcPr>
          <w:p>
            <w:pPr>
              <w:pStyle w:val="TableContents"/>
              <w:spacing w:before="0" w:after="283"/>
              <w:rPr/>
            </w:pPr>
            <w:r>
              <w:rPr/>
              <w:t>x</w:t>
            </w:r>
          </w:p>
        </w:tc>
      </w:tr>
      <w:tr>
        <w:trPr/>
        <w:tc>
          <w:tcPr>
            <w:tcW w:w="6155" w:type="dxa"/>
            <w:tcBorders/>
            <w:shd w:fill="auto" w:val="clear"/>
            <w:vAlign w:val="bottom"/>
          </w:tcPr>
          <w:p>
            <w:pPr>
              <w:pStyle w:val="TableContents"/>
              <w:spacing w:before="0" w:after="0"/>
              <w:ind w:left="450" w:right="0" w:hanging="225"/>
              <w:rPr/>
            </w:pPr>
            <w:r>
              <w:rPr/>
              <w:t>Average pawn loan balance per pawn store at quarter end</w:t>
            </w:r>
          </w:p>
        </w:tc>
        <w:tc>
          <w:tcPr>
            <w:tcW w:w="40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w:t>
            </w:r>
          </w:p>
        </w:tc>
        <w:tc>
          <w:tcPr>
            <w:tcW w:w="1143" w:type="dxa"/>
            <w:tcBorders/>
            <w:shd w:fill="auto" w:val="clear"/>
            <w:vAlign w:val="bottom"/>
          </w:tcPr>
          <w:p>
            <w:pPr>
              <w:pStyle w:val="TableContents"/>
              <w:spacing w:before="0" w:after="283"/>
              <w:jc w:val="right"/>
              <w:rPr/>
            </w:pPr>
            <w:r>
              <w:rPr/>
              <w:t>153</w:t>
            </w:r>
          </w:p>
        </w:tc>
        <w:tc>
          <w:tcPr>
            <w:tcW w:w="282"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w:t>
            </w:r>
          </w:p>
        </w:tc>
        <w:tc>
          <w:tcPr>
            <w:tcW w:w="1146" w:type="dxa"/>
            <w:tcBorders/>
            <w:shd w:fill="auto" w:val="clear"/>
            <w:vAlign w:val="bottom"/>
          </w:tcPr>
          <w:p>
            <w:pPr>
              <w:pStyle w:val="TableContents"/>
              <w:spacing w:before="0" w:after="283"/>
              <w:jc w:val="right"/>
              <w:rPr/>
            </w:pPr>
            <w:r>
              <w:rPr/>
              <w:t>139</w:t>
            </w:r>
          </w:p>
        </w:tc>
        <w:tc>
          <w:tcPr>
            <w:tcW w:w="238" w:type="dxa"/>
            <w:tcBorders/>
            <w:shd w:fill="auto" w:val="clear"/>
            <w:vAlign w:val="bottom"/>
          </w:tcPr>
          <w:p>
            <w:pPr>
              <w:pStyle w:val="TableContents"/>
              <w:spacing w:before="0" w:after="283"/>
              <w:rPr/>
            </w:pPr>
            <w:r>
              <w:rPr/>
              <w:t> </w:t>
            </w:r>
          </w:p>
        </w:tc>
      </w:tr>
      <w:tr>
        <w:trPr/>
        <w:tc>
          <w:tcPr>
            <w:tcW w:w="6155" w:type="dxa"/>
            <w:tcBorders/>
            <w:shd w:fill="CCEEFF" w:val="clear"/>
            <w:vAlign w:val="bottom"/>
          </w:tcPr>
          <w:p>
            <w:pPr>
              <w:pStyle w:val="TableContents"/>
              <w:spacing w:before="0" w:after="0"/>
              <w:ind w:left="450" w:right="0" w:hanging="225"/>
              <w:rPr/>
            </w:pPr>
            <w:r>
              <w:rPr/>
              <w:t>Average inventory per pawn store at quarter end</w:t>
            </w:r>
          </w:p>
        </w:tc>
        <w:tc>
          <w:tcPr>
            <w:tcW w:w="40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w:t>
            </w:r>
          </w:p>
        </w:tc>
        <w:tc>
          <w:tcPr>
            <w:tcW w:w="1143" w:type="dxa"/>
            <w:tcBorders/>
            <w:shd w:fill="CCEEFF" w:val="clear"/>
            <w:vAlign w:val="bottom"/>
          </w:tcPr>
          <w:p>
            <w:pPr>
              <w:pStyle w:val="TableContents"/>
              <w:spacing w:before="0" w:after="283"/>
              <w:jc w:val="right"/>
              <w:rPr/>
            </w:pPr>
            <w:r>
              <w:rPr/>
              <w:t>102</w:t>
            </w:r>
          </w:p>
        </w:tc>
        <w:tc>
          <w:tcPr>
            <w:tcW w:w="282"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w:t>
            </w:r>
          </w:p>
        </w:tc>
        <w:tc>
          <w:tcPr>
            <w:tcW w:w="1146" w:type="dxa"/>
            <w:tcBorders/>
            <w:shd w:fill="CCEEFF" w:val="clear"/>
            <w:vAlign w:val="bottom"/>
          </w:tcPr>
          <w:p>
            <w:pPr>
              <w:pStyle w:val="TableContents"/>
              <w:spacing w:before="0" w:after="283"/>
              <w:jc w:val="right"/>
              <w:rPr/>
            </w:pPr>
            <w:r>
              <w:rPr/>
              <w:t>109</w:t>
            </w:r>
          </w:p>
        </w:tc>
        <w:tc>
          <w:tcPr>
            <w:tcW w:w="238" w:type="dxa"/>
            <w:tcBorders/>
            <w:shd w:fill="CCEEFF" w:val="clear"/>
            <w:vAlign w:val="bottom"/>
          </w:tcPr>
          <w:p>
            <w:pPr>
              <w:pStyle w:val="TableContents"/>
              <w:spacing w:before="0" w:after="283"/>
              <w:rPr/>
            </w:pPr>
            <w:r>
              <w:rPr/>
              <w:t> </w:t>
            </w:r>
          </w:p>
        </w:tc>
      </w:tr>
      <w:tr>
        <w:trPr/>
        <w:tc>
          <w:tcPr>
            <w:tcW w:w="6155" w:type="dxa"/>
            <w:tcBorders/>
            <w:shd w:fill="auto" w:val="clear"/>
            <w:vAlign w:val="bottom"/>
          </w:tcPr>
          <w:p>
            <w:pPr>
              <w:pStyle w:val="TableContents"/>
              <w:spacing w:before="0" w:after="0"/>
              <w:ind w:left="450" w:right="0" w:hanging="225"/>
              <w:rPr/>
            </w:pPr>
            <w:r>
              <w:rPr/>
              <w:t>Average yield on pawn loan portfolio</w:t>
            </w:r>
          </w:p>
        </w:tc>
        <w:tc>
          <w:tcPr>
            <w:tcW w:w="40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1143" w:type="dxa"/>
            <w:tcBorders/>
            <w:shd w:fill="auto" w:val="clear"/>
            <w:vAlign w:val="bottom"/>
          </w:tcPr>
          <w:p>
            <w:pPr>
              <w:pStyle w:val="TableContents"/>
              <w:spacing w:before="0" w:after="283"/>
              <w:jc w:val="right"/>
              <w:rPr/>
            </w:pPr>
            <w:r>
              <w:rPr/>
              <w:t>148</w:t>
            </w:r>
          </w:p>
        </w:tc>
        <w:tc>
          <w:tcPr>
            <w:tcW w:w="282" w:type="dxa"/>
            <w:tcBorders/>
            <w:shd w:fill="auto" w:val="clear"/>
            <w:vAlign w:val="bottom"/>
          </w:tcPr>
          <w:p>
            <w:pPr>
              <w:pStyle w:val="TableContents"/>
              <w:spacing w:before="0" w:after="283"/>
              <w:rPr/>
            </w:pPr>
            <w:r>
              <w:rPr/>
              <w:t>%</w:t>
            </w:r>
          </w:p>
        </w:tc>
        <w:tc>
          <w:tcPr>
            <w:tcW w:w="41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 </w:t>
            </w:r>
          </w:p>
        </w:tc>
        <w:tc>
          <w:tcPr>
            <w:tcW w:w="1146" w:type="dxa"/>
            <w:tcBorders/>
            <w:shd w:fill="auto" w:val="clear"/>
            <w:vAlign w:val="bottom"/>
          </w:tcPr>
          <w:p>
            <w:pPr>
              <w:pStyle w:val="TableContents"/>
              <w:spacing w:before="0" w:after="283"/>
              <w:jc w:val="right"/>
              <w:rPr/>
            </w:pPr>
            <w:r>
              <w:rPr/>
              <w:t>140</w:t>
            </w:r>
          </w:p>
        </w:tc>
        <w:tc>
          <w:tcPr>
            <w:tcW w:w="238" w:type="dxa"/>
            <w:tcBorders/>
            <w:shd w:fill="auto" w:val="clear"/>
            <w:vAlign w:val="bottom"/>
          </w:tcPr>
          <w:p>
            <w:pPr>
              <w:pStyle w:val="TableContents"/>
              <w:spacing w:before="0" w:after="283"/>
              <w:rPr/>
            </w:pPr>
            <w:r>
              <w:rPr/>
              <w:t>%</w:t>
            </w:r>
          </w:p>
        </w:tc>
      </w:tr>
      <w:tr>
        <w:trPr/>
        <w:tc>
          <w:tcPr>
            <w:tcW w:w="6155" w:type="dxa"/>
            <w:tcBorders/>
            <w:shd w:fill="CCEEFF" w:val="clear"/>
            <w:vAlign w:val="bottom"/>
          </w:tcPr>
          <w:p>
            <w:pPr>
              <w:pStyle w:val="TableContents"/>
              <w:spacing w:before="0" w:after="0"/>
              <w:ind w:left="450" w:right="0" w:hanging="225"/>
              <w:rPr/>
            </w:pPr>
            <w:r>
              <w:rPr/>
              <w:t>Pawn loan redemption rate</w:t>
            </w:r>
          </w:p>
        </w:tc>
        <w:tc>
          <w:tcPr>
            <w:tcW w:w="40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1143" w:type="dxa"/>
            <w:tcBorders/>
            <w:shd w:fill="CCEEFF" w:val="clear"/>
            <w:vAlign w:val="bottom"/>
          </w:tcPr>
          <w:p>
            <w:pPr>
              <w:pStyle w:val="TableContents"/>
              <w:spacing w:before="0" w:after="283"/>
              <w:jc w:val="right"/>
              <w:rPr/>
            </w:pPr>
            <w:r>
              <w:rPr/>
              <w:t>78</w:t>
            </w:r>
          </w:p>
        </w:tc>
        <w:tc>
          <w:tcPr>
            <w:tcW w:w="282" w:type="dxa"/>
            <w:tcBorders/>
            <w:shd w:fill="CCEEFF" w:val="clear"/>
            <w:vAlign w:val="bottom"/>
          </w:tcPr>
          <w:p>
            <w:pPr>
              <w:pStyle w:val="TableContents"/>
              <w:spacing w:before="0" w:after="283"/>
              <w:rPr/>
            </w:pPr>
            <w:r>
              <w:rPr/>
              <w:t>%</w:t>
            </w:r>
          </w:p>
        </w:tc>
        <w:tc>
          <w:tcPr>
            <w:tcW w:w="419"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 </w:t>
            </w:r>
          </w:p>
        </w:tc>
        <w:tc>
          <w:tcPr>
            <w:tcW w:w="1146" w:type="dxa"/>
            <w:tcBorders/>
            <w:shd w:fill="CCEEFF" w:val="clear"/>
            <w:vAlign w:val="bottom"/>
          </w:tcPr>
          <w:p>
            <w:pPr>
              <w:pStyle w:val="TableContents"/>
              <w:spacing w:before="0" w:after="283"/>
              <w:jc w:val="right"/>
              <w:rPr/>
            </w:pPr>
            <w:r>
              <w:rPr/>
              <w:t>77</w:t>
            </w:r>
          </w:p>
        </w:tc>
        <w:tc>
          <w:tcPr>
            <w:tcW w:w="238" w:type="dxa"/>
            <w:tcBorders/>
            <w:shd w:fill="CCEEFF" w:val="clear"/>
            <w:vAlign w:val="bottom"/>
          </w:tcPr>
          <w:p>
            <w:pPr>
              <w:pStyle w:val="TableContents"/>
              <w:spacing w:before="0" w:after="283"/>
              <w:rPr/>
            </w:pPr>
            <w:r>
              <w:rPr/>
              <w:t>%</w:t>
            </w:r>
          </w:p>
        </w:tc>
      </w:tr>
      <w:tr>
        <w:trPr/>
        <w:tc>
          <w:tcPr>
            <w:tcW w:w="6155" w:type="dxa"/>
            <w:tcBorders/>
            <w:shd w:fill="auto" w:val="clear"/>
            <w:vAlign w:val="bottom"/>
          </w:tcPr>
          <w:p>
            <w:pPr>
              <w:pStyle w:val="TableContents"/>
              <w:spacing w:before="0" w:after="0"/>
              <w:ind w:left="450" w:right="0" w:hanging="225"/>
              <w:rPr/>
            </w:pPr>
            <w:r>
              <w:rPr/>
              <w:t>Average signature loan balance per store offering signature loans at quarter end (a)</w:t>
            </w:r>
          </w:p>
        </w:tc>
        <w:tc>
          <w:tcPr>
            <w:tcW w:w="40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w:t>
            </w:r>
          </w:p>
        </w:tc>
        <w:tc>
          <w:tcPr>
            <w:tcW w:w="1143" w:type="dxa"/>
            <w:tcBorders/>
            <w:shd w:fill="auto" w:val="clear"/>
            <w:vAlign w:val="bottom"/>
          </w:tcPr>
          <w:p>
            <w:pPr>
              <w:pStyle w:val="TableContents"/>
              <w:spacing w:before="0" w:after="283"/>
              <w:jc w:val="right"/>
              <w:rPr/>
            </w:pPr>
            <w:r>
              <w:rPr/>
              <w:t>10</w:t>
            </w:r>
          </w:p>
        </w:tc>
        <w:tc>
          <w:tcPr>
            <w:tcW w:w="282"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w:t>
            </w:r>
          </w:p>
        </w:tc>
        <w:tc>
          <w:tcPr>
            <w:tcW w:w="1146" w:type="dxa"/>
            <w:tcBorders/>
            <w:shd w:fill="auto" w:val="clear"/>
            <w:vAlign w:val="bottom"/>
          </w:tcPr>
          <w:p>
            <w:pPr>
              <w:pStyle w:val="TableContents"/>
              <w:spacing w:before="0" w:after="283"/>
              <w:jc w:val="right"/>
              <w:rPr/>
            </w:pPr>
            <w:r>
              <w:rPr/>
              <w:t>8</w:t>
            </w:r>
          </w:p>
        </w:tc>
        <w:tc>
          <w:tcPr>
            <w:tcW w:w="238"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(a)</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Signature loan balances include payday loans (net of valuation allowance) recorded on our balance sheet and the principal portion of active brokered loans outstanding from unaffiliated lenders, the balance of which is not included on our balance sheet.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current year-to-date pawn service charge revenue increased 8%, or $2.6 million from the prior year to $34.5 million. This was due to an eight percentage point increase in loan yields to 148%, coupled with a 2% higher average pawn loan balance. Beginning in the second quarter of fiscal 2006, we raised our loan values on gold jewelry in response to an increase in gold market values and similar changes by our competitors. This contributed about $1.6 million to the increase in pawn service charges in the current year-to-date period. The higher yield resulted largely from the November 2005 conversion of 148 pawn stores from offering 90-day loan terms to offering 60-day terms.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104% ($35.8 million) of recorded pawn service charge revenue was collected in cash, offset by a $1.3 million decrease in pawn service charges receivable. In the comparable prior year period, 109% ($34.9 million) of recorded pawn service charge revenue was collected in cash, offset by a $2.9 million decrease in pawn service charges receivable. While we seasonally expect to see a decrease in the accrued pawn service charges between September 30 and March 31 each year, the decrease was larger in the prior year-to-date period primarily due to shortening the loan term in most of our pawn stores in that period. The accrual of pawn service charges is dependent on the size of the loan portfolio and our estimate of collectible loans in the portfolio at the end of each quarter.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summarizes our sales volume, gross profit and gross margins: </w:t>
      </w:r>
    </w:p>
    <w:tbl>
      <w:tblPr>
        <w:tblW w:w="5000" w:type="pct"/>
        <w:jc w:val="center"/>
        <w:tblInd w:w="0" w:type="dxa"/>
        <w:tblCellMar>
          <w:top w:w="0" w:type="dxa"/>
          <w:left w:w="0" w:type="dxa"/>
          <w:bottom w:w="0" w:type="dxa"/>
          <w:right w:w="0" w:type="dxa"/>
        </w:tblCellMar>
      </w:tblPr>
      <w:tblGrid>
        <w:gridCol w:w="5951"/>
        <w:gridCol w:w="386"/>
        <w:gridCol w:w="301"/>
        <w:gridCol w:w="1073"/>
        <w:gridCol w:w="427"/>
        <w:gridCol w:w="435"/>
        <w:gridCol w:w="301"/>
        <w:gridCol w:w="1075"/>
        <w:gridCol w:w="256"/>
      </w:tblGrid>
      <w:tr>
        <w:trPr/>
        <w:tc>
          <w:tcPr>
            <w:tcW w:w="5951"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r>
      <w:tr>
        <w:trPr/>
        <w:tc>
          <w:tcPr>
            <w:tcW w:w="5951"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612" w:type="dxa"/>
            <w:gridSpan w:val="6"/>
            <w:tcBorders/>
            <w:shd w:fill="auto" w:val="clear"/>
            <w:vAlign w:val="bottom"/>
          </w:tcPr>
          <w:p>
            <w:pPr>
              <w:pStyle w:val="TableContents"/>
              <w:spacing w:before="0" w:after="283"/>
              <w:jc w:val="center"/>
              <w:rPr/>
            </w:pPr>
            <w:r>
              <w:rPr/>
              <w:t>Six Months Ended March 31,</w:t>
            </w:r>
          </w:p>
        </w:tc>
        <w:tc>
          <w:tcPr>
            <w:tcW w:w="256" w:type="dxa"/>
            <w:tcBorders/>
            <w:shd w:fill="auto" w:val="clear"/>
            <w:vAlign w:val="bottom"/>
          </w:tcPr>
          <w:p>
            <w:pPr>
              <w:pStyle w:val="TableContents"/>
              <w:spacing w:before="0" w:after="283"/>
              <w:rPr/>
            </w:pPr>
            <w:r>
              <w:rPr/>
              <w:t> </w:t>
            </w:r>
          </w:p>
        </w:tc>
      </w:tr>
      <w:tr>
        <w:trPr/>
        <w:tc>
          <w:tcPr>
            <w:tcW w:w="5951"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37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427" w:type="dxa"/>
            <w:tcBorders>
              <w:bottom w:val="single" w:sz="2" w:space="0" w:color="000000"/>
            </w:tcBorders>
            <w:shd w:fill="auto" w:val="clear"/>
            <w:tcMar>
              <w:bottom w:w="28" w:type="dxa"/>
            </w:tcMar>
            <w:vAlign w:val="bottom"/>
          </w:tcPr>
          <w:p>
            <w:pPr>
              <w:pStyle w:val="TableContents"/>
              <w:spacing w:before="0" w:after="283"/>
              <w:rPr/>
            </w:pPr>
            <w:r>
              <w:rPr/>
              <w:t> </w:t>
            </w:r>
          </w:p>
        </w:tc>
        <w:tc>
          <w:tcPr>
            <w:tcW w:w="435" w:type="dxa"/>
            <w:tcBorders>
              <w:bottom w:val="single" w:sz="2" w:space="0" w:color="000000"/>
            </w:tcBorders>
            <w:shd w:fill="auto" w:val="clear"/>
            <w:tcMar>
              <w:bottom w:w="28" w:type="dxa"/>
            </w:tcMar>
            <w:vAlign w:val="bottom"/>
          </w:tcPr>
          <w:p>
            <w:pPr>
              <w:pStyle w:val="TableContents"/>
              <w:spacing w:before="0" w:after="283"/>
              <w:rPr/>
            </w:pPr>
            <w:r>
              <w:rPr/>
              <w:t> </w:t>
            </w:r>
          </w:p>
        </w:tc>
        <w:tc>
          <w:tcPr>
            <w:tcW w:w="137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56" w:type="dxa"/>
            <w:tcBorders/>
            <w:shd w:fill="auto" w:val="clear"/>
            <w:vAlign w:val="bottom"/>
          </w:tcPr>
          <w:p>
            <w:pPr>
              <w:pStyle w:val="TableContents"/>
              <w:spacing w:before="0" w:after="283"/>
              <w:rPr/>
            </w:pPr>
            <w:r>
              <w:rPr/>
              <w:t> </w:t>
            </w:r>
          </w:p>
        </w:tc>
      </w:tr>
      <w:tr>
        <w:trPr/>
        <w:tc>
          <w:tcPr>
            <w:tcW w:w="5951"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612" w:type="dxa"/>
            <w:gridSpan w:val="6"/>
            <w:tcBorders/>
            <w:shd w:fill="auto" w:val="clear"/>
            <w:vAlign w:val="bottom"/>
          </w:tcPr>
          <w:p>
            <w:pPr>
              <w:pStyle w:val="TableContents"/>
              <w:spacing w:before="0" w:after="283"/>
              <w:jc w:val="center"/>
              <w:rPr>
                <w:i/>
              </w:rPr>
            </w:pPr>
            <w:r>
              <w:rPr>
                <w:i/>
              </w:rPr>
              <w:t>(Dollars in millions)</w:t>
            </w:r>
          </w:p>
        </w:tc>
        <w:tc>
          <w:tcPr>
            <w:tcW w:w="256" w:type="dxa"/>
            <w:tcBorders/>
            <w:shd w:fill="auto" w:val="clear"/>
            <w:vAlign w:val="bottom"/>
          </w:tcPr>
          <w:p>
            <w:pPr>
              <w:pStyle w:val="TableContents"/>
              <w:spacing w:before="0" w:after="283"/>
              <w:rPr/>
            </w:pPr>
            <w:r>
              <w:rPr/>
              <w:t> </w:t>
            </w:r>
          </w:p>
        </w:tc>
      </w:tr>
      <w:tr>
        <w:trPr/>
        <w:tc>
          <w:tcPr>
            <w:tcW w:w="5951" w:type="dxa"/>
            <w:tcBorders/>
            <w:shd w:fill="auto" w:val="clear"/>
            <w:vAlign w:val="bottom"/>
          </w:tcPr>
          <w:p>
            <w:pPr>
              <w:pStyle w:val="TableContents"/>
              <w:spacing w:before="0" w:after="0"/>
              <w:ind w:left="225" w:right="0" w:hanging="225"/>
              <w:rPr/>
            </w:pPr>
            <w:r>
              <w:rPr/>
              <w:t> </w:t>
            </w:r>
          </w:p>
        </w:tc>
        <w:tc>
          <w:tcPr>
            <w:tcW w:w="38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r>
      <w:tr>
        <w:trPr/>
        <w:tc>
          <w:tcPr>
            <w:tcW w:w="5951" w:type="dxa"/>
            <w:tcBorders/>
            <w:shd w:fill="CCEEFF" w:val="clear"/>
            <w:vAlign w:val="bottom"/>
          </w:tcPr>
          <w:p>
            <w:pPr>
              <w:pStyle w:val="TableContents"/>
              <w:spacing w:before="0" w:after="0"/>
              <w:ind w:left="225" w:right="0" w:hanging="225"/>
              <w:rPr/>
            </w:pPr>
            <w:r>
              <w:rPr/>
              <w:t>Merchandise sales</w:t>
            </w:r>
          </w:p>
        </w:tc>
        <w:tc>
          <w:tcPr>
            <w:tcW w:w="38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left"/>
              <w:rPr/>
            </w:pPr>
            <w:r>
              <w:rPr/>
              <w:t>$</w:t>
            </w:r>
          </w:p>
        </w:tc>
        <w:tc>
          <w:tcPr>
            <w:tcW w:w="1073" w:type="dxa"/>
            <w:tcBorders/>
            <w:shd w:fill="CCEEFF" w:val="clear"/>
            <w:vAlign w:val="bottom"/>
          </w:tcPr>
          <w:p>
            <w:pPr>
              <w:pStyle w:val="TableContents"/>
              <w:spacing w:before="0" w:after="283"/>
              <w:jc w:val="right"/>
              <w:rPr/>
            </w:pPr>
            <w:r>
              <w:rPr/>
              <w:t>77.4</w:t>
            </w:r>
          </w:p>
        </w:tc>
        <w:tc>
          <w:tcPr>
            <w:tcW w:w="427"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left"/>
              <w:rPr/>
            </w:pPr>
            <w:r>
              <w:rPr/>
              <w:t>$</w:t>
            </w:r>
          </w:p>
        </w:tc>
        <w:tc>
          <w:tcPr>
            <w:tcW w:w="1075" w:type="dxa"/>
            <w:tcBorders/>
            <w:shd w:fill="CCEEFF" w:val="clear"/>
            <w:vAlign w:val="bottom"/>
          </w:tcPr>
          <w:p>
            <w:pPr>
              <w:pStyle w:val="TableContents"/>
              <w:spacing w:before="0" w:after="283"/>
              <w:jc w:val="right"/>
              <w:rPr/>
            </w:pPr>
            <w:r>
              <w:rPr/>
              <w:t>74.7</w:t>
            </w:r>
          </w:p>
        </w:tc>
        <w:tc>
          <w:tcPr>
            <w:tcW w:w="256" w:type="dxa"/>
            <w:tcBorders/>
            <w:shd w:fill="CCEEFF" w:val="clear"/>
            <w:vAlign w:val="bottom"/>
          </w:tcPr>
          <w:p>
            <w:pPr>
              <w:pStyle w:val="TableContents"/>
              <w:spacing w:before="0" w:after="283"/>
              <w:rPr/>
            </w:pPr>
            <w:r>
              <w:rPr/>
              <w:t> </w:t>
            </w:r>
          </w:p>
        </w:tc>
      </w:tr>
      <w:tr>
        <w:trPr/>
        <w:tc>
          <w:tcPr>
            <w:tcW w:w="5951" w:type="dxa"/>
            <w:tcBorders/>
            <w:shd w:fill="auto" w:val="clear"/>
            <w:vAlign w:val="bottom"/>
          </w:tcPr>
          <w:p>
            <w:pPr>
              <w:pStyle w:val="TableContents"/>
              <w:spacing w:before="0" w:after="0"/>
              <w:ind w:left="225" w:right="0" w:hanging="225"/>
              <w:rPr/>
            </w:pPr>
            <w:r>
              <w:rPr/>
              <w:t>Jewelry scrapping sales</w:t>
            </w:r>
          </w:p>
        </w:tc>
        <w:tc>
          <w:tcPr>
            <w:tcW w:w="38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21.6</w:t>
            </w:r>
          </w:p>
        </w:tc>
        <w:tc>
          <w:tcPr>
            <w:tcW w:w="427"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15.3</w:t>
            </w:r>
          </w:p>
        </w:tc>
        <w:tc>
          <w:tcPr>
            <w:tcW w:w="256" w:type="dxa"/>
            <w:tcBorders/>
            <w:shd w:fill="auto" w:val="clear"/>
            <w:vAlign w:val="bottom"/>
          </w:tcPr>
          <w:p>
            <w:pPr>
              <w:pStyle w:val="TableContents"/>
              <w:spacing w:before="0" w:after="283"/>
              <w:rPr/>
            </w:pPr>
            <w:r>
              <w:rPr/>
              <w:t> </w:t>
            </w:r>
          </w:p>
        </w:tc>
      </w:tr>
      <w:tr>
        <w:trPr/>
        <w:tc>
          <w:tcPr>
            <w:tcW w:w="5951" w:type="dxa"/>
            <w:tcBorders/>
            <w:shd w:fill="auto" w:val="clear"/>
            <w:vAlign w:val="center"/>
          </w:tcPr>
          <w:p>
            <w:pPr>
              <w:pStyle w:val="TableContents"/>
              <w:spacing w:before="0" w:after="0"/>
              <w:ind w:left="225" w:right="0" w:hanging="225"/>
              <w:rPr/>
            </w:pPr>
            <w:r>
              <w:rPr/>
              <w:t> </w:t>
            </w:r>
          </w:p>
        </w:tc>
        <w:tc>
          <w:tcPr>
            <w:tcW w:w="386" w:type="dxa"/>
            <w:tcBorders/>
            <w:shd w:fill="auto" w:val="clear"/>
            <w:vAlign w:val="center"/>
          </w:tcPr>
          <w:p>
            <w:pPr>
              <w:pStyle w:val="TableContents"/>
              <w:spacing w:before="0" w:after="283"/>
              <w:rPr/>
            </w:pPr>
            <w:r>
              <w:rPr/>
              <w:t> </w:t>
            </w:r>
          </w:p>
        </w:tc>
        <w:tc>
          <w:tcPr>
            <w:tcW w:w="13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427" w:type="dxa"/>
            <w:tcBorders/>
            <w:shd w:fill="auto" w:val="clear"/>
            <w:vAlign w:val="center"/>
          </w:tcPr>
          <w:p>
            <w:pPr>
              <w:pStyle w:val="TableContents"/>
              <w:spacing w:before="0" w:after="283"/>
              <w:rPr/>
            </w:pPr>
            <w:r>
              <w:rPr/>
              <w:t> </w:t>
            </w:r>
          </w:p>
        </w:tc>
        <w:tc>
          <w:tcPr>
            <w:tcW w:w="435" w:type="dxa"/>
            <w:tcBorders/>
            <w:shd w:fill="auto" w:val="clear"/>
            <w:vAlign w:val="center"/>
          </w:tcPr>
          <w:p>
            <w:pPr>
              <w:pStyle w:val="TableContents"/>
              <w:spacing w:before="0" w:after="283"/>
              <w:rPr/>
            </w:pPr>
            <w:r>
              <w:rPr/>
              <w:t> </w:t>
            </w:r>
          </w:p>
        </w:tc>
        <w:tc>
          <w:tcPr>
            <w:tcW w:w="13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6" w:type="dxa"/>
            <w:tcBorders/>
            <w:shd w:fill="auto" w:val="clear"/>
            <w:vAlign w:val="center"/>
          </w:tcPr>
          <w:p>
            <w:pPr>
              <w:pStyle w:val="TableContents"/>
              <w:spacing w:before="0" w:after="283"/>
              <w:rPr/>
            </w:pPr>
            <w:r>
              <w:rPr/>
              <w:t> </w:t>
            </w:r>
          </w:p>
        </w:tc>
      </w:tr>
      <w:tr>
        <w:trPr/>
        <w:tc>
          <w:tcPr>
            <w:tcW w:w="5951" w:type="dxa"/>
            <w:tcBorders/>
            <w:shd w:fill="CCEEFF" w:val="clear"/>
            <w:vAlign w:val="bottom"/>
          </w:tcPr>
          <w:p>
            <w:pPr>
              <w:pStyle w:val="TableContents"/>
              <w:spacing w:before="0" w:after="0"/>
              <w:ind w:left="225" w:right="0" w:hanging="225"/>
              <w:rPr/>
            </w:pPr>
            <w:r>
              <w:rPr/>
              <w:t>Total sales</w:t>
            </w:r>
          </w:p>
        </w:tc>
        <w:tc>
          <w:tcPr>
            <w:tcW w:w="38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left"/>
              <w:rPr/>
            </w:pPr>
            <w:r>
              <w:rPr/>
              <w:t>$</w:t>
            </w:r>
          </w:p>
        </w:tc>
        <w:tc>
          <w:tcPr>
            <w:tcW w:w="1073" w:type="dxa"/>
            <w:tcBorders/>
            <w:shd w:fill="CCEEFF" w:val="clear"/>
            <w:vAlign w:val="bottom"/>
          </w:tcPr>
          <w:p>
            <w:pPr>
              <w:pStyle w:val="TableContents"/>
              <w:spacing w:before="0" w:after="283"/>
              <w:jc w:val="right"/>
              <w:rPr/>
            </w:pPr>
            <w:r>
              <w:rPr/>
              <w:t>99.0</w:t>
            </w:r>
          </w:p>
        </w:tc>
        <w:tc>
          <w:tcPr>
            <w:tcW w:w="427"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left"/>
              <w:rPr/>
            </w:pPr>
            <w:r>
              <w:rPr/>
              <w:t>$</w:t>
            </w:r>
          </w:p>
        </w:tc>
        <w:tc>
          <w:tcPr>
            <w:tcW w:w="1075" w:type="dxa"/>
            <w:tcBorders/>
            <w:shd w:fill="CCEEFF" w:val="clear"/>
            <w:vAlign w:val="bottom"/>
          </w:tcPr>
          <w:p>
            <w:pPr>
              <w:pStyle w:val="TableContents"/>
              <w:spacing w:before="0" w:after="283"/>
              <w:jc w:val="right"/>
              <w:rPr/>
            </w:pPr>
            <w:r>
              <w:rPr/>
              <w:t>90.0</w:t>
            </w:r>
          </w:p>
        </w:tc>
        <w:tc>
          <w:tcPr>
            <w:tcW w:w="256" w:type="dxa"/>
            <w:tcBorders/>
            <w:shd w:fill="CCEEFF" w:val="clear"/>
            <w:vAlign w:val="bottom"/>
          </w:tcPr>
          <w:p>
            <w:pPr>
              <w:pStyle w:val="TableContents"/>
              <w:spacing w:before="0" w:after="283"/>
              <w:rPr/>
            </w:pPr>
            <w:r>
              <w:rPr/>
              <w:t> </w:t>
            </w:r>
          </w:p>
        </w:tc>
      </w:tr>
      <w:tr>
        <w:trPr/>
        <w:tc>
          <w:tcPr>
            <w:tcW w:w="5951" w:type="dxa"/>
            <w:tcBorders/>
            <w:shd w:fill="auto" w:val="clear"/>
            <w:vAlign w:val="bottom"/>
          </w:tcPr>
          <w:p>
            <w:pPr>
              <w:pStyle w:val="TableContents"/>
              <w:spacing w:before="0" w:after="0"/>
              <w:ind w:left="225" w:right="0" w:hanging="225"/>
              <w:rPr/>
            </w:pPr>
            <w:r>
              <w:rPr/>
              <w:t> </w:t>
            </w:r>
          </w:p>
        </w:tc>
        <w:tc>
          <w:tcPr>
            <w:tcW w:w="38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r>
      <w:tr>
        <w:trPr/>
        <w:tc>
          <w:tcPr>
            <w:tcW w:w="5951" w:type="dxa"/>
            <w:tcBorders/>
            <w:shd w:fill="auto" w:val="clear"/>
            <w:vAlign w:val="bottom"/>
          </w:tcPr>
          <w:p>
            <w:pPr>
              <w:pStyle w:val="TableContents"/>
              <w:spacing w:before="0" w:after="0"/>
              <w:ind w:left="225" w:right="0" w:hanging="225"/>
              <w:rPr/>
            </w:pPr>
            <w:r>
              <w:rPr/>
              <w:t>Gross profit on merchandise sales</w:t>
            </w:r>
          </w:p>
        </w:tc>
        <w:tc>
          <w:tcPr>
            <w:tcW w:w="38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jc w:val="left"/>
              <w:rPr/>
            </w:pPr>
            <w:r>
              <w:rPr/>
              <w:t>$</w:t>
            </w:r>
          </w:p>
        </w:tc>
        <w:tc>
          <w:tcPr>
            <w:tcW w:w="1073" w:type="dxa"/>
            <w:tcBorders/>
            <w:shd w:fill="auto" w:val="clear"/>
            <w:vAlign w:val="bottom"/>
          </w:tcPr>
          <w:p>
            <w:pPr>
              <w:pStyle w:val="TableContents"/>
              <w:spacing w:before="0" w:after="283"/>
              <w:jc w:val="right"/>
              <w:rPr/>
            </w:pPr>
            <w:r>
              <w:rPr/>
              <w:t>31.2</w:t>
            </w:r>
          </w:p>
        </w:tc>
        <w:tc>
          <w:tcPr>
            <w:tcW w:w="427"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jc w:val="left"/>
              <w:rPr/>
            </w:pPr>
            <w:r>
              <w:rPr/>
              <w:t>$</w:t>
            </w:r>
          </w:p>
        </w:tc>
        <w:tc>
          <w:tcPr>
            <w:tcW w:w="1075" w:type="dxa"/>
            <w:tcBorders/>
            <w:shd w:fill="auto" w:val="clear"/>
            <w:vAlign w:val="bottom"/>
          </w:tcPr>
          <w:p>
            <w:pPr>
              <w:pStyle w:val="TableContents"/>
              <w:spacing w:before="0" w:after="283"/>
              <w:jc w:val="right"/>
              <w:rPr/>
            </w:pPr>
            <w:r>
              <w:rPr/>
              <w:t>31.1</w:t>
            </w:r>
          </w:p>
        </w:tc>
        <w:tc>
          <w:tcPr>
            <w:tcW w:w="256" w:type="dxa"/>
            <w:tcBorders/>
            <w:shd w:fill="auto" w:val="clear"/>
            <w:vAlign w:val="bottom"/>
          </w:tcPr>
          <w:p>
            <w:pPr>
              <w:pStyle w:val="TableContents"/>
              <w:spacing w:before="0" w:after="283"/>
              <w:rPr/>
            </w:pPr>
            <w:r>
              <w:rPr/>
              <w:t> </w:t>
            </w:r>
          </w:p>
        </w:tc>
      </w:tr>
      <w:tr>
        <w:trPr/>
        <w:tc>
          <w:tcPr>
            <w:tcW w:w="5951" w:type="dxa"/>
            <w:tcBorders/>
            <w:shd w:fill="CCEEFF" w:val="clear"/>
            <w:vAlign w:val="bottom"/>
          </w:tcPr>
          <w:p>
            <w:pPr>
              <w:pStyle w:val="TableContents"/>
              <w:spacing w:before="0" w:after="0"/>
              <w:ind w:left="225" w:right="0" w:hanging="225"/>
              <w:rPr/>
            </w:pPr>
            <w:r>
              <w:rPr/>
              <w:t>Gross profit on jewelry scrapping sales</w:t>
            </w:r>
          </w:p>
        </w:tc>
        <w:tc>
          <w:tcPr>
            <w:tcW w:w="38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left"/>
              <w:rPr/>
            </w:pPr>
            <w:r>
              <w:rPr/>
              <w:t>$</w:t>
            </w:r>
          </w:p>
        </w:tc>
        <w:tc>
          <w:tcPr>
            <w:tcW w:w="1073" w:type="dxa"/>
            <w:tcBorders/>
            <w:shd w:fill="CCEEFF" w:val="clear"/>
            <w:vAlign w:val="bottom"/>
          </w:tcPr>
          <w:p>
            <w:pPr>
              <w:pStyle w:val="TableContents"/>
              <w:spacing w:before="0" w:after="283"/>
              <w:jc w:val="right"/>
              <w:rPr/>
            </w:pPr>
            <w:r>
              <w:rPr/>
              <w:t>7.6</w:t>
            </w:r>
          </w:p>
        </w:tc>
        <w:tc>
          <w:tcPr>
            <w:tcW w:w="427"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left"/>
              <w:rPr/>
            </w:pPr>
            <w:r>
              <w:rPr/>
              <w:t>$</w:t>
            </w:r>
          </w:p>
        </w:tc>
        <w:tc>
          <w:tcPr>
            <w:tcW w:w="1075" w:type="dxa"/>
            <w:tcBorders/>
            <w:shd w:fill="CCEEFF" w:val="clear"/>
            <w:vAlign w:val="bottom"/>
          </w:tcPr>
          <w:p>
            <w:pPr>
              <w:pStyle w:val="TableContents"/>
              <w:spacing w:before="0" w:after="283"/>
              <w:jc w:val="right"/>
              <w:rPr/>
            </w:pPr>
            <w:r>
              <w:rPr/>
              <w:t>4.8</w:t>
            </w:r>
          </w:p>
        </w:tc>
        <w:tc>
          <w:tcPr>
            <w:tcW w:w="256" w:type="dxa"/>
            <w:tcBorders/>
            <w:shd w:fill="CCEEFF" w:val="clear"/>
            <w:vAlign w:val="bottom"/>
          </w:tcPr>
          <w:p>
            <w:pPr>
              <w:pStyle w:val="TableContents"/>
              <w:spacing w:before="0" w:after="283"/>
              <w:rPr/>
            </w:pPr>
            <w:r>
              <w:rPr/>
              <w:t> </w:t>
            </w:r>
          </w:p>
        </w:tc>
      </w:tr>
      <w:tr>
        <w:trPr/>
        <w:tc>
          <w:tcPr>
            <w:tcW w:w="5951" w:type="dxa"/>
            <w:tcBorders/>
            <w:shd w:fill="auto" w:val="clear"/>
            <w:vAlign w:val="bottom"/>
          </w:tcPr>
          <w:p>
            <w:pPr>
              <w:pStyle w:val="TableContents"/>
              <w:spacing w:before="0" w:after="0"/>
              <w:ind w:left="225" w:right="0" w:hanging="225"/>
              <w:rPr/>
            </w:pPr>
            <w:r>
              <w:rPr/>
              <w:t> </w:t>
            </w:r>
          </w:p>
        </w:tc>
        <w:tc>
          <w:tcPr>
            <w:tcW w:w="38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r>
      <w:tr>
        <w:trPr/>
        <w:tc>
          <w:tcPr>
            <w:tcW w:w="5951" w:type="dxa"/>
            <w:tcBorders/>
            <w:shd w:fill="auto" w:val="clear"/>
            <w:vAlign w:val="bottom"/>
          </w:tcPr>
          <w:p>
            <w:pPr>
              <w:pStyle w:val="TableContents"/>
              <w:spacing w:before="0" w:after="0"/>
              <w:ind w:left="225" w:right="0" w:hanging="225"/>
              <w:rPr/>
            </w:pPr>
            <w:r>
              <w:rPr/>
              <w:t>Gross margin on merchandise sales</w:t>
            </w:r>
          </w:p>
        </w:tc>
        <w:tc>
          <w:tcPr>
            <w:tcW w:w="38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jc w:val="left"/>
              <w:rPr/>
            </w:pPr>
            <w:r>
              <w:rPr/>
              <w:t> </w:t>
            </w:r>
          </w:p>
        </w:tc>
        <w:tc>
          <w:tcPr>
            <w:tcW w:w="1073" w:type="dxa"/>
            <w:tcBorders/>
            <w:shd w:fill="auto" w:val="clear"/>
            <w:vAlign w:val="bottom"/>
          </w:tcPr>
          <w:p>
            <w:pPr>
              <w:pStyle w:val="TableContents"/>
              <w:spacing w:before="0" w:after="283"/>
              <w:jc w:val="right"/>
              <w:rPr/>
            </w:pPr>
            <w:r>
              <w:rPr/>
              <w:t>40.4</w:t>
            </w:r>
          </w:p>
        </w:tc>
        <w:tc>
          <w:tcPr>
            <w:tcW w:w="427" w:type="dxa"/>
            <w:tcBorders/>
            <w:shd w:fill="auto" w:val="clear"/>
            <w:vAlign w:val="bottom"/>
          </w:tcPr>
          <w:p>
            <w:pPr>
              <w:pStyle w:val="TableContents"/>
              <w:spacing w:before="0" w:after="283"/>
              <w:rPr/>
            </w:pPr>
            <w:r>
              <w:rPr/>
              <w:t>%</w:t>
            </w:r>
          </w:p>
        </w:tc>
        <w:tc>
          <w:tcPr>
            <w:tcW w:w="435"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jc w:val="left"/>
              <w:rPr/>
            </w:pPr>
            <w:r>
              <w:rPr/>
              <w:t> </w:t>
            </w:r>
          </w:p>
        </w:tc>
        <w:tc>
          <w:tcPr>
            <w:tcW w:w="1075" w:type="dxa"/>
            <w:tcBorders/>
            <w:shd w:fill="auto" w:val="clear"/>
            <w:vAlign w:val="bottom"/>
          </w:tcPr>
          <w:p>
            <w:pPr>
              <w:pStyle w:val="TableContents"/>
              <w:spacing w:before="0" w:after="283"/>
              <w:jc w:val="right"/>
              <w:rPr/>
            </w:pPr>
            <w:r>
              <w:rPr/>
              <w:t>41.7</w:t>
            </w:r>
          </w:p>
        </w:tc>
        <w:tc>
          <w:tcPr>
            <w:tcW w:w="256" w:type="dxa"/>
            <w:tcBorders/>
            <w:shd w:fill="auto" w:val="clear"/>
            <w:vAlign w:val="bottom"/>
          </w:tcPr>
          <w:p>
            <w:pPr>
              <w:pStyle w:val="TableContents"/>
              <w:spacing w:before="0" w:after="283"/>
              <w:rPr/>
            </w:pPr>
            <w:r>
              <w:rPr/>
              <w:t>%</w:t>
            </w:r>
          </w:p>
        </w:tc>
      </w:tr>
      <w:tr>
        <w:trPr/>
        <w:tc>
          <w:tcPr>
            <w:tcW w:w="5951" w:type="dxa"/>
            <w:tcBorders/>
            <w:shd w:fill="CCEEFF" w:val="clear"/>
            <w:vAlign w:val="bottom"/>
          </w:tcPr>
          <w:p>
            <w:pPr>
              <w:pStyle w:val="TableContents"/>
              <w:spacing w:before="0" w:after="0"/>
              <w:ind w:left="225" w:right="0" w:hanging="225"/>
              <w:rPr/>
            </w:pPr>
            <w:r>
              <w:rPr/>
              <w:t>Gross margin on jewelry scrapping sales</w:t>
            </w:r>
          </w:p>
        </w:tc>
        <w:tc>
          <w:tcPr>
            <w:tcW w:w="38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pPr>
            <w:r>
              <w:rPr/>
              <w:t>35.1</w:t>
            </w:r>
          </w:p>
        </w:tc>
        <w:tc>
          <w:tcPr>
            <w:tcW w:w="427" w:type="dxa"/>
            <w:tcBorders/>
            <w:shd w:fill="CCEEFF" w:val="clear"/>
            <w:vAlign w:val="bottom"/>
          </w:tcPr>
          <w:p>
            <w:pPr>
              <w:pStyle w:val="TableContents"/>
              <w:spacing w:before="0" w:after="283"/>
              <w:rPr/>
            </w:pPr>
            <w:r>
              <w:rPr/>
              <w:t>%</w:t>
            </w:r>
          </w:p>
        </w:tc>
        <w:tc>
          <w:tcPr>
            <w:tcW w:w="435"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left"/>
              <w:rPr/>
            </w:pPr>
            <w:r>
              <w:rPr/>
              <w:t> </w:t>
            </w:r>
          </w:p>
        </w:tc>
        <w:tc>
          <w:tcPr>
            <w:tcW w:w="1075" w:type="dxa"/>
            <w:tcBorders/>
            <w:shd w:fill="CCEEFF" w:val="clear"/>
            <w:vAlign w:val="bottom"/>
          </w:tcPr>
          <w:p>
            <w:pPr>
              <w:pStyle w:val="TableContents"/>
              <w:spacing w:before="0" w:after="283"/>
              <w:jc w:val="right"/>
              <w:rPr/>
            </w:pPr>
            <w:r>
              <w:rPr/>
              <w:t>31.5</w:t>
            </w:r>
          </w:p>
        </w:tc>
        <w:tc>
          <w:tcPr>
            <w:tcW w:w="256" w:type="dxa"/>
            <w:tcBorders/>
            <w:shd w:fill="CCEEFF" w:val="clear"/>
            <w:vAlign w:val="bottom"/>
          </w:tcPr>
          <w:p>
            <w:pPr>
              <w:pStyle w:val="TableContents"/>
              <w:spacing w:before="0" w:after="283"/>
              <w:rPr/>
            </w:pPr>
            <w:r>
              <w:rPr/>
              <w:t>%</w:t>
            </w:r>
          </w:p>
        </w:tc>
      </w:tr>
      <w:tr>
        <w:trPr/>
        <w:tc>
          <w:tcPr>
            <w:tcW w:w="5951" w:type="dxa"/>
            <w:tcBorders/>
            <w:shd w:fill="auto" w:val="clear"/>
            <w:vAlign w:val="bottom"/>
          </w:tcPr>
          <w:p>
            <w:pPr>
              <w:pStyle w:val="TableContents"/>
              <w:spacing w:before="0" w:after="0"/>
              <w:ind w:left="225" w:right="0" w:hanging="225"/>
              <w:rPr/>
            </w:pPr>
            <w:r>
              <w:rPr/>
              <w:t>Overall gross margin</w:t>
            </w:r>
          </w:p>
        </w:tc>
        <w:tc>
          <w:tcPr>
            <w:tcW w:w="38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jc w:val="left"/>
              <w:rPr/>
            </w:pPr>
            <w:r>
              <w:rPr/>
              <w:t> </w:t>
            </w:r>
          </w:p>
        </w:tc>
        <w:tc>
          <w:tcPr>
            <w:tcW w:w="1073" w:type="dxa"/>
            <w:tcBorders/>
            <w:shd w:fill="auto" w:val="clear"/>
            <w:vAlign w:val="bottom"/>
          </w:tcPr>
          <w:p>
            <w:pPr>
              <w:pStyle w:val="TableContents"/>
              <w:spacing w:before="0" w:after="283"/>
              <w:jc w:val="right"/>
              <w:rPr/>
            </w:pPr>
            <w:r>
              <w:rPr/>
              <w:t>39.2</w:t>
            </w:r>
          </w:p>
        </w:tc>
        <w:tc>
          <w:tcPr>
            <w:tcW w:w="427" w:type="dxa"/>
            <w:tcBorders/>
            <w:shd w:fill="auto" w:val="clear"/>
            <w:vAlign w:val="bottom"/>
          </w:tcPr>
          <w:p>
            <w:pPr>
              <w:pStyle w:val="TableContents"/>
              <w:spacing w:before="0" w:after="283"/>
              <w:rPr/>
            </w:pPr>
            <w:r>
              <w:rPr/>
              <w:t>%</w:t>
            </w:r>
          </w:p>
        </w:tc>
        <w:tc>
          <w:tcPr>
            <w:tcW w:w="435"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jc w:val="left"/>
              <w:rPr/>
            </w:pPr>
            <w:r>
              <w:rPr/>
              <w:t> </w:t>
            </w:r>
          </w:p>
        </w:tc>
        <w:tc>
          <w:tcPr>
            <w:tcW w:w="1075" w:type="dxa"/>
            <w:tcBorders/>
            <w:shd w:fill="auto" w:val="clear"/>
            <w:vAlign w:val="bottom"/>
          </w:tcPr>
          <w:p>
            <w:pPr>
              <w:pStyle w:val="TableContents"/>
              <w:spacing w:before="0" w:after="283"/>
              <w:jc w:val="right"/>
              <w:rPr/>
            </w:pPr>
            <w:r>
              <w:rPr/>
              <w:t>40.0</w:t>
            </w:r>
          </w:p>
        </w:tc>
        <w:tc>
          <w:tcPr>
            <w:tcW w:w="256" w:type="dxa"/>
            <w:tcBorders/>
            <w:shd w:fill="auto"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year-to-date periods $31.2 million of gross profit on merchandise sales represents a $0.1 million increase from the prior year period. This resulted from a $2.4 million, or 3% increase in same store merchandise sales and a $0.3 million increase in other store sales, offset by a 1.3 percentage point decrease in gross margins. The decrease in merchandise sales margins was due primarily to more aggressive discounting of electronics and jewelry in the current year. In the prior year period, we had the benefit of the doubling of loan forfeitures due to the reduction of loan terms in the majority of our stores. This provided a greater amount of fresh inventory to fuel sales at a better margin. Included in the merchandise gross profit for the year-to-date period is the benefit of higher gold values. Over the past year, we raised our retail prices on gold jewelry in response to higher gold values. We also increased the amount we pay to purchase jewelry from customers and loan on jewelry, increasing the cost of these items. The net effect contributed an additional $1.1 million to the gross profit on merchandise sales in the current year-to-date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gross profit on jewelry scrapping sales increased $2.8 million from the prior year-to-date period to $7.6 million. This was due to a $6.3 million increase in jewelry scrapping sales on 17% more volume, and a 3.6 percentage point improvement in margins. The jewelry scrapping sales include the current year sale of approximately $0.5 million of loose diamonds removed from scrapped jewelry. The recent increases in gold values and the amount we loan on gold jewelry had a $1.8 million positive effect on the gross profit on jewelry scrapping sales. Future changes in gold prices would immediately and directly impact the proceeds of scrapped jewelry. In response to these changes, we periodically adjust the amount we lend on jewelry. This ultimately impacts the cost of inventory sold and sales margins.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Selected signature loan data for the EZPAWN Operations segment are as follows: </w:t>
      </w:r>
    </w:p>
    <w:tbl>
      <w:tblPr>
        <w:tblW w:w="5000" w:type="pct"/>
        <w:jc w:val="center"/>
        <w:tblInd w:w="0" w:type="dxa"/>
        <w:tblCellMar>
          <w:top w:w="0" w:type="dxa"/>
          <w:left w:w="0" w:type="dxa"/>
          <w:bottom w:w="0" w:type="dxa"/>
          <w:right w:w="0" w:type="dxa"/>
        </w:tblCellMar>
      </w:tblPr>
      <w:tblGrid>
        <w:gridCol w:w="5977"/>
        <w:gridCol w:w="404"/>
        <w:gridCol w:w="262"/>
        <w:gridCol w:w="1122"/>
        <w:gridCol w:w="365"/>
        <w:gridCol w:w="438"/>
        <w:gridCol w:w="262"/>
        <w:gridCol w:w="1124"/>
        <w:gridCol w:w="251"/>
      </w:tblGrid>
      <w:tr>
        <w:trPr/>
        <w:tc>
          <w:tcPr>
            <w:tcW w:w="5977"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r>
      <w:tr>
        <w:trPr/>
        <w:tc>
          <w:tcPr>
            <w:tcW w:w="5977"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3573" w:type="dxa"/>
            <w:gridSpan w:val="6"/>
            <w:tcBorders/>
            <w:shd w:fill="auto" w:val="clear"/>
            <w:vAlign w:val="bottom"/>
          </w:tcPr>
          <w:p>
            <w:pPr>
              <w:pStyle w:val="TableContents"/>
              <w:spacing w:before="0" w:after="283"/>
              <w:jc w:val="center"/>
              <w:rPr/>
            </w:pPr>
            <w:r>
              <w:rPr/>
              <w:t>Six Months Ended March 31,</w:t>
            </w:r>
          </w:p>
        </w:tc>
        <w:tc>
          <w:tcPr>
            <w:tcW w:w="251" w:type="dxa"/>
            <w:tcBorders/>
            <w:shd w:fill="auto" w:val="clear"/>
            <w:vAlign w:val="bottom"/>
          </w:tcPr>
          <w:p>
            <w:pPr>
              <w:pStyle w:val="TableContents"/>
              <w:spacing w:before="0" w:after="283"/>
              <w:rPr/>
            </w:pPr>
            <w:r>
              <w:rPr/>
              <w:t> </w:t>
            </w:r>
          </w:p>
        </w:tc>
      </w:tr>
      <w:tr>
        <w:trPr/>
        <w:tc>
          <w:tcPr>
            <w:tcW w:w="5977"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38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365" w:type="dxa"/>
            <w:tcBorders>
              <w:bottom w:val="single" w:sz="2" w:space="0" w:color="000000"/>
            </w:tcBorders>
            <w:shd w:fill="auto" w:val="clear"/>
            <w:tcMar>
              <w:bottom w:w="28" w:type="dxa"/>
            </w:tcMar>
            <w:vAlign w:val="bottom"/>
          </w:tcPr>
          <w:p>
            <w:pPr>
              <w:pStyle w:val="TableContents"/>
              <w:spacing w:before="0" w:after="283"/>
              <w:rPr/>
            </w:pPr>
            <w:r>
              <w:rPr/>
              <w:t> </w:t>
            </w:r>
          </w:p>
        </w:tc>
        <w:tc>
          <w:tcPr>
            <w:tcW w:w="438" w:type="dxa"/>
            <w:tcBorders>
              <w:bottom w:val="single" w:sz="2" w:space="0" w:color="000000"/>
            </w:tcBorders>
            <w:shd w:fill="auto" w:val="clear"/>
            <w:tcMar>
              <w:bottom w:w="28" w:type="dxa"/>
            </w:tcMar>
            <w:vAlign w:val="bottom"/>
          </w:tcPr>
          <w:p>
            <w:pPr>
              <w:pStyle w:val="TableContents"/>
              <w:spacing w:before="0" w:after="283"/>
              <w:rPr/>
            </w:pPr>
            <w:r>
              <w:rPr/>
              <w:t> </w:t>
            </w:r>
          </w:p>
        </w:tc>
        <w:tc>
          <w:tcPr>
            <w:tcW w:w="138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51" w:type="dxa"/>
            <w:tcBorders/>
            <w:shd w:fill="auto" w:val="clear"/>
            <w:vAlign w:val="bottom"/>
          </w:tcPr>
          <w:p>
            <w:pPr>
              <w:pStyle w:val="TableContents"/>
              <w:spacing w:before="0" w:after="283"/>
              <w:rPr/>
            </w:pPr>
            <w:r>
              <w:rPr/>
              <w:t> </w:t>
            </w:r>
          </w:p>
        </w:tc>
      </w:tr>
      <w:tr>
        <w:trPr/>
        <w:tc>
          <w:tcPr>
            <w:tcW w:w="5977"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3573" w:type="dxa"/>
            <w:gridSpan w:val="6"/>
            <w:tcBorders/>
            <w:shd w:fill="auto" w:val="clear"/>
            <w:vAlign w:val="bottom"/>
          </w:tcPr>
          <w:p>
            <w:pPr>
              <w:pStyle w:val="TableContents"/>
              <w:spacing w:before="0" w:after="283"/>
              <w:jc w:val="center"/>
              <w:rPr>
                <w:i/>
              </w:rPr>
            </w:pPr>
            <w:r>
              <w:rPr>
                <w:i/>
              </w:rPr>
              <w:t>(Dollars in thousands)</w:t>
            </w:r>
          </w:p>
        </w:tc>
        <w:tc>
          <w:tcPr>
            <w:tcW w:w="251" w:type="dxa"/>
            <w:tcBorders/>
            <w:shd w:fill="auto" w:val="clear"/>
            <w:vAlign w:val="bottom"/>
          </w:tcPr>
          <w:p>
            <w:pPr>
              <w:pStyle w:val="TableContents"/>
              <w:spacing w:before="0" w:after="283"/>
              <w:rPr/>
            </w:pPr>
            <w:r>
              <w:rPr/>
              <w:t> </w:t>
            </w:r>
          </w:p>
        </w:tc>
      </w:tr>
      <w:tr>
        <w:trPr/>
        <w:tc>
          <w:tcPr>
            <w:tcW w:w="5977" w:type="dxa"/>
            <w:tcBorders/>
            <w:shd w:fill="auto" w:val="clear"/>
            <w:vAlign w:val="bottom"/>
          </w:tcPr>
          <w:p>
            <w:pPr>
              <w:pStyle w:val="TableContents"/>
              <w:spacing w:before="0" w:after="0"/>
              <w:ind w:left="225" w:right="0" w:hanging="225"/>
              <w:rPr/>
            </w:pPr>
            <w:r>
              <w:rPr/>
              <w:t> </w:t>
            </w:r>
          </w:p>
        </w:tc>
        <w:tc>
          <w:tcPr>
            <w:tcW w:w="40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r>
      <w:tr>
        <w:trPr/>
        <w:tc>
          <w:tcPr>
            <w:tcW w:w="5977" w:type="dxa"/>
            <w:tcBorders/>
            <w:shd w:fill="CCEEFF" w:val="clear"/>
            <w:vAlign w:val="bottom"/>
          </w:tcPr>
          <w:p>
            <w:pPr>
              <w:pStyle w:val="TableContents"/>
              <w:spacing w:before="0" w:after="0"/>
              <w:ind w:left="225" w:right="0" w:hanging="225"/>
              <w:rPr/>
            </w:pPr>
            <w:r>
              <w:rPr/>
              <w:t>Fee revenue</w:t>
            </w:r>
          </w:p>
        </w:tc>
        <w:tc>
          <w:tcPr>
            <w:tcW w:w="40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left"/>
              <w:rPr/>
            </w:pPr>
            <w:r>
              <w:rPr/>
              <w:t>$</w:t>
            </w:r>
          </w:p>
        </w:tc>
        <w:tc>
          <w:tcPr>
            <w:tcW w:w="1122" w:type="dxa"/>
            <w:tcBorders/>
            <w:shd w:fill="CCEEFF" w:val="clear"/>
            <w:vAlign w:val="bottom"/>
          </w:tcPr>
          <w:p>
            <w:pPr>
              <w:pStyle w:val="TableContents"/>
              <w:spacing w:before="0" w:after="283"/>
              <w:jc w:val="right"/>
              <w:rPr/>
            </w:pPr>
            <w:r>
              <w:rPr/>
              <w:t>1,746</w:t>
            </w:r>
          </w:p>
        </w:tc>
        <w:tc>
          <w:tcPr>
            <w:tcW w:w="365"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left"/>
              <w:rPr/>
            </w:pPr>
            <w:r>
              <w:rPr/>
              <w:t>$</w:t>
            </w:r>
          </w:p>
        </w:tc>
        <w:tc>
          <w:tcPr>
            <w:tcW w:w="1124" w:type="dxa"/>
            <w:tcBorders/>
            <w:shd w:fill="CCEEFF" w:val="clear"/>
            <w:vAlign w:val="bottom"/>
          </w:tcPr>
          <w:p>
            <w:pPr>
              <w:pStyle w:val="TableContents"/>
              <w:spacing w:before="0" w:after="283"/>
              <w:jc w:val="right"/>
              <w:rPr/>
            </w:pPr>
            <w:r>
              <w:rPr/>
              <w:t>1,401</w:t>
            </w:r>
          </w:p>
        </w:tc>
        <w:tc>
          <w:tcPr>
            <w:tcW w:w="251" w:type="dxa"/>
            <w:tcBorders/>
            <w:shd w:fill="CCEEFF" w:val="clear"/>
            <w:vAlign w:val="bottom"/>
          </w:tcPr>
          <w:p>
            <w:pPr>
              <w:pStyle w:val="TableContents"/>
              <w:spacing w:before="0" w:after="283"/>
              <w:rPr/>
            </w:pPr>
            <w:r>
              <w:rPr/>
              <w:t> </w:t>
            </w:r>
          </w:p>
        </w:tc>
      </w:tr>
      <w:tr>
        <w:trPr/>
        <w:tc>
          <w:tcPr>
            <w:tcW w:w="5977" w:type="dxa"/>
            <w:tcBorders/>
            <w:shd w:fill="auto" w:val="clear"/>
            <w:vAlign w:val="bottom"/>
          </w:tcPr>
          <w:p>
            <w:pPr>
              <w:pStyle w:val="TableContents"/>
              <w:spacing w:before="0" w:after="0"/>
              <w:ind w:left="225" w:right="0" w:hanging="225"/>
              <w:rPr/>
            </w:pPr>
            <w:r>
              <w:rPr/>
              <w:t>Net bad debt</w:t>
            </w:r>
          </w:p>
        </w:tc>
        <w:tc>
          <w:tcPr>
            <w:tcW w:w="40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500</w:t>
            </w:r>
          </w:p>
        </w:tc>
        <w:tc>
          <w:tcPr>
            <w:tcW w:w="36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522</w:t>
            </w:r>
          </w:p>
        </w:tc>
        <w:tc>
          <w:tcPr>
            <w:tcW w:w="251" w:type="dxa"/>
            <w:tcBorders/>
            <w:shd w:fill="auto" w:val="clear"/>
            <w:vAlign w:val="bottom"/>
          </w:tcPr>
          <w:p>
            <w:pPr>
              <w:pStyle w:val="TableContents"/>
              <w:spacing w:before="0" w:after="283"/>
              <w:rPr/>
            </w:pPr>
            <w:r>
              <w:rPr/>
              <w:t> </w:t>
            </w:r>
          </w:p>
        </w:tc>
      </w:tr>
      <w:tr>
        <w:trPr/>
        <w:tc>
          <w:tcPr>
            <w:tcW w:w="5977" w:type="dxa"/>
            <w:tcBorders/>
            <w:shd w:fill="auto" w:val="clear"/>
            <w:vAlign w:val="center"/>
          </w:tcPr>
          <w:p>
            <w:pPr>
              <w:pStyle w:val="TableContents"/>
              <w:spacing w:before="0" w:after="0"/>
              <w:ind w:left="225" w:right="0" w:hanging="225"/>
              <w:rPr/>
            </w:pPr>
            <w:r>
              <w:rPr/>
              <w:t> </w:t>
            </w:r>
          </w:p>
        </w:tc>
        <w:tc>
          <w:tcPr>
            <w:tcW w:w="404" w:type="dxa"/>
            <w:tcBorders/>
            <w:shd w:fill="auto" w:val="clear"/>
            <w:vAlign w:val="center"/>
          </w:tcPr>
          <w:p>
            <w:pPr>
              <w:pStyle w:val="TableContents"/>
              <w:spacing w:before="0" w:after="283"/>
              <w:rPr/>
            </w:pPr>
            <w:r>
              <w:rPr/>
              <w:t> </w:t>
            </w:r>
          </w:p>
        </w:tc>
        <w:tc>
          <w:tcPr>
            <w:tcW w:w="13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438" w:type="dxa"/>
            <w:tcBorders/>
            <w:shd w:fill="auto" w:val="clear"/>
            <w:vAlign w:val="center"/>
          </w:tcPr>
          <w:p>
            <w:pPr>
              <w:pStyle w:val="TableContents"/>
              <w:spacing w:before="0" w:after="283"/>
              <w:rPr/>
            </w:pPr>
            <w:r>
              <w:rPr/>
              <w:t> </w:t>
            </w:r>
          </w:p>
        </w:tc>
        <w:tc>
          <w:tcPr>
            <w:tcW w:w="13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1" w:type="dxa"/>
            <w:tcBorders/>
            <w:shd w:fill="auto" w:val="clear"/>
            <w:vAlign w:val="center"/>
          </w:tcPr>
          <w:p>
            <w:pPr>
              <w:pStyle w:val="TableContents"/>
              <w:spacing w:before="0" w:after="283"/>
              <w:rPr/>
            </w:pPr>
            <w:r>
              <w:rPr/>
              <w:t> </w:t>
            </w:r>
          </w:p>
        </w:tc>
      </w:tr>
      <w:tr>
        <w:trPr/>
        <w:tc>
          <w:tcPr>
            <w:tcW w:w="5977" w:type="dxa"/>
            <w:tcBorders/>
            <w:shd w:fill="CCEEFF" w:val="clear"/>
            <w:vAlign w:val="bottom"/>
          </w:tcPr>
          <w:p>
            <w:pPr>
              <w:pStyle w:val="TableContents"/>
              <w:spacing w:before="0" w:after="0"/>
              <w:ind w:left="450" w:right="0" w:hanging="225"/>
              <w:rPr/>
            </w:pPr>
            <w:r>
              <w:rPr/>
              <w:t>Fee revenue less bad debt</w:t>
            </w:r>
          </w:p>
        </w:tc>
        <w:tc>
          <w:tcPr>
            <w:tcW w:w="40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left"/>
              <w:rPr/>
            </w:pPr>
            <w:r>
              <w:rPr/>
              <w:t>$</w:t>
            </w:r>
          </w:p>
        </w:tc>
        <w:tc>
          <w:tcPr>
            <w:tcW w:w="1122" w:type="dxa"/>
            <w:tcBorders/>
            <w:shd w:fill="CCEEFF" w:val="clear"/>
            <w:vAlign w:val="bottom"/>
          </w:tcPr>
          <w:p>
            <w:pPr>
              <w:pStyle w:val="TableContents"/>
              <w:spacing w:before="0" w:after="283"/>
              <w:jc w:val="right"/>
              <w:rPr/>
            </w:pPr>
            <w:r>
              <w:rPr/>
              <w:t>1,246</w:t>
            </w:r>
          </w:p>
        </w:tc>
        <w:tc>
          <w:tcPr>
            <w:tcW w:w="365"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left"/>
              <w:rPr/>
            </w:pPr>
            <w:r>
              <w:rPr/>
              <w:t>$</w:t>
            </w:r>
          </w:p>
        </w:tc>
        <w:tc>
          <w:tcPr>
            <w:tcW w:w="1124" w:type="dxa"/>
            <w:tcBorders/>
            <w:shd w:fill="CCEEFF" w:val="clear"/>
            <w:vAlign w:val="bottom"/>
          </w:tcPr>
          <w:p>
            <w:pPr>
              <w:pStyle w:val="TableContents"/>
              <w:spacing w:before="0" w:after="283"/>
              <w:jc w:val="right"/>
              <w:rPr/>
            </w:pPr>
            <w:r>
              <w:rPr/>
              <w:t>879</w:t>
            </w:r>
          </w:p>
        </w:tc>
        <w:tc>
          <w:tcPr>
            <w:tcW w:w="251" w:type="dxa"/>
            <w:tcBorders/>
            <w:shd w:fill="CCEEFF" w:val="clear"/>
            <w:vAlign w:val="bottom"/>
          </w:tcPr>
          <w:p>
            <w:pPr>
              <w:pStyle w:val="TableContents"/>
              <w:spacing w:before="0" w:after="283"/>
              <w:rPr/>
            </w:pPr>
            <w:r>
              <w:rPr/>
              <w:t> </w:t>
            </w:r>
          </w:p>
        </w:tc>
      </w:tr>
      <w:tr>
        <w:trPr/>
        <w:tc>
          <w:tcPr>
            <w:tcW w:w="5977" w:type="dxa"/>
            <w:tcBorders/>
            <w:shd w:fill="auto" w:val="clear"/>
            <w:vAlign w:val="center"/>
          </w:tcPr>
          <w:p>
            <w:pPr>
              <w:pStyle w:val="TableContents"/>
              <w:spacing w:before="0" w:after="0"/>
              <w:ind w:left="225" w:right="0" w:hanging="225"/>
              <w:rPr/>
            </w:pPr>
            <w:r>
              <w:rPr/>
              <w:t> </w:t>
            </w:r>
          </w:p>
        </w:tc>
        <w:tc>
          <w:tcPr>
            <w:tcW w:w="404" w:type="dxa"/>
            <w:tcBorders/>
            <w:shd w:fill="auto" w:val="clear"/>
            <w:vAlign w:val="center"/>
          </w:tcPr>
          <w:p>
            <w:pPr>
              <w:pStyle w:val="TableContents"/>
              <w:spacing w:before="0" w:after="283"/>
              <w:rPr/>
            </w:pPr>
            <w:r>
              <w:rPr/>
              <w:t> </w:t>
            </w:r>
          </w:p>
        </w:tc>
        <w:tc>
          <w:tcPr>
            <w:tcW w:w="138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438" w:type="dxa"/>
            <w:tcBorders/>
            <w:shd w:fill="auto" w:val="clear"/>
            <w:vAlign w:val="center"/>
          </w:tcPr>
          <w:p>
            <w:pPr>
              <w:pStyle w:val="TableContents"/>
              <w:spacing w:before="0" w:after="283"/>
              <w:rPr/>
            </w:pPr>
            <w:r>
              <w:rPr/>
              <w:t> </w:t>
            </w:r>
          </w:p>
        </w:tc>
        <w:tc>
          <w:tcPr>
            <w:tcW w:w="13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1" w:type="dxa"/>
            <w:tcBorders/>
            <w:shd w:fill="auto" w:val="clear"/>
            <w:vAlign w:val="center"/>
          </w:tcPr>
          <w:p>
            <w:pPr>
              <w:pStyle w:val="TableContents"/>
              <w:spacing w:before="0" w:after="283"/>
              <w:rPr/>
            </w:pPr>
            <w:r>
              <w:rPr/>
              <w:t> </w:t>
            </w:r>
          </w:p>
        </w:tc>
      </w:tr>
      <w:tr>
        <w:trPr/>
        <w:tc>
          <w:tcPr>
            <w:tcW w:w="5977" w:type="dxa"/>
            <w:tcBorders/>
            <w:shd w:fill="auto" w:val="clear"/>
            <w:vAlign w:val="bottom"/>
          </w:tcPr>
          <w:p>
            <w:pPr>
              <w:pStyle w:val="TableContents"/>
              <w:spacing w:before="0" w:after="0"/>
              <w:ind w:left="225" w:right="0" w:hanging="225"/>
              <w:rPr/>
            </w:pPr>
            <w:r>
              <w:rPr/>
              <w:t>Signature loan bad debt, as a percent of fee revenue</w:t>
            </w:r>
          </w:p>
        </w:tc>
        <w:tc>
          <w:tcPr>
            <w:tcW w:w="40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left"/>
              <w:rPr/>
            </w:pPr>
            <w:r>
              <w:rPr/>
              <w:t> </w:t>
            </w:r>
          </w:p>
        </w:tc>
        <w:tc>
          <w:tcPr>
            <w:tcW w:w="1122" w:type="dxa"/>
            <w:tcBorders/>
            <w:shd w:fill="auto" w:val="clear"/>
            <w:vAlign w:val="bottom"/>
          </w:tcPr>
          <w:p>
            <w:pPr>
              <w:pStyle w:val="TableContents"/>
              <w:spacing w:before="0" w:after="283"/>
              <w:jc w:val="right"/>
              <w:rPr/>
            </w:pPr>
            <w:r>
              <w:rPr/>
              <w:t>28.6</w:t>
            </w:r>
          </w:p>
        </w:tc>
        <w:tc>
          <w:tcPr>
            <w:tcW w:w="365" w:type="dxa"/>
            <w:tcBorders/>
            <w:shd w:fill="auto" w:val="clear"/>
            <w:vAlign w:val="bottom"/>
          </w:tcPr>
          <w:p>
            <w:pPr>
              <w:pStyle w:val="TableContents"/>
              <w:spacing w:before="0" w:after="283"/>
              <w:rPr/>
            </w:pPr>
            <w:r>
              <w:rPr/>
              <w:t>%</w:t>
            </w:r>
          </w:p>
        </w:tc>
        <w:tc>
          <w:tcPr>
            <w:tcW w:w="43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pPr>
            <w:r>
              <w:rPr/>
              <w:t>37.3</w:t>
            </w:r>
          </w:p>
        </w:tc>
        <w:tc>
          <w:tcPr>
            <w:tcW w:w="251" w:type="dxa"/>
            <w:tcBorders/>
            <w:shd w:fill="auto"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signature loan contribution, or fee revenue less bad debt, increased $0.4 million, or 42% in the current year-to-date period compared to the prior year period. A 25% increase in fee revenues, primarily from higher average loan balances in existing stores, and an improvement in signature loan bad debt from 37.3% of fees in the prior year-to-date period to 28.6% make up the increase in signature loan contribution.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improved to 57% of net revenues ($43.3 million) in the current year-to-date period from 61% of net revenues ($42.7 million) in the prior year-to-date period. Included in the current year-to-date period are a $0.3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million reversal of a loss contingency, a $0.4 million reduction in health benefit claims, and a $0.3 million reduction in workers compensation expense.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the $5.5 million greater net revenue from pawn activities, $0.4 million greater contribution from signature loans, and $0.7 million higher operations expenses resulted in a $5.2 million overall increase in store operating income from the EZPAWN Operations segment compared to the prior year-to-date period. For the current year-to-date period, EZPAWN Operations made up 64% of consolidated store operating income compared to 68% in the prior year-to-date period. The relative reduction is due to the more rapid growth in the EZMONEY Operations segment.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EZMONEY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EZMONEY Operations segment: </w:t>
      </w:r>
    </w:p>
    <w:tbl>
      <w:tblPr>
        <w:tblW w:w="5000" w:type="pct"/>
        <w:jc w:val="center"/>
        <w:tblInd w:w="0" w:type="dxa"/>
        <w:tblCellMar>
          <w:top w:w="0" w:type="dxa"/>
          <w:left w:w="0" w:type="dxa"/>
          <w:bottom w:w="0" w:type="dxa"/>
          <w:right w:w="0" w:type="dxa"/>
        </w:tblCellMar>
      </w:tblPr>
      <w:tblGrid>
        <w:gridCol w:w="6068"/>
        <w:gridCol w:w="403"/>
        <w:gridCol w:w="232"/>
        <w:gridCol w:w="1141"/>
        <w:gridCol w:w="319"/>
        <w:gridCol w:w="425"/>
        <w:gridCol w:w="232"/>
        <w:gridCol w:w="1142"/>
        <w:gridCol w:w="243"/>
      </w:tblGrid>
      <w:tr>
        <w:trPr/>
        <w:tc>
          <w:tcPr>
            <w:tcW w:w="6068"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3491" w:type="dxa"/>
            <w:gridSpan w:val="6"/>
            <w:tcBorders/>
            <w:shd w:fill="auto" w:val="clear"/>
            <w:vAlign w:val="bottom"/>
          </w:tcPr>
          <w:p>
            <w:pPr>
              <w:pStyle w:val="TableContents"/>
              <w:spacing w:before="0" w:after="283"/>
              <w:jc w:val="center"/>
              <w:rPr/>
            </w:pPr>
            <w:r>
              <w:rPr/>
              <w:t>Six Months Ended March 31,</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37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319" w:type="dxa"/>
            <w:tcBorders>
              <w:bottom w:val="single" w:sz="2" w:space="0" w:color="000000"/>
            </w:tcBorders>
            <w:shd w:fill="auto" w:val="clear"/>
            <w:tcMar>
              <w:bottom w:w="28" w:type="dxa"/>
            </w:tcMar>
            <w:vAlign w:val="bottom"/>
          </w:tcPr>
          <w:p>
            <w:pPr>
              <w:pStyle w:val="TableContents"/>
              <w:spacing w:before="0" w:after="283"/>
              <w:rPr/>
            </w:pPr>
            <w:r>
              <w:rPr/>
              <w:t> </w:t>
            </w:r>
          </w:p>
        </w:tc>
        <w:tc>
          <w:tcPr>
            <w:tcW w:w="425" w:type="dxa"/>
            <w:tcBorders>
              <w:bottom w:val="single" w:sz="2" w:space="0" w:color="000000"/>
            </w:tcBorders>
            <w:shd w:fill="auto" w:val="clear"/>
            <w:tcMar>
              <w:bottom w:w="28" w:type="dxa"/>
            </w:tcMar>
            <w:vAlign w:val="bottom"/>
          </w:tcPr>
          <w:p>
            <w:pPr>
              <w:pStyle w:val="TableContents"/>
              <w:spacing w:before="0" w:after="283"/>
              <w:rPr/>
            </w:pPr>
            <w:r>
              <w:rPr/>
              <w:t> </w:t>
            </w:r>
          </w:p>
        </w:tc>
        <w:tc>
          <w:tcPr>
            <w:tcW w:w="137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3491" w:type="dxa"/>
            <w:gridSpan w:val="6"/>
            <w:tcBorders/>
            <w:shd w:fill="auto" w:val="clear"/>
            <w:vAlign w:val="bottom"/>
          </w:tcPr>
          <w:p>
            <w:pPr>
              <w:pStyle w:val="TableContents"/>
              <w:spacing w:before="0" w:after="283"/>
              <w:jc w:val="center"/>
              <w:rPr>
                <w:i/>
              </w:rPr>
            </w:pPr>
            <w:r>
              <w:rPr>
                <w:i/>
              </w:rPr>
              <w:t>(Dollars in thousands)</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0"/>
              <w:ind w:left="225" w:right="0" w:hanging="225"/>
              <w:rPr/>
            </w:pPr>
            <w:r>
              <w:rPr/>
              <w:t> </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r>
      <w:tr>
        <w:trPr/>
        <w:tc>
          <w:tcPr>
            <w:tcW w:w="6068" w:type="dxa"/>
            <w:tcBorders/>
            <w:shd w:fill="CCEEFF" w:val="clear"/>
            <w:vAlign w:val="bottom"/>
          </w:tcPr>
          <w:p>
            <w:pPr>
              <w:pStyle w:val="TableContents"/>
              <w:spacing w:before="0" w:after="0"/>
              <w:ind w:left="450" w:right="0" w:hanging="225"/>
              <w:rPr/>
            </w:pPr>
            <w:r>
              <w:rPr/>
              <w:t>Credit service fees</w:t>
            </w:r>
          </w:p>
        </w:tc>
        <w:tc>
          <w:tcPr>
            <w:tcW w:w="40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141" w:type="dxa"/>
            <w:tcBorders/>
            <w:shd w:fill="CCEEFF" w:val="clear"/>
            <w:vAlign w:val="bottom"/>
          </w:tcPr>
          <w:p>
            <w:pPr>
              <w:pStyle w:val="TableContents"/>
              <w:spacing w:before="0" w:after="283"/>
              <w:jc w:val="right"/>
              <w:rPr/>
            </w:pPr>
            <w:r>
              <w:rPr/>
              <w:t>40,990</w:t>
            </w:r>
          </w:p>
        </w:tc>
        <w:tc>
          <w:tcPr>
            <w:tcW w:w="319"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142" w:type="dxa"/>
            <w:tcBorders/>
            <w:shd w:fill="CCEEFF" w:val="clear"/>
            <w:vAlign w:val="bottom"/>
          </w:tcPr>
          <w:p>
            <w:pPr>
              <w:pStyle w:val="TableContents"/>
              <w:spacing w:before="0" w:after="283"/>
              <w:jc w:val="right"/>
              <w:rPr/>
            </w:pPr>
            <w:r>
              <w:rPr/>
              <w:t>29,221</w:t>
            </w:r>
          </w:p>
        </w:tc>
        <w:tc>
          <w:tcPr>
            <w:tcW w:w="243" w:type="dxa"/>
            <w:tcBorders/>
            <w:shd w:fill="CCEEFF"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0"/>
              <w:ind w:left="450" w:right="0" w:hanging="225"/>
              <w:rPr/>
            </w:pPr>
            <w:r>
              <w:rPr/>
              <w:t>Payday loan fees</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jc w:val="right"/>
              <w:rPr/>
            </w:pPr>
            <w:r>
              <w:rPr/>
              <w:t>4,372</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1,506</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center"/>
          </w:tcPr>
          <w:p>
            <w:pPr>
              <w:pStyle w:val="TableContents"/>
              <w:spacing w:before="0" w:after="0"/>
              <w:ind w:left="225" w:right="0" w:hanging="225"/>
              <w:rPr/>
            </w:pPr>
            <w:r>
              <w:rPr/>
              <w:t> </w:t>
            </w:r>
          </w:p>
        </w:tc>
        <w:tc>
          <w:tcPr>
            <w:tcW w:w="403" w:type="dxa"/>
            <w:tcBorders/>
            <w:shd w:fill="auto" w:val="clear"/>
            <w:vAlign w:val="center"/>
          </w:tcPr>
          <w:p>
            <w:pPr>
              <w:pStyle w:val="TableContents"/>
              <w:spacing w:before="0" w:after="283"/>
              <w:rPr/>
            </w:pPr>
            <w:r>
              <w:rPr/>
              <w:t> </w:t>
            </w:r>
          </w:p>
        </w:tc>
        <w:tc>
          <w:tcPr>
            <w:tcW w:w="13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19"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3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3" w:type="dxa"/>
            <w:tcBorders/>
            <w:shd w:fill="auto" w:val="clear"/>
            <w:vAlign w:val="center"/>
          </w:tcPr>
          <w:p>
            <w:pPr>
              <w:pStyle w:val="TableContents"/>
              <w:spacing w:before="0" w:after="283"/>
              <w:rPr/>
            </w:pPr>
            <w:r>
              <w:rPr/>
              <w:t> </w:t>
            </w:r>
          </w:p>
        </w:tc>
      </w:tr>
      <w:tr>
        <w:trPr/>
        <w:tc>
          <w:tcPr>
            <w:tcW w:w="6068" w:type="dxa"/>
            <w:tcBorders/>
            <w:shd w:fill="CCEEFF" w:val="clear"/>
            <w:vAlign w:val="bottom"/>
          </w:tcPr>
          <w:p>
            <w:pPr>
              <w:pStyle w:val="TableContents"/>
              <w:spacing w:before="0" w:after="0"/>
              <w:ind w:left="675" w:right="0" w:hanging="225"/>
              <w:rPr/>
            </w:pPr>
            <w:r>
              <w:rPr/>
              <w:t>Total and net revenues</w:t>
            </w:r>
          </w:p>
        </w:tc>
        <w:tc>
          <w:tcPr>
            <w:tcW w:w="40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pPr>
            <w:r>
              <w:rPr/>
              <w:t>45,362</w:t>
            </w:r>
          </w:p>
        </w:tc>
        <w:tc>
          <w:tcPr>
            <w:tcW w:w="319"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30,727</w:t>
            </w:r>
          </w:p>
        </w:tc>
        <w:tc>
          <w:tcPr>
            <w:tcW w:w="243" w:type="dxa"/>
            <w:tcBorders/>
            <w:shd w:fill="CCEEFF"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0"/>
              <w:ind w:left="225" w:right="0" w:hanging="225"/>
              <w:rPr/>
            </w:pPr>
            <w:r>
              <w:rPr/>
              <w:t>Bad debt:</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r>
      <w:tr>
        <w:trPr/>
        <w:tc>
          <w:tcPr>
            <w:tcW w:w="6068" w:type="dxa"/>
            <w:tcBorders/>
            <w:shd w:fill="CCEEFF" w:val="clear"/>
            <w:vAlign w:val="bottom"/>
          </w:tcPr>
          <w:p>
            <w:pPr>
              <w:pStyle w:val="TableContents"/>
              <w:spacing w:before="0" w:after="0"/>
              <w:ind w:left="450" w:right="0" w:hanging="225"/>
              <w:rPr/>
            </w:pPr>
            <w:r>
              <w:rPr/>
              <w:t>Credit service bad debt</w:t>
            </w:r>
          </w:p>
        </w:tc>
        <w:tc>
          <w:tcPr>
            <w:tcW w:w="40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pPr>
            <w:r>
              <w:rPr/>
              <w:t>7,312</w:t>
            </w:r>
          </w:p>
        </w:tc>
        <w:tc>
          <w:tcPr>
            <w:tcW w:w="319"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5,418</w:t>
            </w:r>
          </w:p>
        </w:tc>
        <w:tc>
          <w:tcPr>
            <w:tcW w:w="243" w:type="dxa"/>
            <w:tcBorders/>
            <w:shd w:fill="CCEEFF"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0"/>
              <w:ind w:left="450" w:right="0" w:hanging="225"/>
              <w:rPr/>
            </w:pPr>
            <w:r>
              <w:rPr/>
              <w:t>Payday loan bad debt</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jc w:val="right"/>
              <w:rPr/>
            </w:pPr>
            <w:r>
              <w:rPr/>
              <w:t>1,132</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591</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center"/>
          </w:tcPr>
          <w:p>
            <w:pPr>
              <w:pStyle w:val="TableContents"/>
              <w:spacing w:before="0" w:after="0"/>
              <w:ind w:left="225" w:right="0" w:hanging="225"/>
              <w:rPr/>
            </w:pPr>
            <w:r>
              <w:rPr/>
              <w:t> </w:t>
            </w:r>
          </w:p>
        </w:tc>
        <w:tc>
          <w:tcPr>
            <w:tcW w:w="403" w:type="dxa"/>
            <w:tcBorders/>
            <w:shd w:fill="auto" w:val="clear"/>
            <w:vAlign w:val="center"/>
          </w:tcPr>
          <w:p>
            <w:pPr>
              <w:pStyle w:val="TableContents"/>
              <w:spacing w:before="0" w:after="283"/>
              <w:rPr/>
            </w:pPr>
            <w:r>
              <w:rPr/>
              <w:t> </w:t>
            </w:r>
          </w:p>
        </w:tc>
        <w:tc>
          <w:tcPr>
            <w:tcW w:w="13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19"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3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3" w:type="dxa"/>
            <w:tcBorders/>
            <w:shd w:fill="auto" w:val="clear"/>
            <w:vAlign w:val="center"/>
          </w:tcPr>
          <w:p>
            <w:pPr>
              <w:pStyle w:val="TableContents"/>
              <w:spacing w:before="0" w:after="283"/>
              <w:rPr/>
            </w:pPr>
            <w:r>
              <w:rPr/>
              <w:t> </w:t>
            </w:r>
          </w:p>
        </w:tc>
      </w:tr>
      <w:tr>
        <w:trPr/>
        <w:tc>
          <w:tcPr>
            <w:tcW w:w="6068" w:type="dxa"/>
            <w:tcBorders/>
            <w:shd w:fill="CCEEFF" w:val="clear"/>
            <w:vAlign w:val="bottom"/>
          </w:tcPr>
          <w:p>
            <w:pPr>
              <w:pStyle w:val="TableContents"/>
              <w:spacing w:before="0" w:after="0"/>
              <w:ind w:left="675" w:right="0" w:hanging="225"/>
              <w:rPr/>
            </w:pPr>
            <w:r>
              <w:rPr/>
              <w:t>Net bad debt</w:t>
            </w:r>
          </w:p>
        </w:tc>
        <w:tc>
          <w:tcPr>
            <w:tcW w:w="40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pPr>
            <w:r>
              <w:rPr/>
              <w:t>8,444</w:t>
            </w:r>
          </w:p>
        </w:tc>
        <w:tc>
          <w:tcPr>
            <w:tcW w:w="319"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6,009</w:t>
            </w:r>
          </w:p>
        </w:tc>
        <w:tc>
          <w:tcPr>
            <w:tcW w:w="243" w:type="dxa"/>
            <w:tcBorders/>
            <w:shd w:fill="CCEEFF" w:val="clear"/>
            <w:vAlign w:val="bottom"/>
          </w:tcPr>
          <w:p>
            <w:pPr>
              <w:pStyle w:val="TableContents"/>
              <w:spacing w:before="0" w:after="283"/>
              <w:rPr/>
            </w:pPr>
            <w:r>
              <w:rPr/>
              <w:t> </w:t>
            </w:r>
          </w:p>
        </w:tc>
      </w:tr>
      <w:tr>
        <w:trPr/>
        <w:tc>
          <w:tcPr>
            <w:tcW w:w="6068" w:type="dxa"/>
            <w:tcBorders/>
            <w:shd w:fill="auto" w:val="clear"/>
            <w:vAlign w:val="center"/>
          </w:tcPr>
          <w:p>
            <w:pPr>
              <w:pStyle w:val="TableContents"/>
              <w:spacing w:before="0" w:after="0"/>
              <w:ind w:left="225" w:right="0" w:hanging="225"/>
              <w:rPr/>
            </w:pPr>
            <w:r>
              <w:rPr/>
              <w:t> </w:t>
            </w:r>
          </w:p>
        </w:tc>
        <w:tc>
          <w:tcPr>
            <w:tcW w:w="403" w:type="dxa"/>
            <w:tcBorders/>
            <w:shd w:fill="auto" w:val="clear"/>
            <w:vAlign w:val="center"/>
          </w:tcPr>
          <w:p>
            <w:pPr>
              <w:pStyle w:val="TableContents"/>
              <w:spacing w:before="0" w:after="283"/>
              <w:rPr/>
            </w:pPr>
            <w:r>
              <w:rPr/>
              <w:t> </w:t>
            </w:r>
          </w:p>
        </w:tc>
        <w:tc>
          <w:tcPr>
            <w:tcW w:w="13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19"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3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3" w:type="dxa"/>
            <w:tcBorders/>
            <w:shd w:fill="auto" w:val="clear"/>
            <w:vAlign w:val="center"/>
          </w:tcPr>
          <w:p>
            <w:pPr>
              <w:pStyle w:val="TableContents"/>
              <w:spacing w:before="0" w:after="283"/>
              <w:rPr/>
            </w:pPr>
            <w:r>
              <w:rPr/>
              <w:t> </w:t>
            </w:r>
          </w:p>
        </w:tc>
      </w:tr>
      <w:tr>
        <w:trPr/>
        <w:tc>
          <w:tcPr>
            <w:tcW w:w="6068" w:type="dxa"/>
            <w:tcBorders/>
            <w:shd w:fill="auto" w:val="clear"/>
            <w:vAlign w:val="bottom"/>
          </w:tcPr>
          <w:p>
            <w:pPr>
              <w:pStyle w:val="TableContents"/>
              <w:spacing w:before="0" w:after="0"/>
              <w:ind w:left="675" w:right="0" w:hanging="225"/>
              <w:rPr/>
            </w:pPr>
            <w:r>
              <w:rPr/>
              <w:t>Fee revenue less bad debt</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jc w:val="right"/>
              <w:rPr/>
            </w:pPr>
            <w:r>
              <w:rPr/>
              <w:t>36,918</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24,718</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0"/>
              <w:ind w:left="225" w:right="0" w:hanging="225"/>
              <w:rPr/>
            </w:pPr>
            <w:r>
              <w:rPr/>
              <w:t> </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r>
      <w:tr>
        <w:trPr/>
        <w:tc>
          <w:tcPr>
            <w:tcW w:w="6068" w:type="dxa"/>
            <w:tcBorders/>
            <w:shd w:fill="CCEEFF" w:val="clear"/>
            <w:vAlign w:val="bottom"/>
          </w:tcPr>
          <w:p>
            <w:pPr>
              <w:pStyle w:val="TableContents"/>
              <w:spacing w:before="0" w:after="0"/>
              <w:ind w:left="450" w:right="0" w:hanging="225"/>
              <w:rPr/>
            </w:pPr>
            <w:r>
              <w:rPr/>
              <w:t>Operations expense</w:t>
            </w:r>
          </w:p>
        </w:tc>
        <w:tc>
          <w:tcPr>
            <w:tcW w:w="40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pPr>
            <w:r>
              <w:rPr/>
              <w:t>19,181</w:t>
            </w:r>
          </w:p>
        </w:tc>
        <w:tc>
          <w:tcPr>
            <w:tcW w:w="319"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11,895</w:t>
            </w:r>
          </w:p>
        </w:tc>
        <w:tc>
          <w:tcPr>
            <w:tcW w:w="243" w:type="dxa"/>
            <w:tcBorders/>
            <w:shd w:fill="CCEEFF" w:val="clear"/>
            <w:vAlign w:val="bottom"/>
          </w:tcPr>
          <w:p>
            <w:pPr>
              <w:pStyle w:val="TableContents"/>
              <w:spacing w:before="0" w:after="283"/>
              <w:rPr/>
            </w:pPr>
            <w:r>
              <w:rPr/>
              <w:t> </w:t>
            </w:r>
          </w:p>
        </w:tc>
      </w:tr>
      <w:tr>
        <w:trPr/>
        <w:tc>
          <w:tcPr>
            <w:tcW w:w="6068" w:type="dxa"/>
            <w:tcBorders/>
            <w:shd w:fill="auto" w:val="clear"/>
            <w:vAlign w:val="center"/>
          </w:tcPr>
          <w:p>
            <w:pPr>
              <w:pStyle w:val="TableContents"/>
              <w:spacing w:before="0" w:after="0"/>
              <w:ind w:left="225" w:right="0" w:hanging="225"/>
              <w:rPr/>
            </w:pPr>
            <w:r>
              <w:rPr/>
              <w:t> </w:t>
            </w:r>
          </w:p>
        </w:tc>
        <w:tc>
          <w:tcPr>
            <w:tcW w:w="403" w:type="dxa"/>
            <w:tcBorders/>
            <w:shd w:fill="auto" w:val="clear"/>
            <w:vAlign w:val="center"/>
          </w:tcPr>
          <w:p>
            <w:pPr>
              <w:pStyle w:val="TableContents"/>
              <w:spacing w:before="0" w:after="283"/>
              <w:rPr/>
            </w:pPr>
            <w:r>
              <w:rPr/>
              <w:t> </w:t>
            </w:r>
          </w:p>
        </w:tc>
        <w:tc>
          <w:tcPr>
            <w:tcW w:w="13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19"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3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3" w:type="dxa"/>
            <w:tcBorders/>
            <w:shd w:fill="auto" w:val="clear"/>
            <w:vAlign w:val="center"/>
          </w:tcPr>
          <w:p>
            <w:pPr>
              <w:pStyle w:val="TableContents"/>
              <w:spacing w:before="0" w:after="283"/>
              <w:rPr/>
            </w:pPr>
            <w:r>
              <w:rPr/>
              <w:t> </w:t>
            </w:r>
          </w:p>
        </w:tc>
      </w:tr>
      <w:tr>
        <w:trPr/>
        <w:tc>
          <w:tcPr>
            <w:tcW w:w="6068" w:type="dxa"/>
            <w:tcBorders/>
            <w:shd w:fill="auto" w:val="clear"/>
            <w:vAlign w:val="bottom"/>
          </w:tcPr>
          <w:p>
            <w:pPr>
              <w:pStyle w:val="TableContents"/>
              <w:spacing w:before="0" w:after="0"/>
              <w:ind w:left="675" w:right="0" w:hanging="225"/>
              <w:rPr/>
            </w:pPr>
            <w:r>
              <w:rPr/>
              <w:t>Store operating income</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w:t>
            </w:r>
          </w:p>
        </w:tc>
        <w:tc>
          <w:tcPr>
            <w:tcW w:w="1141" w:type="dxa"/>
            <w:tcBorders/>
            <w:shd w:fill="auto" w:val="clear"/>
            <w:vAlign w:val="bottom"/>
          </w:tcPr>
          <w:p>
            <w:pPr>
              <w:pStyle w:val="TableContents"/>
              <w:spacing w:before="0" w:after="283"/>
              <w:jc w:val="right"/>
              <w:rPr/>
            </w:pPr>
            <w:r>
              <w:rPr/>
              <w:t>17,737</w:t>
            </w:r>
          </w:p>
        </w:tc>
        <w:tc>
          <w:tcPr>
            <w:tcW w:w="319"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w:t>
            </w:r>
          </w:p>
        </w:tc>
        <w:tc>
          <w:tcPr>
            <w:tcW w:w="1142" w:type="dxa"/>
            <w:tcBorders/>
            <w:shd w:fill="auto" w:val="clear"/>
            <w:vAlign w:val="bottom"/>
          </w:tcPr>
          <w:p>
            <w:pPr>
              <w:pStyle w:val="TableContents"/>
              <w:spacing w:before="0" w:after="283"/>
              <w:jc w:val="right"/>
              <w:rPr/>
            </w:pPr>
            <w:r>
              <w:rPr/>
              <w:t>12,823</w:t>
            </w:r>
          </w:p>
        </w:tc>
        <w:tc>
          <w:tcPr>
            <w:tcW w:w="243" w:type="dxa"/>
            <w:tcBorders/>
            <w:shd w:fill="auto" w:val="clear"/>
            <w:vAlign w:val="bottom"/>
          </w:tcPr>
          <w:p>
            <w:pPr>
              <w:pStyle w:val="TableContents"/>
              <w:spacing w:before="0" w:after="283"/>
              <w:rPr/>
            </w:pPr>
            <w:r>
              <w:rPr/>
              <w:t> </w:t>
            </w:r>
          </w:p>
        </w:tc>
      </w:tr>
      <w:tr>
        <w:trPr/>
        <w:tc>
          <w:tcPr>
            <w:tcW w:w="6068" w:type="dxa"/>
            <w:tcBorders/>
            <w:shd w:fill="auto" w:val="clear"/>
            <w:vAlign w:val="center"/>
          </w:tcPr>
          <w:p>
            <w:pPr>
              <w:pStyle w:val="TableContents"/>
              <w:spacing w:before="0" w:after="0"/>
              <w:ind w:left="225" w:right="0" w:hanging="225"/>
              <w:rPr/>
            </w:pPr>
            <w:r>
              <w:rPr/>
              <w:t> </w:t>
            </w:r>
          </w:p>
        </w:tc>
        <w:tc>
          <w:tcPr>
            <w:tcW w:w="403" w:type="dxa"/>
            <w:tcBorders/>
            <w:shd w:fill="auto" w:val="clear"/>
            <w:vAlign w:val="center"/>
          </w:tcPr>
          <w:p>
            <w:pPr>
              <w:pStyle w:val="TableContents"/>
              <w:spacing w:before="0" w:after="283"/>
              <w:rPr/>
            </w:pPr>
            <w:r>
              <w:rPr/>
              <w:t> </w:t>
            </w:r>
          </w:p>
        </w:tc>
        <w:tc>
          <w:tcPr>
            <w:tcW w:w="13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9"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3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3" w:type="dxa"/>
            <w:tcBorders/>
            <w:shd w:fill="auto" w:val="clear"/>
            <w:vAlign w:val="center"/>
          </w:tcPr>
          <w:p>
            <w:pPr>
              <w:pStyle w:val="TableContents"/>
              <w:spacing w:before="0" w:after="283"/>
              <w:rPr/>
            </w:pPr>
            <w:r>
              <w:rPr/>
              <w:t> </w:t>
            </w:r>
          </w:p>
        </w:tc>
      </w:tr>
      <w:tr>
        <w:trPr/>
        <w:tc>
          <w:tcPr>
            <w:tcW w:w="6068" w:type="dxa"/>
            <w:tcBorders/>
            <w:shd w:fill="CCEEFF" w:val="clear"/>
            <w:vAlign w:val="bottom"/>
          </w:tcPr>
          <w:p>
            <w:pPr>
              <w:pStyle w:val="TableContents"/>
              <w:spacing w:before="0" w:after="0"/>
              <w:ind w:left="225" w:right="0" w:hanging="225"/>
              <w:rPr/>
            </w:pPr>
            <w:r>
              <w:rPr/>
              <w:t>Other data:</w:t>
            </w:r>
          </w:p>
        </w:tc>
        <w:tc>
          <w:tcPr>
            <w:tcW w:w="40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r>
      <w:tr>
        <w:trPr/>
        <w:tc>
          <w:tcPr>
            <w:tcW w:w="6068" w:type="dxa"/>
            <w:tcBorders/>
            <w:shd w:fill="auto" w:val="clear"/>
            <w:vAlign w:val="bottom"/>
          </w:tcPr>
          <w:p>
            <w:pPr>
              <w:pStyle w:val="TableContents"/>
              <w:spacing w:before="0" w:after="0"/>
              <w:ind w:left="450" w:right="0" w:hanging="225"/>
              <w:rPr/>
            </w:pPr>
            <w:r>
              <w:rPr/>
              <w:t>Signature loan bad debt as a percent of signature loan fees</w:t>
            </w:r>
          </w:p>
        </w:tc>
        <w:tc>
          <w:tcPr>
            <w:tcW w:w="40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 </w:t>
            </w:r>
          </w:p>
        </w:tc>
        <w:tc>
          <w:tcPr>
            <w:tcW w:w="1141" w:type="dxa"/>
            <w:tcBorders/>
            <w:shd w:fill="auto" w:val="clear"/>
            <w:vAlign w:val="bottom"/>
          </w:tcPr>
          <w:p>
            <w:pPr>
              <w:pStyle w:val="TableContents"/>
              <w:spacing w:before="0" w:after="283"/>
              <w:jc w:val="right"/>
              <w:rPr/>
            </w:pPr>
            <w:r>
              <w:rPr/>
              <w:t>18.6</w:t>
            </w:r>
          </w:p>
        </w:tc>
        <w:tc>
          <w:tcPr>
            <w:tcW w:w="319"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 </w:t>
            </w:r>
          </w:p>
        </w:tc>
        <w:tc>
          <w:tcPr>
            <w:tcW w:w="1142" w:type="dxa"/>
            <w:tcBorders/>
            <w:shd w:fill="auto" w:val="clear"/>
            <w:vAlign w:val="bottom"/>
          </w:tcPr>
          <w:p>
            <w:pPr>
              <w:pStyle w:val="TableContents"/>
              <w:spacing w:before="0" w:after="283"/>
              <w:jc w:val="right"/>
              <w:rPr/>
            </w:pPr>
            <w:r>
              <w:rPr/>
              <w:t>19.6</w:t>
            </w:r>
          </w:p>
        </w:tc>
        <w:tc>
          <w:tcPr>
            <w:tcW w:w="243" w:type="dxa"/>
            <w:tcBorders/>
            <w:shd w:fill="auto" w:val="clear"/>
            <w:vAlign w:val="bottom"/>
          </w:tcPr>
          <w:p>
            <w:pPr>
              <w:pStyle w:val="TableContents"/>
              <w:spacing w:before="0" w:after="283"/>
              <w:rPr/>
            </w:pPr>
            <w:r>
              <w:rPr/>
              <w:t>%</w:t>
            </w:r>
          </w:p>
        </w:tc>
      </w:tr>
      <w:tr>
        <w:trPr/>
        <w:tc>
          <w:tcPr>
            <w:tcW w:w="6068" w:type="dxa"/>
            <w:tcBorders/>
            <w:shd w:fill="CCEEFF" w:val="clear"/>
            <w:vAlign w:val="bottom"/>
          </w:tcPr>
          <w:p>
            <w:pPr>
              <w:pStyle w:val="TableContents"/>
              <w:spacing w:before="0" w:after="0"/>
              <w:ind w:left="450" w:right="0" w:hanging="225"/>
              <w:rPr/>
            </w:pPr>
            <w:r>
              <w:rPr/>
              <w:t>Average signature loan balance per store offering signature loans at quarter end (a)</w:t>
            </w:r>
          </w:p>
        </w:tc>
        <w:tc>
          <w:tcPr>
            <w:tcW w:w="40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141" w:type="dxa"/>
            <w:tcBorders/>
            <w:shd w:fill="CCEEFF" w:val="clear"/>
            <w:vAlign w:val="bottom"/>
          </w:tcPr>
          <w:p>
            <w:pPr>
              <w:pStyle w:val="TableContents"/>
              <w:spacing w:before="0" w:after="283"/>
              <w:jc w:val="right"/>
              <w:rPr/>
            </w:pPr>
            <w:r>
              <w:rPr/>
              <w:t>53</w:t>
            </w:r>
          </w:p>
        </w:tc>
        <w:tc>
          <w:tcPr>
            <w:tcW w:w="319"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142" w:type="dxa"/>
            <w:tcBorders/>
            <w:shd w:fill="CCEEFF" w:val="clear"/>
            <w:vAlign w:val="bottom"/>
          </w:tcPr>
          <w:p>
            <w:pPr>
              <w:pStyle w:val="TableContents"/>
              <w:spacing w:before="0" w:after="283"/>
              <w:jc w:val="right"/>
              <w:rPr/>
            </w:pPr>
            <w:r>
              <w:rPr/>
              <w:t>50</w:t>
            </w:r>
          </w:p>
        </w:tc>
        <w:tc>
          <w:tcPr>
            <w:tcW w:w="243"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(a)</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Signature loan balances include payday loans (net of valuation allowance) recorded on our balance sheet and the principal portion of active brokered loans outstanding from unaffiliated lenders, the balance of which is not included on our balance sheet.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signature loan contribution, or fees less bad debt, increased $12.2 million, or 49% compared to the prior year-to-date period. The primary cause of the increased contribution was the higher average loan balances at existing stores and the addition of new stores, resulting in a 48% increase in the current year-to-date signature loan fee revenue. Although signature loan bad debt increased $2.4 million, it improved to 18.6% of related fees in the current year-to-date period compared to 19.6% in the prior year period due to improved underwriting and servicing.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$7.3 million in the current year-to-date period to $19.2 million, or 42% of segment net revenues from 39% in the prior year period. The increase was mostly from additional labor, rent and other costs at new stores that have not yet matured. In the current year-to-date period, operations expense was $56,700 per average store, compared to $49,200 per average store in the prior year-to-date period. Stores adjoining an EZPAWN location, which generally have lower operating costs, now comprise a smaller percentage of the total EZMONEY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the $12.2 million increase in signature loan fees net of bad debt and $7.3 million greater operations expense resulted in a $4.9 million net increase in store operating income from the EZMONEY Operations segment. For the current year-to-date period, EZMONEY Operations made up 36% of consolidated store operating income compared to 32% in the prior year period. The relative increase is due to the more rapid growth in the EZMONEY Operations segment compared to the EZPAWN Operations segment.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Other Items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items discussed below affect our consolidated financial results, but are not allocated between segments.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Administrative expenses in the current year-to-date period were $15.5 million compared to $13.5 million in the prior year-to-date period. This is an improvement of 0.6 of a percentage point to 12.8% when measured as a percent of net revenue. The dollar increase was due primarily to a $0.8 million increase in stock compensation and a $0.5 million increase in administrative labor and benefits.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Depreciation and amortization expense was $4.7 million in the current year, compared to $4.3 million in the prior year. Depreciation on assets placed in service, primarily related to new EZMONEY stores, exceeded the reduction from assets that became fully depreciated or were retired.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earned $0.9 million of interest income on our invested cash in the current year-to-date period for an annualized rate of return of 5.0%. In the comparable prior year period, we earned $0.1 million of interest income on our invested cash, yielding a 3.6% annualized rate of return.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Since we had no debt throughout the current year-to-date period, our $0.1 million interest expense was comprised mostly of the amortization of deferred financing costs and the commitment fee on our line of credit. Interest expense in the prior year-to-date period was $0.4 million. In that period, we had an average debt balance of $3.0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year-to-date income tax expense was $11.7 million (37.0% of pretax income) compared to $8.3 million (36.4% of pretax income) for the prior year period. The increase in effective tax rate between these periods is due primarily to a legislative change increasing our expected taxes in Texas.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operating income for the current year-to-date period improved $7.6 million over the prior year-to-date period to $29.5 million. Contributing to this were the $5.2 million and $4.9 million increases in store operating income in our EZPAWN and EZMONEY Operations segments, partially offset by the $2.0 million increase in administrative expenses. After a $1.0 million improvement in net interest and a $3.4 million increase in income taxes and other smaller items, net income improved to $20.0 million in the current year-to-date period from $14.5 million in the prior year-to-date period.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Liquidity and Capital Resources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our $24.4 million cash flow from operations consisted of (a) net income plus several non-cash items, aggregating to $25.7 million, net of (b) $1.4 million of changes in operating assets and liabilities, primarily accounts payable and accrued expenses. In the prior year-to-date period, our $18.8 million cash flow from operations consisted of (a) net income plus several non-cash items, aggregating to $19.2 million, offset by (b) $0.4 million of changes in operating assets and liabilities. The primary differences between cash flow from operations between the two periods were an increase in signature loan fees collected and gross profit on sales of inventory.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investing activities provided $5.5 million of cash during the current year-to-date period, consisting primarily of the $13.1 million excess of pawn loan repayments and principal recovery through the sale of forfeited collateral over pawn loans made and the $0.8 million of dividends received from an unconsolidated affiliate. Partially offsetting this was $6.2 million invested in property and equipment and $2.2 million in funding payday loans net of repayments. We also received $2.1 million from the exercise of employee stock options and related excess tax benefits in the current year-to-date period. The net effect of these and other smaller cash flows was a $31.7 million increase in cash on hand, providing a $61.6 million ending cash balance.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Below is a summary of our cash needs to meet future aggregate contractual obligations (</w:t>
      </w:r>
      <w:r>
        <w:rPr>
          <w:rFonts w:ascii="Times New Roman;Times;serif" w:hAnsi="Times New Roman;Times;serif"/>
          <w:i/>
          <w:sz w:val="17"/>
        </w:rPr>
        <w:t>in millions)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555"/>
        <w:gridCol w:w="259"/>
        <w:gridCol w:w="157"/>
        <w:gridCol w:w="672"/>
        <w:gridCol w:w="91"/>
        <w:gridCol w:w="259"/>
        <w:gridCol w:w="225"/>
        <w:gridCol w:w="786"/>
        <w:gridCol w:w="91"/>
        <w:gridCol w:w="259"/>
        <w:gridCol w:w="218"/>
        <w:gridCol w:w="768"/>
        <w:gridCol w:w="91"/>
        <w:gridCol w:w="258"/>
        <w:gridCol w:w="218"/>
        <w:gridCol w:w="768"/>
        <w:gridCol w:w="91"/>
        <w:gridCol w:w="259"/>
        <w:gridCol w:w="240"/>
        <w:gridCol w:w="833"/>
        <w:gridCol w:w="107"/>
      </w:tblGrid>
      <w:tr>
        <w:trPr/>
        <w:tc>
          <w:tcPr>
            <w:tcW w:w="35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35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6284" w:type="dxa"/>
            <w:gridSpan w:val="18"/>
            <w:tcBorders>
              <w:bottom w:val="single" w:sz="2" w:space="0" w:color="000000"/>
            </w:tcBorders>
            <w:shd w:fill="auto" w:val="clear"/>
            <w:tcMar>
              <w:bottom w:w="28" w:type="dxa"/>
            </w:tcMar>
            <w:vAlign w:val="bottom"/>
          </w:tcPr>
          <w:p>
            <w:pPr>
              <w:pStyle w:val="TableContents"/>
              <w:spacing w:before="0" w:after="283"/>
              <w:jc w:val="center"/>
              <w:rPr/>
            </w:pPr>
            <w:r>
              <w:rPr/>
              <w:t>Payments due by Period</w:t>
            </w:r>
          </w:p>
        </w:tc>
        <w:tc>
          <w:tcPr>
            <w:tcW w:w="107" w:type="dxa"/>
            <w:tcBorders/>
            <w:shd w:fill="auto" w:val="clear"/>
            <w:vAlign w:val="bottom"/>
          </w:tcPr>
          <w:p>
            <w:pPr>
              <w:pStyle w:val="TableContents"/>
              <w:spacing w:before="0" w:after="283"/>
              <w:rPr/>
            </w:pPr>
            <w:r>
              <w:rPr/>
              <w:t> </w:t>
            </w:r>
          </w:p>
        </w:tc>
      </w:tr>
      <w:tr>
        <w:trPr/>
        <w:tc>
          <w:tcPr>
            <w:tcW w:w="35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011" w:type="dxa"/>
            <w:gridSpan w:val="2"/>
            <w:tcBorders/>
            <w:shd w:fill="auto" w:val="clear"/>
            <w:vAlign w:val="bottom"/>
          </w:tcPr>
          <w:p>
            <w:pPr>
              <w:pStyle w:val="TableContents"/>
              <w:spacing w:before="0" w:after="283"/>
              <w:jc w:val="center"/>
              <w:rPr/>
            </w:pPr>
            <w:r>
              <w:rPr/>
              <w:t>Less than</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jc w:val="center"/>
              <w:rPr/>
            </w:pPr>
            <w:r>
              <w:rPr/>
              <w:t>More than</w:t>
            </w:r>
          </w:p>
        </w:tc>
        <w:tc>
          <w:tcPr>
            <w:tcW w:w="107" w:type="dxa"/>
            <w:tcBorders/>
            <w:shd w:fill="auto" w:val="clear"/>
            <w:vAlign w:val="bottom"/>
          </w:tcPr>
          <w:p>
            <w:pPr>
              <w:pStyle w:val="TableContents"/>
              <w:spacing w:before="0" w:after="283"/>
              <w:rPr/>
            </w:pPr>
            <w:r>
              <w:rPr/>
              <w:t> </w:t>
            </w:r>
          </w:p>
        </w:tc>
      </w:tr>
      <w:tr>
        <w:trPr/>
        <w:tc>
          <w:tcPr>
            <w:tcW w:w="3555" w:type="dxa"/>
            <w:tcBorders>
              <w:bottom w:val="single" w:sz="2" w:space="0" w:color="000000"/>
            </w:tcBorders>
            <w:shd w:fill="auto" w:val="clear"/>
            <w:tcMar>
              <w:bottom w:w="28" w:type="dxa"/>
            </w:tcMar>
            <w:vAlign w:val="bottom"/>
          </w:tcPr>
          <w:p>
            <w:pPr>
              <w:pStyle w:val="TableContents"/>
              <w:spacing w:before="0" w:after="283"/>
              <w:jc w:val="left"/>
              <w:rPr/>
            </w:pPr>
            <w:r>
              <w:rPr/>
              <w:t>Contractual Obligations</w:t>
            </w:r>
          </w:p>
        </w:tc>
        <w:tc>
          <w:tcPr>
            <w:tcW w:w="259"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011" w:type="dxa"/>
            <w:gridSpan w:val="2"/>
            <w:tcBorders>
              <w:bottom w:val="single" w:sz="2" w:space="0" w:color="000000"/>
            </w:tcBorders>
            <w:shd w:fill="auto" w:val="clear"/>
            <w:tcMar>
              <w:bottom w:w="28" w:type="dxa"/>
            </w:tcMar>
            <w:vAlign w:val="bottom"/>
          </w:tcPr>
          <w:p>
            <w:pPr>
              <w:pStyle w:val="TableContents"/>
              <w:spacing w:before="0" w:after="283"/>
              <w:jc w:val="center"/>
              <w:rPr/>
            </w:pPr>
            <w:r>
              <w:rPr/>
              <w:t>1 year</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986" w:type="dxa"/>
            <w:gridSpan w:val="2"/>
            <w:tcBorders>
              <w:bottom w:val="single" w:sz="2" w:space="0" w:color="000000"/>
            </w:tcBorders>
            <w:shd w:fill="auto" w:val="clear"/>
            <w:tcMar>
              <w:bottom w:w="28" w:type="dxa"/>
            </w:tcMar>
            <w:vAlign w:val="bottom"/>
          </w:tcPr>
          <w:p>
            <w:pPr>
              <w:pStyle w:val="TableContents"/>
              <w:spacing w:before="0" w:after="283"/>
              <w:jc w:val="center"/>
              <w:rPr/>
            </w:pPr>
            <w:r>
              <w:rPr/>
              <w:t>1-3 years</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986" w:type="dxa"/>
            <w:gridSpan w:val="2"/>
            <w:tcBorders>
              <w:bottom w:val="single" w:sz="2" w:space="0" w:color="000000"/>
            </w:tcBorders>
            <w:shd w:fill="auto" w:val="clear"/>
            <w:tcMar>
              <w:bottom w:w="28" w:type="dxa"/>
            </w:tcMar>
            <w:vAlign w:val="bottom"/>
          </w:tcPr>
          <w:p>
            <w:pPr>
              <w:pStyle w:val="TableContents"/>
              <w:spacing w:before="0" w:after="283"/>
              <w:jc w:val="center"/>
              <w:rPr/>
            </w:pPr>
            <w:r>
              <w:rPr/>
              <w:t>3-5 years</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073" w:type="dxa"/>
            <w:gridSpan w:val="2"/>
            <w:tcBorders>
              <w:bottom w:val="single" w:sz="2" w:space="0" w:color="000000"/>
            </w:tcBorders>
            <w:shd w:fill="auto" w:val="clear"/>
            <w:tcMar>
              <w:bottom w:w="28" w:type="dxa"/>
            </w:tcMar>
            <w:vAlign w:val="bottom"/>
          </w:tcPr>
          <w:p>
            <w:pPr>
              <w:pStyle w:val="TableContents"/>
              <w:spacing w:before="0" w:after="283"/>
              <w:jc w:val="center"/>
              <w:rPr/>
            </w:pPr>
            <w:r>
              <w:rPr/>
              <w:t>5 years</w:t>
            </w:r>
          </w:p>
        </w:tc>
        <w:tc>
          <w:tcPr>
            <w:tcW w:w="107" w:type="dxa"/>
            <w:tcBorders/>
            <w:shd w:fill="auto" w:val="clear"/>
            <w:vAlign w:val="bottom"/>
          </w:tcPr>
          <w:p>
            <w:pPr>
              <w:pStyle w:val="TableContents"/>
              <w:spacing w:before="0" w:after="283"/>
              <w:rPr/>
            </w:pPr>
            <w:r>
              <w:rPr/>
              <w:t> </w:t>
            </w:r>
          </w:p>
        </w:tc>
      </w:tr>
      <w:tr>
        <w:trPr/>
        <w:tc>
          <w:tcPr>
            <w:tcW w:w="3555" w:type="dxa"/>
            <w:tcBorders/>
            <w:shd w:fill="auto" w:val="clear"/>
            <w:vAlign w:val="bottom"/>
          </w:tcPr>
          <w:p>
            <w:pPr>
              <w:pStyle w:val="TableContents"/>
              <w:spacing w:before="0" w:after="0"/>
              <w:ind w:left="225" w:right="0" w:hanging="225"/>
              <w:rPr/>
            </w:pPr>
            <w:r>
              <w:rPr/>
              <w:t> </w:t>
            </w:r>
          </w:p>
        </w:tc>
        <w:tc>
          <w:tcPr>
            <w:tcW w:w="25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3555" w:type="dxa"/>
            <w:tcBorders/>
            <w:shd w:fill="CCEEFF" w:val="clear"/>
            <w:vAlign w:val="bottom"/>
          </w:tcPr>
          <w:p>
            <w:pPr>
              <w:pStyle w:val="TableContents"/>
              <w:spacing w:before="0" w:after="0"/>
              <w:ind w:left="225" w:right="0" w:hanging="225"/>
              <w:rPr/>
            </w:pPr>
            <w:r>
              <w:rPr/>
              <w:t>Long-term debt obligations</w:t>
            </w:r>
          </w:p>
        </w:tc>
        <w:tc>
          <w:tcPr>
            <w:tcW w:w="25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672"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786"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jc w:val="left"/>
              <w:rPr/>
            </w:pPr>
            <w:r>
              <w:rPr/>
              <w:t>$</w:t>
            </w:r>
          </w:p>
        </w:tc>
        <w:tc>
          <w:tcPr>
            <w:tcW w:w="768"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jc w:val="left"/>
              <w:rPr/>
            </w:pPr>
            <w:r>
              <w:rPr/>
              <w:t>$</w:t>
            </w:r>
          </w:p>
        </w:tc>
        <w:tc>
          <w:tcPr>
            <w:tcW w:w="768"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w:t>
            </w:r>
          </w:p>
        </w:tc>
        <w:tc>
          <w:tcPr>
            <w:tcW w:w="107" w:type="dxa"/>
            <w:tcBorders/>
            <w:shd w:fill="CCEEFF" w:val="clear"/>
            <w:vAlign w:val="bottom"/>
          </w:tcPr>
          <w:p>
            <w:pPr>
              <w:pStyle w:val="TableContents"/>
              <w:spacing w:before="0" w:after="283"/>
              <w:rPr/>
            </w:pPr>
            <w:r>
              <w:rPr/>
              <w:t> </w:t>
            </w:r>
          </w:p>
        </w:tc>
      </w:tr>
      <w:tr>
        <w:trPr/>
        <w:tc>
          <w:tcPr>
            <w:tcW w:w="3555" w:type="dxa"/>
            <w:tcBorders/>
            <w:shd w:fill="auto" w:val="clear"/>
            <w:vAlign w:val="bottom"/>
          </w:tcPr>
          <w:p>
            <w:pPr>
              <w:pStyle w:val="TableContents"/>
              <w:spacing w:before="0" w:after="0"/>
              <w:ind w:left="225" w:right="0" w:hanging="225"/>
              <w:rPr/>
            </w:pPr>
            <w:r>
              <w:rPr/>
              <w:t>Interest on long-term debt obligations</w:t>
            </w:r>
          </w:p>
        </w:tc>
        <w:tc>
          <w:tcPr>
            <w:tcW w:w="25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pPr>
            <w:r>
              <w:rPr/>
              <w:t>0.3</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0.1</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0.2</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r>
      <w:tr>
        <w:trPr/>
        <w:tc>
          <w:tcPr>
            <w:tcW w:w="3555" w:type="dxa"/>
            <w:tcBorders/>
            <w:shd w:fill="CCEEFF" w:val="clear"/>
            <w:vAlign w:val="bottom"/>
          </w:tcPr>
          <w:p>
            <w:pPr>
              <w:pStyle w:val="TableContents"/>
              <w:spacing w:before="0" w:after="0"/>
              <w:ind w:left="225" w:right="0" w:hanging="225"/>
              <w:rPr/>
            </w:pPr>
            <w:r>
              <w:rPr/>
              <w:t>Capital lease obligations</w:t>
            </w:r>
          </w:p>
        </w:tc>
        <w:tc>
          <w:tcPr>
            <w:tcW w:w="25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w:t>
            </w:r>
          </w:p>
        </w:tc>
        <w:tc>
          <w:tcPr>
            <w:tcW w:w="107" w:type="dxa"/>
            <w:tcBorders/>
            <w:shd w:fill="CCEEFF" w:val="clear"/>
            <w:vAlign w:val="bottom"/>
          </w:tcPr>
          <w:p>
            <w:pPr>
              <w:pStyle w:val="TableContents"/>
              <w:spacing w:before="0" w:after="283"/>
              <w:rPr/>
            </w:pPr>
            <w:r>
              <w:rPr/>
              <w:t> </w:t>
            </w:r>
          </w:p>
        </w:tc>
      </w:tr>
      <w:tr>
        <w:trPr/>
        <w:tc>
          <w:tcPr>
            <w:tcW w:w="3555" w:type="dxa"/>
            <w:tcBorders/>
            <w:shd w:fill="auto" w:val="clear"/>
            <w:vAlign w:val="bottom"/>
          </w:tcPr>
          <w:p>
            <w:pPr>
              <w:pStyle w:val="TableContents"/>
              <w:spacing w:before="0" w:after="0"/>
              <w:ind w:left="225" w:right="0" w:hanging="225"/>
              <w:rPr/>
            </w:pPr>
            <w:r>
              <w:rPr/>
              <w:t>Operating lease obligations</w:t>
            </w:r>
          </w:p>
        </w:tc>
        <w:tc>
          <w:tcPr>
            <w:tcW w:w="25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pPr>
            <w:r>
              <w:rPr/>
              <w:t>121.7</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18.0</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31.3</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25.6</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46.8</w:t>
            </w:r>
          </w:p>
        </w:tc>
        <w:tc>
          <w:tcPr>
            <w:tcW w:w="107" w:type="dxa"/>
            <w:tcBorders/>
            <w:shd w:fill="auto" w:val="clear"/>
            <w:vAlign w:val="bottom"/>
          </w:tcPr>
          <w:p>
            <w:pPr>
              <w:pStyle w:val="TableContents"/>
              <w:spacing w:before="0" w:after="283"/>
              <w:rPr/>
            </w:pPr>
            <w:r>
              <w:rPr/>
              <w:t> </w:t>
            </w:r>
          </w:p>
        </w:tc>
      </w:tr>
      <w:tr>
        <w:trPr/>
        <w:tc>
          <w:tcPr>
            <w:tcW w:w="3555" w:type="dxa"/>
            <w:tcBorders/>
            <w:shd w:fill="CCEEFF" w:val="clear"/>
            <w:vAlign w:val="bottom"/>
          </w:tcPr>
          <w:p>
            <w:pPr>
              <w:pStyle w:val="TableContents"/>
              <w:spacing w:before="0" w:after="0"/>
              <w:ind w:left="225" w:right="0" w:hanging="225"/>
              <w:rPr/>
            </w:pPr>
            <w:r>
              <w:rPr/>
              <w:t>Purchase obligations</w:t>
            </w:r>
          </w:p>
        </w:tc>
        <w:tc>
          <w:tcPr>
            <w:tcW w:w="25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w:t>
            </w:r>
          </w:p>
        </w:tc>
        <w:tc>
          <w:tcPr>
            <w:tcW w:w="107" w:type="dxa"/>
            <w:tcBorders/>
            <w:shd w:fill="CCEEFF" w:val="clear"/>
            <w:vAlign w:val="bottom"/>
          </w:tcPr>
          <w:p>
            <w:pPr>
              <w:pStyle w:val="TableContents"/>
              <w:spacing w:before="0" w:after="283"/>
              <w:rPr/>
            </w:pPr>
            <w:r>
              <w:rPr/>
              <w:t> </w:t>
            </w:r>
          </w:p>
        </w:tc>
      </w:tr>
      <w:tr>
        <w:trPr/>
        <w:tc>
          <w:tcPr>
            <w:tcW w:w="3555" w:type="dxa"/>
            <w:tcBorders/>
            <w:shd w:fill="auto" w:val="clear"/>
            <w:vAlign w:val="bottom"/>
          </w:tcPr>
          <w:p>
            <w:pPr>
              <w:pStyle w:val="TableContents"/>
              <w:spacing w:before="0" w:after="0"/>
              <w:ind w:left="225" w:right="0" w:hanging="225"/>
              <w:rPr/>
            </w:pPr>
            <w:r>
              <w:rPr/>
              <w:t>Other long-term liabilities</w:t>
            </w:r>
          </w:p>
        </w:tc>
        <w:tc>
          <w:tcPr>
            <w:tcW w:w="25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r>
      <w:tr>
        <w:trPr/>
        <w:tc>
          <w:tcPr>
            <w:tcW w:w="3555" w:type="dxa"/>
            <w:tcBorders/>
            <w:shd w:fill="auto" w:val="clear"/>
            <w:vAlign w:val="center"/>
          </w:tcPr>
          <w:p>
            <w:pPr>
              <w:pStyle w:val="TableContents"/>
              <w:spacing w:before="0" w:after="0"/>
              <w:ind w:left="225" w:right="0" w:hanging="225"/>
              <w:rPr/>
            </w:pPr>
            <w:r>
              <w:rPr/>
              <w:t> </w:t>
            </w:r>
          </w:p>
        </w:tc>
        <w:tc>
          <w:tcPr>
            <w:tcW w:w="259" w:type="dxa"/>
            <w:tcBorders/>
            <w:shd w:fill="auto" w:val="clear"/>
            <w:vAlign w:val="center"/>
          </w:tcPr>
          <w:p>
            <w:pPr>
              <w:pStyle w:val="TableContents"/>
              <w:spacing w:before="0" w:after="283"/>
              <w:rPr/>
            </w:pPr>
            <w:r>
              <w:rPr/>
              <w:t> </w:t>
            </w:r>
          </w:p>
        </w:tc>
        <w:tc>
          <w:tcPr>
            <w:tcW w:w="8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0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0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3555" w:type="dxa"/>
            <w:tcBorders/>
            <w:shd w:fill="CCEEFF" w:val="clear"/>
            <w:vAlign w:val="bottom"/>
          </w:tcPr>
          <w:p>
            <w:pPr>
              <w:pStyle w:val="TableContents"/>
              <w:spacing w:before="0" w:after="0"/>
              <w:ind w:left="225" w:right="0" w:hanging="225"/>
              <w:rPr/>
            </w:pPr>
            <w:r>
              <w:rPr/>
              <w:t>Total</w:t>
            </w:r>
          </w:p>
        </w:tc>
        <w:tc>
          <w:tcPr>
            <w:tcW w:w="25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672" w:type="dxa"/>
            <w:tcBorders/>
            <w:shd w:fill="CCEEFF" w:val="clear"/>
            <w:vAlign w:val="bottom"/>
          </w:tcPr>
          <w:p>
            <w:pPr>
              <w:pStyle w:val="TableContents"/>
              <w:spacing w:before="0" w:after="283"/>
              <w:jc w:val="right"/>
              <w:rPr/>
            </w:pPr>
            <w:r>
              <w:rPr/>
              <w:t>122.0</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786" w:type="dxa"/>
            <w:tcBorders/>
            <w:shd w:fill="CCEEFF" w:val="clear"/>
            <w:vAlign w:val="bottom"/>
          </w:tcPr>
          <w:p>
            <w:pPr>
              <w:pStyle w:val="TableContents"/>
              <w:spacing w:before="0" w:after="283"/>
              <w:jc w:val="right"/>
              <w:rPr/>
            </w:pPr>
            <w:r>
              <w:rPr/>
              <w:t>18.1</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jc w:val="left"/>
              <w:rPr/>
            </w:pPr>
            <w:r>
              <w:rPr/>
              <w:t>$</w:t>
            </w:r>
          </w:p>
        </w:tc>
        <w:tc>
          <w:tcPr>
            <w:tcW w:w="768" w:type="dxa"/>
            <w:tcBorders/>
            <w:shd w:fill="CCEEFF" w:val="clear"/>
            <w:vAlign w:val="bottom"/>
          </w:tcPr>
          <w:p>
            <w:pPr>
              <w:pStyle w:val="TableContents"/>
              <w:spacing w:before="0" w:after="283"/>
              <w:jc w:val="right"/>
              <w:rPr/>
            </w:pPr>
            <w:r>
              <w:rPr/>
              <w:t>31.5</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jc w:val="left"/>
              <w:rPr/>
            </w:pPr>
            <w:r>
              <w:rPr/>
              <w:t>$</w:t>
            </w:r>
          </w:p>
        </w:tc>
        <w:tc>
          <w:tcPr>
            <w:tcW w:w="768" w:type="dxa"/>
            <w:tcBorders/>
            <w:shd w:fill="CCEEFF" w:val="clear"/>
            <w:vAlign w:val="bottom"/>
          </w:tcPr>
          <w:p>
            <w:pPr>
              <w:pStyle w:val="TableContents"/>
              <w:spacing w:before="0" w:after="283"/>
              <w:jc w:val="right"/>
              <w:rPr/>
            </w:pPr>
            <w:r>
              <w:rPr/>
              <w:t>25.6</w:t>
            </w:r>
          </w:p>
        </w:tc>
        <w:tc>
          <w:tcPr>
            <w:tcW w:w="9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46.8</w:t>
            </w:r>
          </w:p>
        </w:tc>
        <w:tc>
          <w:tcPr>
            <w:tcW w:w="107" w:type="dxa"/>
            <w:tcBorders/>
            <w:shd w:fill="CCEEFF" w:val="clear"/>
            <w:vAlign w:val="bottom"/>
          </w:tcPr>
          <w:p>
            <w:pPr>
              <w:pStyle w:val="TableContents"/>
              <w:spacing w:before="0" w:after="283"/>
              <w:rPr/>
            </w:pPr>
            <w:r>
              <w:rPr/>
              <w:t> </w:t>
            </w:r>
          </w:p>
        </w:tc>
      </w:tr>
      <w:tr>
        <w:trPr/>
        <w:tc>
          <w:tcPr>
            <w:tcW w:w="3555" w:type="dxa"/>
            <w:tcBorders/>
            <w:shd w:fill="auto" w:val="clear"/>
            <w:vAlign w:val="center"/>
          </w:tcPr>
          <w:p>
            <w:pPr>
              <w:pStyle w:val="TableContents"/>
              <w:spacing w:before="0" w:after="0"/>
              <w:ind w:left="225" w:right="0" w:hanging="225"/>
              <w:rPr/>
            </w:pPr>
            <w:r>
              <w:rPr/>
              <w:t> </w:t>
            </w:r>
          </w:p>
        </w:tc>
        <w:tc>
          <w:tcPr>
            <w:tcW w:w="259" w:type="dxa"/>
            <w:tcBorders/>
            <w:shd w:fill="auto" w:val="clear"/>
            <w:vAlign w:val="center"/>
          </w:tcPr>
          <w:p>
            <w:pPr>
              <w:pStyle w:val="TableContents"/>
              <w:spacing w:before="0" w:after="283"/>
              <w:rPr/>
            </w:pPr>
            <w:r>
              <w:rPr/>
              <w:t> </w:t>
            </w:r>
          </w:p>
        </w:tc>
        <w:tc>
          <w:tcPr>
            <w:tcW w:w="8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01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0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contractual obligations in the table above, we are obligated under letters of credit issued to unaffiliated lenders as part of our credit service operations. At March 31, 2007, our maximum exposure for losses on letters of credit, if all brokered loans defaulted and none was collected, was $17.9 million. This amount includes principal, interest and insufficient funds fees.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April 2007, we announced our plans to acquire fifteen additional pawn stores from a competitor in Colorado, and expect that purchase to be completed in June 2007. The purchase price of approximately $23 million will be paid with cash on hand.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remaining six months of the fiscal year ending September 30, 2007, we plan to open approximately 65 new stores for an expected capital expenditure of approximately $3.8 million, plus the funding of working capital and start-up losses at these stores. We believe these new stores will create a drag on earnings and liquidity in their first six to nine months of operations before turning profitable.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had no debt outstanding at March 31, 2007. Our credit agreement provides for a $40 million revolving credit facility secured by our assets, and matures October 1, 2009. Under the terms of the agreement, we could borrow the full $40 million at March 31, 2007. Terms of the agreement require, among other things, that we meet certain financial covenants. Payment of dividends and additional debt are allowed but restricted. The interest amount shown in the table above reflects the commitment fee we anticipate paying through the maturity of the credit agreement, assuming we remain debt-free.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anticipate that cash flow from operations, cash on hand and availability under our revolving credit facility will be adequate to fund our contractual obligations, planned store growth and acquisition, capital expenditures and working capital requirements during the coming year.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Seasonality</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Historically, fee and service charge revenues are highest in our fourth fiscal quarter (July through September) due to a higher average loan balance during the summer lending season. Merchandise sales generally are highest in the first and second fiscal quarters (October through March) due to the holiday season, jewelry sales surrounding Valentines Day, and the impact of tax refunds. Jewelry scrapping sales are heavily influenced by the timing of decisions to scrap excess jewelry inventory. The majority of jewelry scrapping sales generally occurs during our fourth fiscal quarter (July through September) due to low jewelry merchandise sales in that quarter. The net effect of these factors is that net revenues and net income typically are highest in the fourth fiscal quarter, with the first fiscal quarter being second highest. Our cash flow typically is greatest in the second fiscal quarter due to a high level of loan redemptions and sales in the income tax refund season.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Use of Estimates and Assumptions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Managements Discussion and Analysis of Financial Condition and Results of Operations is based on our condensed consolidated financial statements. We prepared those statements according to accounting principles generally accepted in the United States for interim financial information. We must make estimates and assumptions that affect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reported amounts of assets, liabilities, revenues and expenses and related disclosure of contingent assets and liabilities. On an on-going basis, we evaluate our estimates and judgments, including those related to revenue recognition, inventory, allowance for losses on signature loans, long-lived and intangible assets, income taxes, contingencies and litigation. We base our estimates on historical experience, observable trends and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 </w:t>
      </w:r>
    </w:p>
    <w:p>
      <w:pPr>
        <w:pStyle w:val="TextBody"/>
        <w:spacing w:before="240" w:after="283"/>
        <w:jc w:val="left"/>
        <w:rPr>
          <w:rFonts w:ascii="Times New Roman;Times;serif" w:hAnsi="Times New Roman;Times;serif"/>
          <w:sz w:val="17"/>
        </w:rPr>
      </w:pPr>
      <w:bookmarkStart w:id="10" w:name="307"/>
      <w:bookmarkEnd w:id="10"/>
      <w:r>
        <w:rPr>
          <w:rFonts w:ascii="Times New Roman;Times;serif" w:hAnsi="Times New Roman;Times;serif"/>
          <w:b/>
          <w:i/>
          <w:sz w:val="17"/>
        </w:rPr>
        <w:t>Item 3. Quantitative and Qualitative Disclosures about Market Risk</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discussion about our market risk disclosures involves forward-looking statements. Actual results could differ materially from those projected in the forward-looking statements. We are exposed to market risk related to changes in foreign currency exchange rates and gold values. We also are exposed to regulatory risk in relation to our credit services, payday loans and pawn operations. We do not use derivative financial instruments.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and financial position may be affected by changes in gold values and the resulting impact on pawn lending and jewelry sales. The proceeds of scrap sales and our ability to sell excess jewelry inventory at an acceptable margin depend on gold values. The impact on our financial position and results of operations of a hypothetical change in gold values cannot be reasonably estimated. For further discussion, you should read Risk Factors in Part I, Item 1A of our Annual Report on Form 10-K for the year ended September 30,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and financial position are affected by foreign exchange rate fluctuations related to our equity investment in A&amp;B. A&amp;Bs functional currency is the U.K. pound. The impact on our results of operations and financial position of a hypothetical change in the exchange rate between the U.S. dollar and the U.K. pound cannot be reasonably estimated due to the interrelationship of operating results and exchange rates. The translation adjustment representing the strengthening in the U.K. pound during the quarter ended December 31, 2006 (included in our March 31, 2007 results on a three-month lag as described above) was a $643,000 increase, net of tax effect, to stockholders equity. On March 31, 2007, the U.K. pound strengthened to £1.00 to $1.9625 U.S. from $1.9591 U.S. at December 31, 2006. We cannot assure the future valuation of the U.K. pound or how further movements in the pound could affect our future earnings or financial position.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Similar to the discussion above regarding the U.K. pound, fluctuations in the exchange rate for the Mexican peso also affect our earnings and financial position due to our pawn operations recently introduced in Mexico. Currently these operations are not material. The translation adjustment representing the weakening in the Mexican peso during the quarter ended March 31, 2007 was a $7,000 decrease, net of tax effect, to stockholders equity.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Forward-Looking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Quarterly Report on Form 10-Q, including Managements Discussion and Analysis of Financial Condition and Results of Operations, includes forward-looking statements within the meaning of Section 27A of the Securities Act of 1933, as amended, and Section 21E of the Securities Exchange Act of 1934, as amended. We intend that all forward-looking statements be subject to the safe harbors created by these laws. All statements other than statements of historical information are forward-looking and may contain information about financial results, economic conditions, trends, planned store openings, acquisitions and known uncertainties. These statements are often, but not always, made with words or phrases like may, should, could, predict, potential, believe, expect, anticipate, seek, estimate, intend, plan, projection, outlook, expect, will, and similar expressions. All forward-looking statements are based on current expectations regarding important risk factors. Many of these risks and uncertainties are beyond our control, and in many cases, we cannot predict all of the risks and uncertainties that could cause our actual results to differ materially from those expressed in the forward-looking statements. Actual results could differ materially from those expressed in the forward-looking statements, and you should not regard them as a representation that the expected results will be achieved. Important risk factors that could cause results or events to differ from current expectations are described in Part II, Item 1A, Risk Factors, of this Quarterly Report and in the section entitled Risk Factors in our Annual Report on Form 10-K for the year ended September 30, 2006. These factors are not intended to be an all-encompassing list of risks and uncertainties that may affect our operations, performance, development and results. You are cautioned not to overly rely on these forward-looking statements, which are current only as of the date of this report. We undertake no obligation to release publicly the results of any revisions to these forward-looking statements that may be made to reflect events </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or circumstances after the date of this report, including without limitation, changes in our business strategy or planned capital expenditures, store growth plans or to reflect unanticipated events. </w:t>
      </w:r>
    </w:p>
    <w:p>
      <w:pPr>
        <w:pStyle w:val="TextBody"/>
        <w:spacing w:before="240" w:after="283"/>
        <w:jc w:val="left"/>
        <w:rPr>
          <w:rFonts w:ascii="Times New Roman;Times;serif" w:hAnsi="Times New Roman;Times;serif"/>
          <w:sz w:val="17"/>
        </w:rPr>
      </w:pPr>
      <w:bookmarkStart w:id="11" w:name="308"/>
      <w:bookmarkEnd w:id="11"/>
      <w:r>
        <w:rPr>
          <w:rFonts w:ascii="Times New Roman;Times;serif" w:hAnsi="Times New Roman;Times;serif"/>
          <w:b/>
          <w:i/>
          <w:sz w:val="17"/>
        </w:rPr>
        <w:t>Item 4. Controls and Procedures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Evaluation of Disclosure Controls and Procedures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Under the supervision and with the participation of our Chief Executive Officer and Chief Financial Officer, we have evaluated the effectiveness of the design and operation of our disclosure controls and procedures (as defined in Rules 13a-15(e) and 15d-15(e) under the Securities Exchange Act of 1934) as of March 31, 2007. Based upon that evaluation, the Chief Executive Officer and Chief Financial Officer concluded that, as of March 31, 2007, our disclosure controls and procedures are effective to ensure that information required to be disclosed in reports we file or submit under the Exchange Act is recorded, processed, summarized and reported within the time periods specified in SEC rules and forms.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(b) Changes in Internal Controls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were no changes in our internal controls that occurred during the last fiscal quarter that have materially affected, or are reasonably likely to materially affect, our internal control over financial reporting.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2" w:name="309"/>
      <w:bookmarkEnd w:id="12"/>
      <w:r>
        <w:rPr>
          <w:rFonts w:ascii="Times New Roman;Times;serif" w:hAnsi="Times New Roman;Times;serif"/>
          <w:b/>
          <w:sz w:val="17"/>
        </w:rPr>
        <w:t>PART II</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bookmarkStart w:id="13" w:name="310"/>
      <w:bookmarkEnd w:id="13"/>
      <w:r>
        <w:rPr>
          <w:rFonts w:ascii="Times New Roman;Times;serif" w:hAnsi="Times New Roman;Times;serif"/>
          <w:b/>
          <w:i/>
          <w:sz w:val="17"/>
        </w:rPr>
        <w:t>Item 1. Legal Proceedings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See Note F, Contingencies, in the Notes to the Interim Condensed Consolidated Financial Statements included in this filing. </w:t>
      </w:r>
    </w:p>
    <w:p>
      <w:pPr>
        <w:pStyle w:val="TextBody"/>
        <w:spacing w:before="240" w:after="283"/>
        <w:jc w:val="left"/>
        <w:rPr>
          <w:rFonts w:ascii="Times New Roman;Times;serif" w:hAnsi="Times New Roman;Times;serif"/>
          <w:sz w:val="17"/>
        </w:rPr>
      </w:pPr>
      <w:bookmarkStart w:id="14" w:name="311"/>
      <w:bookmarkEnd w:id="14"/>
      <w:r>
        <w:rPr>
          <w:rFonts w:ascii="Times New Roman;Times;serif" w:hAnsi="Times New Roman;Times;serif"/>
          <w:b/>
          <w:i/>
          <w:sz w:val="17"/>
        </w:rPr>
        <w:t>Item 1A. Risk Factors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Important risk factors that could cause results or events to differ from current expectations are described in Part I, Item 1A, Risk Factors of our Annual Report on Form 10-K for the year ended September 30, 2006. These factors are supplemented by those discussed under Quantitative and Qualitative Disclosures about Market Risk in Part I, Item 3 of this report and in Part II, Item 7A of our Annual Report on Form 10-K for the year ended September 30, 2006. </w:t>
      </w:r>
    </w:p>
    <w:p>
      <w:pPr>
        <w:pStyle w:val="TextBody"/>
        <w:spacing w:before="240" w:after="283"/>
        <w:jc w:val="left"/>
        <w:rPr>
          <w:rFonts w:ascii="Times New Roman;Times;serif" w:hAnsi="Times New Roman;Times;serif"/>
          <w:sz w:val="17"/>
        </w:rPr>
      </w:pPr>
      <w:bookmarkStart w:id="15" w:name="312"/>
      <w:bookmarkEnd w:id="15"/>
      <w:r>
        <w:rPr>
          <w:rFonts w:ascii="Times New Roman;Times;serif" w:hAnsi="Times New Roman;Times;serif"/>
          <w:b/>
          <w:i/>
          <w:sz w:val="17"/>
        </w:rPr>
        <w:t>Item 6.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31"/>
        <w:gridCol w:w="204"/>
        <w:gridCol w:w="9170"/>
      </w:tblGrid>
      <w:tr>
        <w:trPr/>
        <w:tc>
          <w:tcPr>
            <w:tcW w:w="83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170" w:type="dxa"/>
            <w:tcBorders/>
            <w:shd w:fill="auto" w:val="clear"/>
            <w:vAlign w:val="bottom"/>
          </w:tcPr>
          <w:p>
            <w:pPr>
              <w:pStyle w:val="TableContents"/>
              <w:spacing w:before="0" w:after="283"/>
              <w:rPr/>
            </w:pPr>
            <w:r>
              <w:rPr/>
              <w:t> </w:t>
            </w:r>
          </w:p>
        </w:tc>
      </w:tr>
      <w:tr>
        <w:trPr/>
        <w:tc>
          <w:tcPr>
            <w:tcW w:w="831" w:type="dxa"/>
            <w:tcBorders/>
            <w:shd w:fill="auto" w:val="clear"/>
            <w:vAlign w:val="bottom"/>
          </w:tcPr>
          <w:p>
            <w:pPr>
              <w:pStyle w:val="TableContents"/>
              <w:spacing w:before="0" w:after="283"/>
              <w:jc w:val="left"/>
              <w:rPr/>
            </w:pPr>
            <w:r>
              <w:rPr/>
              <w:t>Exhibit</w:t>
            </w:r>
          </w:p>
        </w:tc>
        <w:tc>
          <w:tcPr>
            <w:tcW w:w="204" w:type="dxa"/>
            <w:tcBorders/>
            <w:shd w:fill="auto" w:val="clear"/>
            <w:vAlign w:val="bottom"/>
          </w:tcPr>
          <w:p>
            <w:pPr>
              <w:pStyle w:val="TableContents"/>
              <w:spacing w:before="0" w:after="283"/>
              <w:rPr/>
            </w:pPr>
            <w:r>
              <w:rPr/>
              <w:t> </w:t>
            </w:r>
          </w:p>
        </w:tc>
        <w:tc>
          <w:tcPr>
            <w:tcW w:w="9170" w:type="dxa"/>
            <w:tcBorders/>
            <w:shd w:fill="auto" w:val="clear"/>
            <w:vAlign w:val="bottom"/>
          </w:tcPr>
          <w:p>
            <w:pPr>
              <w:pStyle w:val="TableContents"/>
              <w:spacing w:before="0" w:after="283"/>
              <w:jc w:val="center"/>
              <w:rPr/>
            </w:pPr>
            <w:r>
              <w:rPr/>
              <w:t> </w:t>
            </w:r>
          </w:p>
        </w:tc>
      </w:tr>
      <w:tr>
        <w:trPr/>
        <w:tc>
          <w:tcPr>
            <w:tcW w:w="831" w:type="dxa"/>
            <w:tcBorders>
              <w:bottom w:val="single" w:sz="2" w:space="0" w:color="000000"/>
            </w:tcBorders>
            <w:shd w:fill="auto" w:val="clear"/>
            <w:tcMar>
              <w:bottom w:w="28" w:type="dxa"/>
            </w:tcMar>
            <w:vAlign w:val="bottom"/>
          </w:tcPr>
          <w:p>
            <w:pPr>
              <w:pStyle w:val="TableContents"/>
              <w:spacing w:before="0" w:after="283"/>
              <w:jc w:val="left"/>
              <w:rPr/>
            </w:pPr>
            <w:r>
              <w:rPr/>
              <w:t>Number</w:t>
            </w:r>
          </w:p>
        </w:tc>
        <w:tc>
          <w:tcPr>
            <w:tcW w:w="204" w:type="dxa"/>
            <w:tcBorders/>
            <w:shd w:fill="auto" w:val="clear"/>
            <w:vAlign w:val="bottom"/>
          </w:tcPr>
          <w:p>
            <w:pPr>
              <w:pStyle w:val="TableContents"/>
              <w:spacing w:before="0" w:after="283"/>
              <w:rPr/>
            </w:pPr>
            <w:r>
              <w:rPr/>
              <w:t> </w:t>
            </w:r>
          </w:p>
        </w:tc>
        <w:tc>
          <w:tcPr>
            <w:tcW w:w="9170"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r>
      <w:tr>
        <w:trPr/>
        <w:tc>
          <w:tcPr>
            <w:tcW w:w="831" w:type="dxa"/>
            <w:tcBorders/>
            <w:shd w:fill="auto" w:val="clear"/>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jc w:val="left"/>
              <w:rPr/>
            </w:pPr>
            <w:r>
              <w:rPr/>
              <w:t> </w:t>
            </w:r>
          </w:p>
        </w:tc>
      </w:tr>
      <w:tr>
        <w:trPr/>
        <w:tc>
          <w:tcPr>
            <w:tcW w:w="831" w:type="dxa"/>
            <w:tcBorders/>
            <w:shd w:fill="auto" w:val="clear"/>
          </w:tcPr>
          <w:p>
            <w:pPr>
              <w:pStyle w:val="TableContents"/>
              <w:spacing w:before="0" w:after="0"/>
              <w:ind w:left="0" w:right="0" w:hanging="0"/>
              <w:jc w:val="right"/>
              <w:rPr/>
            </w:pPr>
            <w:r>
              <w:rPr/>
              <w:t xml:space="preserve">31.1 </w:t>
            </w:r>
          </w:p>
        </w:tc>
        <w:tc>
          <w:tcPr>
            <w:tcW w:w="204"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jc w:val="left"/>
              <w:rPr/>
            </w:pPr>
            <w:r>
              <w:rPr/>
              <w:t>Certification of Chief Executive Officer Pursuant to Section 302 of the Sarbanes-Oxley Act of 2002</w:t>
            </w:r>
          </w:p>
        </w:tc>
      </w:tr>
      <w:tr>
        <w:trPr/>
        <w:tc>
          <w:tcPr>
            <w:tcW w:w="831" w:type="dxa"/>
            <w:tcBorders/>
            <w:shd w:fill="auto" w:val="clear"/>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jc w:val="left"/>
              <w:rPr/>
            </w:pPr>
            <w:r>
              <w:rPr/>
              <w:t> </w:t>
            </w:r>
          </w:p>
        </w:tc>
      </w:tr>
      <w:tr>
        <w:trPr/>
        <w:tc>
          <w:tcPr>
            <w:tcW w:w="831" w:type="dxa"/>
            <w:tcBorders/>
            <w:shd w:fill="auto" w:val="clear"/>
          </w:tcPr>
          <w:p>
            <w:pPr>
              <w:pStyle w:val="TableContents"/>
              <w:spacing w:before="0" w:after="0"/>
              <w:ind w:left="0" w:right="0" w:hanging="0"/>
              <w:jc w:val="right"/>
              <w:rPr/>
            </w:pPr>
            <w:r>
              <w:rPr/>
              <w:t xml:space="preserve">31.2 </w:t>
            </w:r>
          </w:p>
        </w:tc>
        <w:tc>
          <w:tcPr>
            <w:tcW w:w="204"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jc w:val="left"/>
              <w:rPr/>
            </w:pPr>
            <w:r>
              <w:rPr/>
              <w:t>Certification of Chief Financial Officer Pursuant to Section 302 of the Sarbanes-Oxley Act of 2002</w:t>
            </w:r>
          </w:p>
        </w:tc>
      </w:tr>
      <w:tr>
        <w:trPr/>
        <w:tc>
          <w:tcPr>
            <w:tcW w:w="831" w:type="dxa"/>
            <w:tcBorders/>
            <w:shd w:fill="auto" w:val="clear"/>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jc w:val="left"/>
              <w:rPr/>
            </w:pPr>
            <w:r>
              <w:rPr/>
              <w:t> </w:t>
            </w:r>
          </w:p>
        </w:tc>
      </w:tr>
      <w:tr>
        <w:trPr/>
        <w:tc>
          <w:tcPr>
            <w:tcW w:w="831" w:type="dxa"/>
            <w:tcBorders/>
            <w:shd w:fill="auto" w:val="clear"/>
          </w:tcPr>
          <w:p>
            <w:pPr>
              <w:pStyle w:val="TableContents"/>
              <w:spacing w:before="0" w:after="0"/>
              <w:ind w:left="0" w:right="0" w:hanging="0"/>
              <w:jc w:val="right"/>
              <w:rPr/>
            </w:pPr>
            <w:r>
              <w:rPr/>
              <w:t xml:space="preserve">32.1 </w:t>
            </w:r>
          </w:p>
        </w:tc>
        <w:tc>
          <w:tcPr>
            <w:tcW w:w="204"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jc w:val="left"/>
              <w:rPr/>
            </w:pPr>
            <w:r>
              <w:rPr/>
              <w:t>Certification of Chief Executive Officer Pursuant to Section 906 of the Sarbanes-Oxley Act of 2002</w:t>
            </w:r>
          </w:p>
        </w:tc>
      </w:tr>
      <w:tr>
        <w:trPr/>
        <w:tc>
          <w:tcPr>
            <w:tcW w:w="831" w:type="dxa"/>
            <w:tcBorders/>
            <w:shd w:fill="auto" w:val="clear"/>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jc w:val="left"/>
              <w:rPr/>
            </w:pPr>
            <w:r>
              <w:rPr/>
              <w:t> </w:t>
            </w:r>
          </w:p>
        </w:tc>
      </w:tr>
      <w:tr>
        <w:trPr/>
        <w:tc>
          <w:tcPr>
            <w:tcW w:w="831" w:type="dxa"/>
            <w:tcBorders/>
            <w:shd w:fill="auto" w:val="clear"/>
          </w:tcPr>
          <w:p>
            <w:pPr>
              <w:pStyle w:val="TableContents"/>
              <w:spacing w:before="0" w:after="0"/>
              <w:ind w:left="0" w:right="0" w:hanging="0"/>
              <w:jc w:val="right"/>
              <w:rPr/>
            </w:pPr>
            <w:r>
              <w:rPr/>
              <w:t xml:space="preserve">32.2 </w:t>
            </w:r>
          </w:p>
        </w:tc>
        <w:tc>
          <w:tcPr>
            <w:tcW w:w="204"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jc w:val="left"/>
              <w:rPr/>
            </w:pPr>
            <w:r>
              <w:rPr/>
              <w:t>Certification of Chief Financial Officer Pursuant to Section 906 of the Sarbanes-Oxley Act of 2002</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16" w:name="313"/>
      <w:bookmarkEnd w:id="16"/>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left"/>
        <w:tblInd w:w="0" w:type="dxa"/>
        <w:tblCellMar>
          <w:top w:w="0" w:type="dxa"/>
          <w:left w:w="0" w:type="dxa"/>
          <w:bottom w:w="0" w:type="dxa"/>
          <w:right w:w="0" w:type="dxa"/>
        </w:tblCellMar>
      </w:tblPr>
      <w:tblGrid>
        <w:gridCol w:w="4316"/>
        <w:gridCol w:w="762"/>
        <w:gridCol w:w="674"/>
        <w:gridCol w:w="3197"/>
        <w:gridCol w:w="1256"/>
      </w:tblGrid>
      <w:tr>
        <w:trPr/>
        <w:tc>
          <w:tcPr>
            <w:tcW w:w="4316"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283"/>
              <w:rPr/>
            </w:pPr>
            <w:r>
              <w:rPr/>
              <w:t> </w:t>
            </w:r>
          </w:p>
        </w:tc>
        <w:tc>
          <w:tcPr>
            <w:tcW w:w="674" w:type="dxa"/>
            <w:tcBorders/>
            <w:shd w:fill="auto" w:val="clear"/>
            <w:vAlign w:val="center"/>
          </w:tcPr>
          <w:p>
            <w:pPr>
              <w:pStyle w:val="TableContents"/>
              <w:spacing w:before="0" w:after="283"/>
              <w:rPr/>
            </w:pPr>
            <w:r>
              <w:rPr/>
              <w:t> </w:t>
            </w:r>
          </w:p>
        </w:tc>
        <w:tc>
          <w:tcPr>
            <w:tcW w:w="3197" w:type="dxa"/>
            <w:tcBorders/>
            <w:shd w:fill="auto" w:val="clear"/>
            <w:vAlign w:val="center"/>
          </w:tcPr>
          <w:p>
            <w:pPr>
              <w:pStyle w:val="TableContents"/>
              <w:spacing w:before="0" w:after="283"/>
              <w:rPr/>
            </w:pPr>
            <w:r>
              <w:rPr/>
              <w:t> </w:t>
            </w:r>
          </w:p>
        </w:tc>
        <w:tc>
          <w:tcPr>
            <w:tcW w:w="1256" w:type="dxa"/>
            <w:tcBorders/>
            <w:shd w:fill="auto" w:val="clear"/>
            <w:vAlign w:val="center"/>
          </w:tcPr>
          <w:p>
            <w:pPr>
              <w:pStyle w:val="TableContents"/>
              <w:spacing w:before="0" w:after="283"/>
              <w:rPr/>
            </w:pPr>
            <w:r>
              <w:rPr/>
              <w:t> </w:t>
            </w:r>
          </w:p>
        </w:tc>
      </w:tr>
      <w:tr>
        <w:trPr/>
        <w:tc>
          <w:tcPr>
            <w:tcW w:w="4316" w:type="dxa"/>
            <w:tcBorders/>
            <w:shd w:fill="auto" w:val="clear"/>
          </w:tcPr>
          <w:p>
            <w:pPr>
              <w:pStyle w:val="TableContents"/>
              <w:spacing w:before="0" w:after="283"/>
              <w:jc w:val="left"/>
              <w:rPr/>
            </w:pPr>
            <w:r>
              <w:rPr/>
              <w:t> </w:t>
            </w:r>
          </w:p>
        </w:tc>
        <w:tc>
          <w:tcPr>
            <w:tcW w:w="4633" w:type="dxa"/>
            <w:gridSpan w:val="3"/>
            <w:tcBorders/>
            <w:shd w:fill="auto" w:val="clear"/>
            <w:vAlign w:val="center"/>
          </w:tcPr>
          <w:p>
            <w:pPr>
              <w:pStyle w:val="TableContents"/>
              <w:spacing w:before="0" w:after="283"/>
              <w:jc w:val="left"/>
              <w:rPr/>
            </w:pPr>
            <w:r>
              <w:rPr>
                <w:u w:val="single"/>
              </w:rPr>
              <w:t>EZCORP, INC.</w:t>
            </w:r>
            <w:r>
              <w:rPr/>
              <w:br/>
              <w:t>(Registrant)</w:t>
              <w:br/>
              <w:t> </w:t>
            </w:r>
          </w:p>
        </w:tc>
        <w:tc>
          <w:tcPr>
            <w:tcW w:w="1256" w:type="dxa"/>
            <w:tcBorders/>
            <w:shd w:fill="auto" w:val="clear"/>
            <w:vAlign w:val="center"/>
          </w:tcPr>
          <w:p>
            <w:pPr>
              <w:pStyle w:val="TableContents"/>
              <w:spacing w:before="0" w:after="283"/>
              <w:rPr/>
            </w:pPr>
            <w:r>
              <w:rPr/>
              <w:t> </w:t>
            </w:r>
          </w:p>
        </w:tc>
      </w:tr>
      <w:tr>
        <w:trPr/>
        <w:tc>
          <w:tcPr>
            <w:tcW w:w="4316" w:type="dxa"/>
            <w:tcBorders/>
            <w:shd w:fill="auto" w:val="clear"/>
            <w:vAlign w:val="center"/>
          </w:tcPr>
          <w:p>
            <w:pPr>
              <w:pStyle w:val="TableContents"/>
              <w:spacing w:before="0" w:after="283"/>
              <w:jc w:val="left"/>
              <w:rPr/>
            </w:pPr>
            <w:r>
              <w:rPr/>
              <w:t>Date: May 9, 2007 </w:t>
            </w:r>
          </w:p>
        </w:tc>
        <w:tc>
          <w:tcPr>
            <w:tcW w:w="762" w:type="dxa"/>
            <w:tcBorders/>
            <w:shd w:fill="auto" w:val="clear"/>
          </w:tcPr>
          <w:p>
            <w:pPr>
              <w:pStyle w:val="TableContents"/>
              <w:spacing w:before="0" w:after="283"/>
              <w:rPr/>
            </w:pPr>
            <w:r>
              <w:rPr/>
              <w:t>By:  </w:t>
            </w:r>
          </w:p>
        </w:tc>
        <w:tc>
          <w:tcPr>
            <w:tcW w:w="3871" w:type="dxa"/>
            <w:gridSpan w:val="2"/>
            <w:tcBorders>
              <w:bottom w:val="single" w:sz="2" w:space="0" w:color="000000"/>
            </w:tcBorders>
            <w:shd w:fill="auto" w:val="clear"/>
            <w:tcMar>
              <w:bottom w:w="28" w:type="dxa"/>
            </w:tcMar>
            <w:vAlign w:val="center"/>
          </w:tcPr>
          <w:p>
            <w:pPr>
              <w:pStyle w:val="TableContents"/>
              <w:spacing w:before="0" w:after="283"/>
              <w:jc w:val="left"/>
              <w:rPr/>
            </w:pPr>
            <w:r>
              <w:rPr/>
              <w:t>/s/ Dan N. Tonissen  </w:t>
            </w:r>
          </w:p>
        </w:tc>
        <w:tc>
          <w:tcPr>
            <w:tcW w:w="1256" w:type="dxa"/>
            <w:tcBorders/>
            <w:shd w:fill="auto" w:val="clear"/>
            <w:vAlign w:val="center"/>
          </w:tcPr>
          <w:p>
            <w:pPr>
              <w:pStyle w:val="TableContents"/>
              <w:spacing w:before="0" w:after="283"/>
              <w:rPr/>
            </w:pPr>
            <w:r>
              <w:rPr/>
              <w:t> </w:t>
            </w:r>
          </w:p>
        </w:tc>
      </w:tr>
      <w:tr>
        <w:trPr/>
        <w:tc>
          <w:tcPr>
            <w:tcW w:w="4316" w:type="dxa"/>
            <w:tcBorders/>
            <w:shd w:fill="auto" w:val="clear"/>
            <w:vAlign w:val="center"/>
          </w:tcPr>
          <w:p>
            <w:pPr>
              <w:pStyle w:val="TableContents"/>
              <w:spacing w:before="0" w:after="283"/>
              <w:jc w:val="left"/>
              <w:rPr/>
            </w:pPr>
            <w:r>
              <w:rPr/>
              <w:t> </w:t>
            </w:r>
          </w:p>
        </w:tc>
        <w:tc>
          <w:tcPr>
            <w:tcW w:w="762" w:type="dxa"/>
            <w:tcBorders/>
            <w:shd w:fill="auto" w:val="clear"/>
            <w:vAlign w:val="center"/>
          </w:tcPr>
          <w:p>
            <w:pPr>
              <w:pStyle w:val="TableContents"/>
              <w:spacing w:before="0" w:after="283"/>
              <w:rPr/>
            </w:pPr>
            <w:r>
              <w:rPr/>
              <w:t> </w:t>
            </w:r>
          </w:p>
        </w:tc>
        <w:tc>
          <w:tcPr>
            <w:tcW w:w="3871" w:type="dxa"/>
            <w:gridSpan w:val="2"/>
            <w:tcBorders/>
            <w:shd w:fill="auto" w:val="clear"/>
            <w:vAlign w:val="center"/>
          </w:tcPr>
          <w:p>
            <w:pPr>
              <w:pStyle w:val="TableContents"/>
              <w:spacing w:before="0" w:after="283"/>
              <w:jc w:val="left"/>
              <w:rPr/>
            </w:pPr>
            <w:r>
              <w:rPr/>
              <w:t>(Signature)</w:t>
              <w:br/>
              <w:t> </w:t>
            </w:r>
          </w:p>
        </w:tc>
        <w:tc>
          <w:tcPr>
            <w:tcW w:w="1256" w:type="dxa"/>
            <w:tcBorders/>
            <w:shd w:fill="auto" w:val="clear"/>
            <w:vAlign w:val="center"/>
          </w:tcPr>
          <w:p>
            <w:pPr>
              <w:pStyle w:val="TableContents"/>
              <w:spacing w:before="0" w:after="283"/>
              <w:rPr/>
            </w:pPr>
            <w:r>
              <w:rPr/>
              <w:t> </w:t>
            </w:r>
          </w:p>
        </w:tc>
      </w:tr>
      <w:tr>
        <w:trPr/>
        <w:tc>
          <w:tcPr>
            <w:tcW w:w="4316" w:type="dxa"/>
            <w:tcBorders/>
            <w:shd w:fill="auto" w:val="clear"/>
            <w:vAlign w:val="center"/>
          </w:tcPr>
          <w:p>
            <w:pPr>
              <w:pStyle w:val="TableContents"/>
              <w:spacing w:before="0" w:after="283"/>
              <w:jc w:val="left"/>
              <w:rPr/>
            </w:pPr>
            <w:r>
              <w:rPr/>
              <w:t> </w:t>
            </w:r>
          </w:p>
        </w:tc>
        <w:tc>
          <w:tcPr>
            <w:tcW w:w="762" w:type="dxa"/>
            <w:tcBorders/>
            <w:shd w:fill="auto" w:val="clear"/>
            <w:vAlign w:val="center"/>
          </w:tcPr>
          <w:p>
            <w:pPr>
              <w:pStyle w:val="TableContents"/>
              <w:spacing w:before="0" w:after="283"/>
              <w:rPr/>
            </w:pPr>
            <w:r>
              <w:rPr/>
              <w:t> </w:t>
            </w:r>
          </w:p>
        </w:tc>
        <w:tc>
          <w:tcPr>
            <w:tcW w:w="3871" w:type="dxa"/>
            <w:gridSpan w:val="2"/>
            <w:tcBorders/>
            <w:shd w:fill="auto" w:val="clear"/>
            <w:vAlign w:val="center"/>
          </w:tcPr>
          <w:p>
            <w:pPr>
              <w:pStyle w:val="TableContents"/>
              <w:spacing w:before="0" w:after="283"/>
              <w:jc w:val="left"/>
              <w:rPr/>
            </w:pPr>
            <w:r>
              <w:rPr/>
              <w:t>Dan N. Tonissen</w:t>
              <w:br/>
              <w:t>Senior Vice President,</w:t>
              <w:br/>
              <w:t>Chief Financial Officer &amp; Director </w:t>
            </w:r>
          </w:p>
        </w:tc>
        <w:tc>
          <w:tcPr>
            <w:tcW w:w="1256"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bookmarkStart w:id="17" w:name="314"/>
      <w:bookmarkEnd w:id="17"/>
      <w:r>
        <w:rPr>
          <w:rFonts w:ascii="Times New Roman;Times;serif" w:hAnsi="Times New Roman;Times;serif"/>
          <w:sz w:val="17"/>
        </w:rPr>
        <w:t xml:space="preserve">EXHIBIT INDEX </w:t>
      </w:r>
    </w:p>
    <w:tbl>
      <w:tblPr>
        <w:tblW w:w="5000" w:type="pct"/>
        <w:jc w:val="center"/>
        <w:tblInd w:w="0" w:type="dxa"/>
        <w:tblCellMar>
          <w:top w:w="0" w:type="dxa"/>
          <w:left w:w="0" w:type="dxa"/>
          <w:bottom w:w="0" w:type="dxa"/>
          <w:right w:w="0" w:type="dxa"/>
        </w:tblCellMar>
      </w:tblPr>
      <w:tblGrid>
        <w:gridCol w:w="831"/>
        <w:gridCol w:w="204"/>
        <w:gridCol w:w="9170"/>
      </w:tblGrid>
      <w:tr>
        <w:trPr/>
        <w:tc>
          <w:tcPr>
            <w:tcW w:w="83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170" w:type="dxa"/>
            <w:tcBorders/>
            <w:shd w:fill="auto" w:val="clear"/>
            <w:vAlign w:val="bottom"/>
          </w:tcPr>
          <w:p>
            <w:pPr>
              <w:pStyle w:val="TableContents"/>
              <w:spacing w:before="0" w:after="283"/>
              <w:rPr/>
            </w:pPr>
            <w:r>
              <w:rPr/>
              <w:t> </w:t>
            </w:r>
          </w:p>
        </w:tc>
      </w:tr>
      <w:tr>
        <w:trPr/>
        <w:tc>
          <w:tcPr>
            <w:tcW w:w="831" w:type="dxa"/>
            <w:tcBorders/>
            <w:shd w:fill="auto" w:val="clear"/>
            <w:vAlign w:val="bottom"/>
          </w:tcPr>
          <w:p>
            <w:pPr>
              <w:pStyle w:val="TableContents"/>
              <w:spacing w:before="0" w:after="283"/>
              <w:jc w:val="left"/>
              <w:rPr/>
            </w:pPr>
            <w:r>
              <w:rPr/>
              <w:t>Exhibit</w:t>
            </w:r>
          </w:p>
        </w:tc>
        <w:tc>
          <w:tcPr>
            <w:tcW w:w="204" w:type="dxa"/>
            <w:tcBorders/>
            <w:shd w:fill="auto" w:val="clear"/>
            <w:vAlign w:val="bottom"/>
          </w:tcPr>
          <w:p>
            <w:pPr>
              <w:pStyle w:val="TableContents"/>
              <w:spacing w:before="0" w:after="283"/>
              <w:rPr/>
            </w:pPr>
            <w:r>
              <w:rPr/>
              <w:t> </w:t>
            </w:r>
          </w:p>
        </w:tc>
        <w:tc>
          <w:tcPr>
            <w:tcW w:w="9170" w:type="dxa"/>
            <w:tcBorders/>
            <w:shd w:fill="auto" w:val="clear"/>
            <w:vAlign w:val="bottom"/>
          </w:tcPr>
          <w:p>
            <w:pPr>
              <w:pStyle w:val="TableContents"/>
              <w:spacing w:before="0" w:after="283"/>
              <w:jc w:val="center"/>
              <w:rPr/>
            </w:pPr>
            <w:r>
              <w:rPr/>
              <w:t> </w:t>
            </w:r>
          </w:p>
        </w:tc>
      </w:tr>
      <w:tr>
        <w:trPr/>
        <w:tc>
          <w:tcPr>
            <w:tcW w:w="831" w:type="dxa"/>
            <w:tcBorders>
              <w:bottom w:val="single" w:sz="2" w:space="0" w:color="000000"/>
            </w:tcBorders>
            <w:shd w:fill="auto" w:val="clear"/>
            <w:tcMar>
              <w:bottom w:w="28" w:type="dxa"/>
            </w:tcMar>
            <w:vAlign w:val="bottom"/>
          </w:tcPr>
          <w:p>
            <w:pPr>
              <w:pStyle w:val="TableContents"/>
              <w:spacing w:before="0" w:after="283"/>
              <w:jc w:val="left"/>
              <w:rPr/>
            </w:pPr>
            <w:r>
              <w:rPr/>
              <w:t>Number</w:t>
            </w:r>
          </w:p>
        </w:tc>
        <w:tc>
          <w:tcPr>
            <w:tcW w:w="204" w:type="dxa"/>
            <w:tcBorders/>
            <w:shd w:fill="auto" w:val="clear"/>
            <w:vAlign w:val="bottom"/>
          </w:tcPr>
          <w:p>
            <w:pPr>
              <w:pStyle w:val="TableContents"/>
              <w:spacing w:before="0" w:after="283"/>
              <w:rPr/>
            </w:pPr>
            <w:r>
              <w:rPr/>
              <w:t> </w:t>
            </w:r>
          </w:p>
        </w:tc>
        <w:tc>
          <w:tcPr>
            <w:tcW w:w="9170"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r>
      <w:tr>
        <w:trPr/>
        <w:tc>
          <w:tcPr>
            <w:tcW w:w="831" w:type="dxa"/>
            <w:tcBorders/>
            <w:shd w:fill="auto" w:val="clear"/>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jc w:val="left"/>
              <w:rPr/>
            </w:pPr>
            <w:r>
              <w:rPr/>
              <w:t> </w:t>
            </w:r>
          </w:p>
        </w:tc>
      </w:tr>
      <w:tr>
        <w:trPr/>
        <w:tc>
          <w:tcPr>
            <w:tcW w:w="831" w:type="dxa"/>
            <w:tcBorders/>
            <w:shd w:fill="auto" w:val="clear"/>
          </w:tcPr>
          <w:p>
            <w:pPr>
              <w:pStyle w:val="TableContents"/>
              <w:spacing w:before="0" w:after="0"/>
              <w:ind w:left="0" w:right="0" w:hanging="0"/>
              <w:jc w:val="right"/>
              <w:rPr/>
            </w:pPr>
            <w:r>
              <w:rPr/>
              <w:t xml:space="preserve">31.1 </w:t>
            </w:r>
          </w:p>
        </w:tc>
        <w:tc>
          <w:tcPr>
            <w:tcW w:w="204"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jc w:val="left"/>
              <w:rPr/>
            </w:pPr>
            <w:r>
              <w:rPr/>
              <w:t>Certification of Chief Executive Officer Pursuant to Section 302 of the Sarbanes-Oxley Act of 2002</w:t>
            </w:r>
          </w:p>
        </w:tc>
      </w:tr>
      <w:tr>
        <w:trPr/>
        <w:tc>
          <w:tcPr>
            <w:tcW w:w="831" w:type="dxa"/>
            <w:tcBorders/>
            <w:shd w:fill="auto" w:val="clear"/>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jc w:val="left"/>
              <w:rPr/>
            </w:pPr>
            <w:r>
              <w:rPr/>
              <w:t> </w:t>
            </w:r>
          </w:p>
        </w:tc>
      </w:tr>
      <w:tr>
        <w:trPr/>
        <w:tc>
          <w:tcPr>
            <w:tcW w:w="831" w:type="dxa"/>
            <w:tcBorders/>
            <w:shd w:fill="auto" w:val="clear"/>
          </w:tcPr>
          <w:p>
            <w:pPr>
              <w:pStyle w:val="TableContents"/>
              <w:spacing w:before="0" w:after="0"/>
              <w:ind w:left="0" w:right="0" w:hanging="0"/>
              <w:jc w:val="right"/>
              <w:rPr/>
            </w:pPr>
            <w:r>
              <w:rPr/>
              <w:t xml:space="preserve">31.2 </w:t>
            </w:r>
          </w:p>
        </w:tc>
        <w:tc>
          <w:tcPr>
            <w:tcW w:w="204"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jc w:val="left"/>
              <w:rPr/>
            </w:pPr>
            <w:r>
              <w:rPr/>
              <w:t>Certification of Chief Financial Officer Pursuant to Section 302 of the Sarbanes-Oxley Act of 2002</w:t>
            </w:r>
          </w:p>
        </w:tc>
      </w:tr>
      <w:tr>
        <w:trPr/>
        <w:tc>
          <w:tcPr>
            <w:tcW w:w="831" w:type="dxa"/>
            <w:tcBorders/>
            <w:shd w:fill="auto" w:val="clear"/>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jc w:val="left"/>
              <w:rPr/>
            </w:pPr>
            <w:r>
              <w:rPr/>
              <w:t> </w:t>
            </w:r>
          </w:p>
        </w:tc>
      </w:tr>
      <w:tr>
        <w:trPr/>
        <w:tc>
          <w:tcPr>
            <w:tcW w:w="831" w:type="dxa"/>
            <w:tcBorders/>
            <w:shd w:fill="auto" w:val="clear"/>
          </w:tcPr>
          <w:p>
            <w:pPr>
              <w:pStyle w:val="TableContents"/>
              <w:spacing w:before="0" w:after="0"/>
              <w:ind w:left="0" w:right="0" w:hanging="0"/>
              <w:jc w:val="right"/>
              <w:rPr/>
            </w:pPr>
            <w:r>
              <w:rPr/>
              <w:t xml:space="preserve">32.1 </w:t>
            </w:r>
          </w:p>
        </w:tc>
        <w:tc>
          <w:tcPr>
            <w:tcW w:w="204"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jc w:val="left"/>
              <w:rPr/>
            </w:pPr>
            <w:r>
              <w:rPr/>
              <w:t>Certification of Chief Executive Officer Pursuant to Section 906 of the Sarbanes-Oxley Act of 2002</w:t>
            </w:r>
          </w:p>
        </w:tc>
      </w:tr>
      <w:tr>
        <w:trPr/>
        <w:tc>
          <w:tcPr>
            <w:tcW w:w="831" w:type="dxa"/>
            <w:tcBorders/>
            <w:shd w:fill="auto" w:val="clear"/>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jc w:val="left"/>
              <w:rPr/>
            </w:pPr>
            <w:r>
              <w:rPr/>
              <w:t> </w:t>
            </w:r>
          </w:p>
        </w:tc>
      </w:tr>
      <w:tr>
        <w:trPr/>
        <w:tc>
          <w:tcPr>
            <w:tcW w:w="831" w:type="dxa"/>
            <w:tcBorders/>
            <w:shd w:fill="auto" w:val="clear"/>
          </w:tcPr>
          <w:p>
            <w:pPr>
              <w:pStyle w:val="TableContents"/>
              <w:spacing w:before="0" w:after="0"/>
              <w:ind w:left="0" w:right="0" w:hanging="0"/>
              <w:jc w:val="right"/>
              <w:rPr/>
            </w:pPr>
            <w:r>
              <w:rPr/>
              <w:t xml:space="preserve">32.2 </w:t>
            </w:r>
          </w:p>
        </w:tc>
        <w:tc>
          <w:tcPr>
            <w:tcW w:w="204"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jc w:val="left"/>
              <w:rPr/>
            </w:pPr>
            <w:r>
              <w:rPr/>
              <w:t>Certification of Chief Financial Officer Pursuant to Section 906 of the Sarbanes-Oxley Act of 2002</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31 </w:t>
      </w:r>
      <w:r>
        <w:br w:type="page"/>
      </w:r>
    </w:p>
    <w:p>
      <w:pPr>
        <w:pStyle w:val="Heading5"/>
        <w:jc w:val="left"/>
        <w:rPr/>
      </w:pPr>
      <w:bookmarkStart w:id="18" w:name="d46550exv31w1.htm"/>
      <w:bookmarkStart w:id="19" w:name="ksd46550exv31w1"/>
      <w:bookmarkEnd w:id="18"/>
      <w:bookmarkEnd w:id="19"/>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Joseph L. Rotunda, certify that: </w:t>
      </w:r>
    </w:p>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 have reviewed this Quarterly Report on Form 10-Q of EZCORP, Inc. (the registrant) for the quarter ended March 31, 2007;</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611"/>
        <w:gridCol w:w="306"/>
        <w:gridCol w:w="101"/>
        <w:gridCol w:w="9187"/>
      </w:tblGrid>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4"/>
        <w:gridCol w:w="305"/>
        <w:gridCol w:w="101"/>
        <w:gridCol w:w="9595"/>
      </w:tblGrid>
      <w:tr>
        <w:trPr/>
        <w:tc>
          <w:tcPr>
            <w:tcW w:w="20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612"/>
        <w:gridCol w:w="305"/>
        <w:gridCol w:w="101"/>
        <w:gridCol w:w="9187"/>
      </w:tblGrid>
      <w:tr>
        <w:trPr/>
        <w:tc>
          <w:tcPr>
            <w:tcW w:w="61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May 9, 2007 </w:t>
      </w:r>
    </w:p>
    <w:tbl>
      <w:tblPr>
        <w:tblW w:w="5000" w:type="pct"/>
        <w:jc w:val="left"/>
        <w:tblInd w:w="0" w:type="dxa"/>
        <w:tblCellMar>
          <w:top w:w="0" w:type="dxa"/>
          <w:left w:w="0" w:type="dxa"/>
          <w:bottom w:w="0" w:type="dxa"/>
          <w:right w:w="0" w:type="dxa"/>
        </w:tblCellMar>
      </w:tblPr>
      <w:tblGrid>
        <w:gridCol w:w="4450"/>
        <w:gridCol w:w="555"/>
        <w:gridCol w:w="326"/>
        <w:gridCol w:w="3445"/>
        <w:gridCol w:w="1429"/>
      </w:tblGrid>
      <w:tr>
        <w:trPr/>
        <w:tc>
          <w:tcPr>
            <w:tcW w:w="4450"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3445" w:type="dxa"/>
            <w:tcBorders/>
            <w:shd w:fill="auto" w:val="clear"/>
            <w:vAlign w:val="center"/>
          </w:tcPr>
          <w:p>
            <w:pPr>
              <w:pStyle w:val="TableContents"/>
              <w:spacing w:before="0" w:after="283"/>
              <w:rPr/>
            </w:pPr>
            <w:r>
              <w:rPr/>
              <w:t> </w:t>
            </w:r>
          </w:p>
        </w:tc>
        <w:tc>
          <w:tcPr>
            <w:tcW w:w="1429"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6" w:type="dxa"/>
            <w:gridSpan w:val="3"/>
            <w:tcBorders>
              <w:bottom w:val="single" w:sz="2" w:space="0" w:color="000000"/>
            </w:tcBorders>
            <w:shd w:fill="auto" w:val="clear"/>
            <w:tcMar>
              <w:bottom w:w="28" w:type="dxa"/>
            </w:tcMar>
            <w:vAlign w:val="center"/>
          </w:tcPr>
          <w:p>
            <w:pPr>
              <w:pStyle w:val="TableContents"/>
              <w:spacing w:before="0" w:after="283"/>
              <w:jc w:val="left"/>
              <w:rPr/>
            </w:pPr>
            <w:r>
              <w:rPr/>
              <w:t>/s/ Joseph L. Rotunda  </w:t>
            </w:r>
          </w:p>
        </w:tc>
        <w:tc>
          <w:tcPr>
            <w:tcW w:w="1429"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6" w:type="dxa"/>
            <w:gridSpan w:val="3"/>
            <w:tcBorders/>
            <w:shd w:fill="auto" w:val="clear"/>
            <w:vAlign w:val="center"/>
          </w:tcPr>
          <w:p>
            <w:pPr>
              <w:pStyle w:val="TableContents"/>
              <w:spacing w:before="0" w:after="283"/>
              <w:jc w:val="left"/>
              <w:rPr/>
            </w:pPr>
            <w:r>
              <w:rPr/>
              <w:t>Joseph L. Rotunda </w:t>
            </w:r>
          </w:p>
        </w:tc>
        <w:tc>
          <w:tcPr>
            <w:tcW w:w="1429"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6" w:type="dxa"/>
            <w:gridSpan w:val="3"/>
            <w:tcBorders/>
            <w:shd w:fill="auto" w:val="clear"/>
            <w:vAlign w:val="center"/>
          </w:tcPr>
          <w:p>
            <w:pPr>
              <w:pStyle w:val="TableContents"/>
              <w:spacing w:before="0" w:after="283"/>
              <w:jc w:val="left"/>
              <w:rPr/>
            </w:pPr>
            <w:r>
              <w:rPr/>
              <w:t>President, Chief Executive Officer</w:t>
              <w:br/>
              <w:t>&amp; Director </w:t>
            </w:r>
          </w:p>
        </w:tc>
        <w:tc>
          <w:tcPr>
            <w:tcW w:w="1429" w:type="dxa"/>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Heading5"/>
        <w:jc w:val="left"/>
        <w:rPr/>
      </w:pPr>
      <w:bookmarkStart w:id="20" w:name="d46550exv31w2.htm"/>
      <w:bookmarkStart w:id="21" w:name="ksd46550exv31w2"/>
      <w:bookmarkEnd w:id="20"/>
      <w:bookmarkEnd w:id="21"/>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Dan N. Tonissen, certify that: </w:t>
      </w:r>
    </w:p>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 have reviewed this Quarterly Report on Form 10-Q of EZCORP, Inc. (the registrant) for the quarter ended March 31, 2007;</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611"/>
        <w:gridCol w:w="306"/>
        <w:gridCol w:w="101"/>
        <w:gridCol w:w="9187"/>
      </w:tblGrid>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4"/>
        <w:gridCol w:w="305"/>
        <w:gridCol w:w="101"/>
        <w:gridCol w:w="9595"/>
      </w:tblGrid>
      <w:tr>
        <w:trPr/>
        <w:tc>
          <w:tcPr>
            <w:tcW w:w="20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612"/>
        <w:gridCol w:w="305"/>
        <w:gridCol w:w="101"/>
        <w:gridCol w:w="9187"/>
      </w:tblGrid>
      <w:tr>
        <w:trPr/>
        <w:tc>
          <w:tcPr>
            <w:tcW w:w="61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May 9, 2007 </w:t>
      </w:r>
    </w:p>
    <w:tbl>
      <w:tblPr>
        <w:tblW w:w="5000" w:type="pct"/>
        <w:jc w:val="left"/>
        <w:tblInd w:w="0" w:type="dxa"/>
        <w:tblCellMar>
          <w:top w:w="0" w:type="dxa"/>
          <w:left w:w="0" w:type="dxa"/>
          <w:bottom w:w="0" w:type="dxa"/>
          <w:right w:w="0" w:type="dxa"/>
        </w:tblCellMar>
      </w:tblPr>
      <w:tblGrid>
        <w:gridCol w:w="4450"/>
        <w:gridCol w:w="530"/>
        <w:gridCol w:w="338"/>
        <w:gridCol w:w="3457"/>
        <w:gridCol w:w="1430"/>
      </w:tblGrid>
      <w:tr>
        <w:trPr/>
        <w:tc>
          <w:tcPr>
            <w:tcW w:w="445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pPr>
            <w:r>
              <w:rPr/>
              <w:t> </w:t>
            </w:r>
          </w:p>
        </w:tc>
        <w:tc>
          <w:tcPr>
            <w:tcW w:w="3457"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5" w:type="dxa"/>
            <w:gridSpan w:val="3"/>
            <w:tcBorders>
              <w:bottom w:val="single" w:sz="2" w:space="0" w:color="000000"/>
            </w:tcBorders>
            <w:shd w:fill="auto" w:val="clear"/>
            <w:tcMar>
              <w:bottom w:w="28" w:type="dxa"/>
            </w:tcMar>
            <w:vAlign w:val="center"/>
          </w:tcPr>
          <w:p>
            <w:pPr>
              <w:pStyle w:val="TableContents"/>
              <w:spacing w:before="0" w:after="283"/>
              <w:jc w:val="left"/>
              <w:rPr/>
            </w:pPr>
            <w:r>
              <w:rPr/>
              <w:t>/s/ Dan N. Tonissen  </w:t>
            </w:r>
          </w:p>
        </w:tc>
        <w:tc>
          <w:tcPr>
            <w:tcW w:w="1430"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5" w:type="dxa"/>
            <w:gridSpan w:val="3"/>
            <w:tcBorders/>
            <w:shd w:fill="auto" w:val="clear"/>
            <w:vAlign w:val="center"/>
          </w:tcPr>
          <w:p>
            <w:pPr>
              <w:pStyle w:val="TableContents"/>
              <w:spacing w:before="0" w:after="283"/>
              <w:jc w:val="left"/>
              <w:rPr/>
            </w:pPr>
            <w:r>
              <w:rPr/>
              <w:t>Dan N. Tonissen </w:t>
            </w:r>
          </w:p>
        </w:tc>
        <w:tc>
          <w:tcPr>
            <w:tcW w:w="1430"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5" w:type="dxa"/>
            <w:gridSpan w:val="3"/>
            <w:tcBorders/>
            <w:shd w:fill="auto" w:val="clear"/>
            <w:vAlign w:val="center"/>
          </w:tcPr>
          <w:p>
            <w:pPr>
              <w:pStyle w:val="TableContents"/>
              <w:spacing w:before="0" w:after="283"/>
              <w:jc w:val="left"/>
              <w:rPr/>
            </w:pPr>
            <w:r>
              <w:rPr/>
              <w:t>Senior Vice President, Chief</w:t>
              <w:br/>
              <w:t>Financial Officer &amp; Director </w:t>
            </w:r>
          </w:p>
        </w:tc>
        <w:tc>
          <w:tcPr>
            <w:tcW w:w="1430" w:type="dxa"/>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Heading5"/>
        <w:jc w:val="left"/>
        <w:rPr/>
      </w:pPr>
      <w:bookmarkStart w:id="22" w:name="d46550exv32w1.htm"/>
      <w:bookmarkStart w:id="23" w:name="ksd46550exv32w1"/>
      <w:bookmarkEnd w:id="22"/>
      <w:bookmarkEnd w:id="23"/>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Pursuant to Section 906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the filing of the Quarterly Report on Form 10-Q for the quarter ended March 31, 2007 (the Report) by EZCORP, Inc. (Registrant), the undersigned hereby certifies that: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Report fully complies with the requirements of section 13(a) or 15(d) of the Securities Exchange Act of 1934, as amended,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information contained in the Report fairly presents, in all material respects, the financial condition and results of operations of Registrant.</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May 9, 2007 </w:t>
      </w:r>
    </w:p>
    <w:tbl>
      <w:tblPr>
        <w:tblW w:w="5000" w:type="pct"/>
        <w:jc w:val="left"/>
        <w:tblInd w:w="0" w:type="dxa"/>
        <w:tblCellMar>
          <w:top w:w="0" w:type="dxa"/>
          <w:left w:w="0" w:type="dxa"/>
          <w:bottom w:w="0" w:type="dxa"/>
          <w:right w:w="0" w:type="dxa"/>
        </w:tblCellMar>
      </w:tblPr>
      <w:tblGrid>
        <w:gridCol w:w="4450"/>
        <w:gridCol w:w="555"/>
        <w:gridCol w:w="326"/>
        <w:gridCol w:w="3445"/>
        <w:gridCol w:w="1429"/>
      </w:tblGrid>
      <w:tr>
        <w:trPr/>
        <w:tc>
          <w:tcPr>
            <w:tcW w:w="4450"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3445" w:type="dxa"/>
            <w:tcBorders/>
            <w:shd w:fill="auto" w:val="clear"/>
            <w:vAlign w:val="center"/>
          </w:tcPr>
          <w:p>
            <w:pPr>
              <w:pStyle w:val="TableContents"/>
              <w:spacing w:before="0" w:after="283"/>
              <w:rPr/>
            </w:pPr>
            <w:r>
              <w:rPr/>
              <w:t> </w:t>
            </w:r>
          </w:p>
        </w:tc>
        <w:tc>
          <w:tcPr>
            <w:tcW w:w="1429"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6" w:type="dxa"/>
            <w:gridSpan w:val="3"/>
            <w:tcBorders>
              <w:bottom w:val="single" w:sz="2" w:space="0" w:color="000000"/>
            </w:tcBorders>
            <w:shd w:fill="auto" w:val="clear"/>
            <w:tcMar>
              <w:bottom w:w="28" w:type="dxa"/>
            </w:tcMar>
            <w:vAlign w:val="center"/>
          </w:tcPr>
          <w:p>
            <w:pPr>
              <w:pStyle w:val="TableContents"/>
              <w:spacing w:before="0" w:after="283"/>
              <w:jc w:val="left"/>
              <w:rPr/>
            </w:pPr>
            <w:r>
              <w:rPr/>
              <w:t>/s/ Joseph L. Rotunda  </w:t>
            </w:r>
          </w:p>
        </w:tc>
        <w:tc>
          <w:tcPr>
            <w:tcW w:w="1429"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6" w:type="dxa"/>
            <w:gridSpan w:val="3"/>
            <w:tcBorders/>
            <w:shd w:fill="auto" w:val="clear"/>
            <w:vAlign w:val="center"/>
          </w:tcPr>
          <w:p>
            <w:pPr>
              <w:pStyle w:val="TableContents"/>
              <w:spacing w:before="0" w:after="283"/>
              <w:jc w:val="left"/>
              <w:rPr/>
            </w:pPr>
            <w:r>
              <w:rPr/>
              <w:t>Joseph L. Rotunda </w:t>
            </w:r>
          </w:p>
        </w:tc>
        <w:tc>
          <w:tcPr>
            <w:tcW w:w="1429"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6" w:type="dxa"/>
            <w:gridSpan w:val="3"/>
            <w:tcBorders/>
            <w:shd w:fill="auto" w:val="clear"/>
            <w:vAlign w:val="center"/>
          </w:tcPr>
          <w:p>
            <w:pPr>
              <w:pStyle w:val="TableContents"/>
              <w:spacing w:before="0" w:after="283"/>
              <w:jc w:val="left"/>
              <w:rPr/>
            </w:pPr>
            <w:r>
              <w:rPr/>
              <w:t>President, Chief Executive Officer</w:t>
              <w:br/>
              <w:t>&amp; Director </w:t>
            </w:r>
          </w:p>
        </w:tc>
        <w:tc>
          <w:tcPr>
            <w:tcW w:w="1429" w:type="dxa"/>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Heading5"/>
        <w:jc w:val="left"/>
        <w:rPr/>
      </w:pPr>
      <w:bookmarkStart w:id="24" w:name="d46550exv32w2.htm"/>
      <w:bookmarkStart w:id="25" w:name="ksd46550exv32w2"/>
      <w:bookmarkEnd w:id="24"/>
      <w:bookmarkEnd w:id="25"/>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Pursuant to Section 906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the filing of the Quarterly Report on Form 10-Q for the quarter ended March 31, 2007 (the Report) by EZCORP, Inc. (Registrant), the undersigned hereby certifies that: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Report fully complies with the requirements of section 13(a) or 15(d) of the Securities Exchange Act of 1934, as amended,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information contained in the Report fairly presents, in all material respects, the financial condition and results of operations of Registrant.</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May 9, 2007 </w:t>
      </w:r>
    </w:p>
    <w:tbl>
      <w:tblPr>
        <w:tblW w:w="5000" w:type="pct"/>
        <w:jc w:val="left"/>
        <w:tblInd w:w="0" w:type="dxa"/>
        <w:tblCellMar>
          <w:top w:w="0" w:type="dxa"/>
          <w:left w:w="0" w:type="dxa"/>
          <w:bottom w:w="0" w:type="dxa"/>
          <w:right w:w="0" w:type="dxa"/>
        </w:tblCellMar>
      </w:tblPr>
      <w:tblGrid>
        <w:gridCol w:w="4522"/>
        <w:gridCol w:w="395"/>
        <w:gridCol w:w="333"/>
        <w:gridCol w:w="3504"/>
        <w:gridCol w:w="1451"/>
      </w:tblGrid>
      <w:tr>
        <w:trPr/>
        <w:tc>
          <w:tcPr>
            <w:tcW w:w="4522"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333" w:type="dxa"/>
            <w:tcBorders/>
            <w:shd w:fill="auto" w:val="clear"/>
            <w:vAlign w:val="center"/>
          </w:tcPr>
          <w:p>
            <w:pPr>
              <w:pStyle w:val="TableContents"/>
              <w:spacing w:before="0" w:after="283"/>
              <w:rPr/>
            </w:pPr>
            <w:r>
              <w:rPr/>
              <w:t> </w:t>
            </w:r>
          </w:p>
        </w:tc>
        <w:tc>
          <w:tcPr>
            <w:tcW w:w="3504" w:type="dxa"/>
            <w:tcBorders/>
            <w:shd w:fill="auto" w:val="clear"/>
            <w:vAlign w:val="center"/>
          </w:tcPr>
          <w:p>
            <w:pPr>
              <w:pStyle w:val="TableContents"/>
              <w:spacing w:before="0" w:after="283"/>
              <w:rPr/>
            </w:pPr>
            <w:r>
              <w:rPr/>
              <w:t> </w:t>
            </w:r>
          </w:p>
        </w:tc>
        <w:tc>
          <w:tcPr>
            <w:tcW w:w="1451" w:type="dxa"/>
            <w:tcBorders/>
            <w:shd w:fill="auto" w:val="clear"/>
            <w:vAlign w:val="center"/>
          </w:tcPr>
          <w:p>
            <w:pPr>
              <w:pStyle w:val="TableContents"/>
              <w:spacing w:before="0" w:after="283"/>
              <w:rPr/>
            </w:pPr>
            <w:r>
              <w:rPr/>
              <w:t> </w:t>
            </w:r>
          </w:p>
        </w:tc>
      </w:tr>
      <w:tr>
        <w:trPr/>
        <w:tc>
          <w:tcPr>
            <w:tcW w:w="4522" w:type="dxa"/>
            <w:tcBorders/>
            <w:shd w:fill="auto" w:val="clear"/>
            <w:vAlign w:val="center"/>
          </w:tcPr>
          <w:p>
            <w:pPr>
              <w:pStyle w:val="TableContents"/>
              <w:spacing w:before="0" w:after="283"/>
              <w:jc w:val="left"/>
              <w:rPr/>
            </w:pPr>
            <w:r>
              <w:rPr/>
              <w:t> </w:t>
            </w:r>
          </w:p>
        </w:tc>
        <w:tc>
          <w:tcPr>
            <w:tcW w:w="4232" w:type="dxa"/>
            <w:gridSpan w:val="3"/>
            <w:tcBorders>
              <w:bottom w:val="single" w:sz="2" w:space="0" w:color="000000"/>
            </w:tcBorders>
            <w:shd w:fill="auto" w:val="clear"/>
            <w:tcMar>
              <w:bottom w:w="28" w:type="dxa"/>
            </w:tcMar>
            <w:vAlign w:val="center"/>
          </w:tcPr>
          <w:p>
            <w:pPr>
              <w:pStyle w:val="TableContents"/>
              <w:spacing w:before="0" w:after="283"/>
              <w:jc w:val="left"/>
              <w:rPr/>
            </w:pPr>
            <w:r>
              <w:rPr/>
              <w:t>/s/ Dan N. Tonissen  </w:t>
            </w:r>
          </w:p>
        </w:tc>
        <w:tc>
          <w:tcPr>
            <w:tcW w:w="1451" w:type="dxa"/>
            <w:tcBorders/>
            <w:shd w:fill="auto" w:val="clear"/>
            <w:vAlign w:val="center"/>
          </w:tcPr>
          <w:p>
            <w:pPr>
              <w:pStyle w:val="TableContents"/>
              <w:spacing w:before="0" w:after="283"/>
              <w:rPr/>
            </w:pPr>
            <w:r>
              <w:rPr/>
              <w:t> </w:t>
            </w:r>
          </w:p>
        </w:tc>
      </w:tr>
      <w:tr>
        <w:trPr/>
        <w:tc>
          <w:tcPr>
            <w:tcW w:w="4522" w:type="dxa"/>
            <w:tcBorders/>
            <w:shd w:fill="auto" w:val="clear"/>
            <w:vAlign w:val="center"/>
          </w:tcPr>
          <w:p>
            <w:pPr>
              <w:pStyle w:val="TableContents"/>
              <w:spacing w:before="0" w:after="283"/>
              <w:jc w:val="left"/>
              <w:rPr/>
            </w:pPr>
            <w:r>
              <w:rPr/>
              <w:t> </w:t>
            </w:r>
          </w:p>
        </w:tc>
        <w:tc>
          <w:tcPr>
            <w:tcW w:w="4232" w:type="dxa"/>
            <w:gridSpan w:val="3"/>
            <w:tcBorders/>
            <w:shd w:fill="auto" w:val="clear"/>
            <w:vAlign w:val="center"/>
          </w:tcPr>
          <w:p>
            <w:pPr>
              <w:pStyle w:val="TableContents"/>
              <w:spacing w:before="0" w:after="283"/>
              <w:jc w:val="left"/>
              <w:rPr/>
            </w:pPr>
            <w:r>
              <w:rPr/>
              <w:t>Dan N. Tonissen </w:t>
            </w:r>
          </w:p>
        </w:tc>
        <w:tc>
          <w:tcPr>
            <w:tcW w:w="1451" w:type="dxa"/>
            <w:tcBorders/>
            <w:shd w:fill="auto" w:val="clear"/>
            <w:vAlign w:val="center"/>
          </w:tcPr>
          <w:p>
            <w:pPr>
              <w:pStyle w:val="TableContents"/>
              <w:spacing w:before="0" w:after="283"/>
              <w:rPr/>
            </w:pPr>
            <w:r>
              <w:rPr/>
              <w:t> </w:t>
            </w:r>
          </w:p>
        </w:tc>
      </w:tr>
      <w:tr>
        <w:trPr/>
        <w:tc>
          <w:tcPr>
            <w:tcW w:w="4522" w:type="dxa"/>
            <w:tcBorders/>
            <w:shd w:fill="auto" w:val="clear"/>
            <w:vAlign w:val="center"/>
          </w:tcPr>
          <w:p>
            <w:pPr>
              <w:pStyle w:val="TableContents"/>
              <w:spacing w:before="0" w:after="283"/>
              <w:jc w:val="left"/>
              <w:rPr/>
            </w:pPr>
            <w:r>
              <w:rPr/>
              <w:t> </w:t>
            </w:r>
          </w:p>
        </w:tc>
        <w:tc>
          <w:tcPr>
            <w:tcW w:w="4232" w:type="dxa"/>
            <w:gridSpan w:val="3"/>
            <w:tcBorders/>
            <w:shd w:fill="auto" w:val="clear"/>
            <w:vAlign w:val="center"/>
          </w:tcPr>
          <w:p>
            <w:pPr>
              <w:pStyle w:val="TableContents"/>
              <w:spacing w:before="0" w:after="283"/>
              <w:jc w:val="left"/>
              <w:rPr/>
            </w:pPr>
            <w:r>
              <w:rPr/>
              <w:t>Senior Vice President,</w:t>
              <w:br/>
              <w:t>Chief Financial Officer &amp;</w:t>
              <w:br/>
              <w:t>Director </w:t>
            </w:r>
          </w:p>
        </w:tc>
        <w:tc>
          <w:tcPr>
            <w:tcW w:w="145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37</Pages>
  <Words>15146</Words>
  <CharactersWithSpaces>97277</CharactersWithSpaces>
  <Paragraphs>8653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exv32w2</dc:title>
</cp:coreProperties>
</file>