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5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04"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15, 2023 (November 14, 2023)</w:t>
      </w:r>
    </w:p>
    <w:p>
      <w:pPr>
        <w:spacing w:after="0" w:line="179"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1820" w:type="dxa"/>
            <w:vAlign w:val="bottom"/>
          </w:tcPr>
          <w:p>
            <w:pPr>
              <w:jc w:val="center"/>
              <w:ind w:right="10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44"/>
        </w:trPr>
        <w:tc>
          <w:tcPr>
            <w:tcW w:w="1820" w:type="dxa"/>
            <w:vAlign w:val="bottom"/>
          </w:tcPr>
          <w:p>
            <w:pPr>
              <w:jc w:val="center"/>
              <w:ind w:right="102"/>
              <w:spacing w:after="0" w:line="144" w:lineRule="exact"/>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78"/>
              <w:spacing w:after="0" w:line="144" w:lineRule="exact"/>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02"/>
              <w:spacing w:after="0" w:line="144"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2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291"/>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90"/>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8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10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5" w:lineRule="exact"/>
        <w:rPr>
          <w:sz w:val="24"/>
          <w:szCs w:val="24"/>
          <w:color w:val="auto"/>
        </w:rPr>
      </w:pPr>
    </w:p>
    <w:p>
      <w:pPr>
        <w:ind w:left="86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5"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November 15, 2023, EZCORP, Inc. ("EZCORP") issued a press release announcing its results of operations and financial condition for the full year and quarter ended September 30, 2023. A copy of that press release is attached as Exhibit 99.1.</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3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3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12" w:lineRule="exact"/>
        <w:rPr>
          <w:sz w:val="20"/>
          <w:szCs w:val="20"/>
          <w:color w:val="auto"/>
        </w:rPr>
      </w:pPr>
    </w:p>
    <w:p>
      <w:pPr>
        <w:ind w:left="660" w:hanging="652"/>
        <w:spacing w:after="0" w:line="253" w:lineRule="auto"/>
        <w:tabs>
          <w:tab w:leader="none" w:pos="392"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November 14, 2023, we entered into an Employment Contract with Lachlan P. Given, our Chief Executive Officer, who resides in London, England. The Employment Contract was entered into to comply with U.K. employment laws and is not intended to alter the fundamental elements of Mr. Given’s employment relationship, including the compensatory arrangements reflected in "Item 11 — Executive Compensation — Compensation Discussion and Analysis" in our Annual Report on Form 10-K for the year ended September 30, 2023 (the "Fiscal 2023 Form 10-K"). The terms of the Employment Contract mirror as close as possible the terms of Mr. Given’s pre-existing U.S. employment, although certain modifications were necessary to adapt to a U.K. employment environment, particularly with regards to healthcare and other benefits. All compensation received by Mr. Given under the Employment Contract is reflected in the "Summary Compensation Table," including the “All Other Compensation” column (which includes healthcare and other benefits) contained in "Item 11 — Executive Compensation" of the Fiscal 2023 Form 10-K.</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principal terms and conditions of the Employment Contract:</w:t>
      </w:r>
    </w:p>
    <w:p>
      <w:pPr>
        <w:spacing w:after="0" w:line="171" w:lineRule="exact"/>
        <w:rPr>
          <w:sz w:val="20"/>
          <w:szCs w:val="20"/>
          <w:color w:val="auto"/>
        </w:rPr>
      </w:pPr>
    </w:p>
    <w:p>
      <w:pPr>
        <w:ind w:left="1300" w:right="200" w:hanging="320"/>
        <w:spacing w:after="0" w:line="263"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noted above, the fundamental components of Mr. Given's compensation (including base salary, Short-Term Incentive Bonus and Long-Term Incentive Awards), as described in "Item 11 — Executive Compensation — Compensation Discussion and Analysis" in the Fiscal 2023 Form 10-K, are reflected in the terms of the Employment Contract.</w:t>
      </w:r>
    </w:p>
    <w:p>
      <w:pPr>
        <w:spacing w:after="0" w:line="129" w:lineRule="exact"/>
        <w:rPr>
          <w:rFonts w:ascii="Arial" w:cs="Arial" w:eastAsia="Arial" w:hAnsi="Arial"/>
          <w:sz w:val="18"/>
          <w:szCs w:val="18"/>
          <w:color w:val="auto"/>
        </w:rPr>
      </w:pPr>
    </w:p>
    <w:p>
      <w:pPr>
        <w:ind w:left="1300" w:right="20" w:hanging="320"/>
        <w:spacing w:after="0" w:line="259"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the right to terminate the Employment Contract with three months' notice, and may provide a payment of three months' base salary in lieu of such notice. If such termination is without cause, we will pay a severance payment of nine months' base salary. The combination of the payment in lieu of notice and the severance payment is equivalent to the one year's base salary that all other executive officers are entitled to upon termination without cause.</w:t>
      </w:r>
    </w:p>
    <w:p>
      <w:pPr>
        <w:spacing w:after="0" w:line="132"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If the termination is for cause, then no notice or severance payments are required to be paid.</w:t>
      </w:r>
    </w:p>
    <w:p>
      <w:pPr>
        <w:spacing w:after="0" w:line="171" w:lineRule="exact"/>
        <w:rPr>
          <w:rFonts w:ascii="Arial" w:cs="Arial" w:eastAsia="Arial" w:hAnsi="Arial"/>
          <w:sz w:val="18"/>
          <w:szCs w:val="18"/>
          <w:color w:val="auto"/>
        </w:rPr>
      </w:pPr>
    </w:p>
    <w:p>
      <w:pPr>
        <w:ind w:left="1300" w:right="80"/>
        <w:spacing w:after="0" w:line="263" w:lineRule="auto"/>
        <w:rPr>
          <w:rFonts w:ascii="Arial" w:cs="Arial" w:eastAsia="Arial" w:hAnsi="Arial"/>
          <w:sz w:val="18"/>
          <w:szCs w:val="18"/>
          <w:color w:val="auto"/>
        </w:rPr>
      </w:pPr>
      <w:r>
        <w:rPr>
          <w:rFonts w:ascii="Arial" w:cs="Arial" w:eastAsia="Arial" w:hAnsi="Arial"/>
          <w:sz w:val="18"/>
          <w:szCs w:val="18"/>
          <w:color w:val="auto"/>
        </w:rPr>
        <w:t>If the termination is one that is covered by the EZCORP Change in Control Severance Plan (as described in the Fiscal 2023 Form 10-K), then Mr. Given will be entitled to the severance benefits specified by that plan in lieu of any notice or severance payments under the Employment Contract.</w:t>
      </w:r>
    </w:p>
    <w:p>
      <w:pPr>
        <w:spacing w:after="0" w:line="129" w:lineRule="exact"/>
        <w:rPr>
          <w:rFonts w:ascii="Arial" w:cs="Arial" w:eastAsia="Arial" w:hAnsi="Arial"/>
          <w:sz w:val="18"/>
          <w:szCs w:val="18"/>
          <w:color w:val="auto"/>
        </w:rPr>
      </w:pPr>
    </w:p>
    <w:p>
      <w:pPr>
        <w:ind w:left="1300" w:right="40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term of the Employment Contract, Mr. Given will continue to be subject to all the terms and provisions of the Restrictive Covenant Agreement currently in effect.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Employment Contract is filed as Exhibit 10.8 to the Fiscal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copy of the presentation materials that management will review during the Company’s earnings conference call (to be held on November 16, 2023) will be posted in the Investor Relations section of the company’s website at www.ezcorp.com.</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10" w:lineRule="exact"/>
        <w:rPr>
          <w:sz w:val="20"/>
          <w:szCs w:val="20"/>
          <w:color w:val="auto"/>
        </w:rPr>
      </w:pPr>
    </w:p>
    <w:p>
      <w:pPr>
        <w:ind w:left="480" w:hanging="454"/>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93" w:lineRule="exact"/>
        <w:rPr>
          <w:sz w:val="20"/>
          <w:szCs w:val="20"/>
          <w:color w:val="auto"/>
        </w:rPr>
      </w:pPr>
    </w:p>
    <w:p>
      <w:pPr>
        <w:ind w:left="720" w:right="1120" w:hanging="525"/>
        <w:spacing w:after="0" w:line="243" w:lineRule="auto"/>
        <w:tabs>
          <w:tab w:leader="none" w:pos="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u w:val="single" w:color="auto"/>
          <w:color w:val="0000FF"/>
        </w:rPr>
        <w:t>Press Release, dated November 15, 2023, announcing EZCORP, Inc.’s results of operations and financial condition for the quarter ended September 30, 2023.</w:t>
      </w:r>
    </w:p>
    <w:p>
      <w:pPr>
        <w:ind w:left="720" w:right="860" w:hanging="525"/>
        <w:spacing w:after="0" w:line="242"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99.2</w:t>
      </w:r>
      <w:r>
        <w:rPr>
          <w:sz w:val="20"/>
          <w:szCs w:val="20"/>
          <w:color w:val="auto"/>
        </w:rPr>
        <w:tab/>
      </w:r>
      <w:hyperlink r:id="rId10">
        <w:r>
          <w:rPr>
            <w:rFonts w:ascii="Arial" w:cs="Arial" w:eastAsia="Arial" w:hAnsi="Arial"/>
            <w:sz w:val="18"/>
            <w:szCs w:val="18"/>
            <w:u w:val="single" w:color="auto"/>
            <w:color w:val="0000FF"/>
          </w:rPr>
          <w:t>Employment Contract, dated November 14, 2023, between EZCORP UK Limited and Lachlan P. Given (incorporated by reference to</w:t>
        </w:r>
      </w:hyperlink>
      <w:r>
        <w:rPr>
          <w:rFonts w:ascii="Arial" w:cs="Arial" w:eastAsia="Arial" w:hAnsi="Arial"/>
          <w:sz w:val="18"/>
          <w:szCs w:val="18"/>
          <w:u w:val="single" w:color="auto"/>
          <w:color w:val="0000FF"/>
        </w:rPr>
        <w:t xml:space="preserve"> </w:t>
      </w:r>
      <w:hyperlink r:id="rId10">
        <w:r>
          <w:rPr>
            <w:rFonts w:ascii="Arial" w:cs="Arial" w:eastAsia="Arial" w:hAnsi="Arial"/>
            <w:sz w:val="18"/>
            <w:szCs w:val="18"/>
            <w:u w:val="single" w:color="auto"/>
            <w:color w:val="0000FF"/>
          </w:rPr>
          <w:t>Exhibit 10.8 to the Company's Annual Report on Form 10-K for the year ended September 30, 2023).</w:t>
        </w:r>
      </w:hyperlink>
    </w:p>
    <w:p>
      <w:pPr>
        <w:spacing w:after="0" w:line="1"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7100" w:type="dxa"/>
            <w:vAlign w:val="bottom"/>
            <w:gridSpan w:val="2"/>
          </w:tcPr>
          <w:p>
            <w:pPr>
              <w:ind w:left="1960"/>
              <w:spacing w:after="0"/>
              <w:rPr>
                <w:sz w:val="20"/>
                <w:szCs w:val="20"/>
                <w:color w:val="auto"/>
              </w:rPr>
            </w:pPr>
            <w:r>
              <w:rPr>
                <w:rFonts w:ascii="Arial" w:cs="Arial" w:eastAsia="Arial" w:hAnsi="Arial"/>
                <w:sz w:val="18"/>
                <w:szCs w:val="18"/>
                <w:color w:val="auto"/>
              </w:rPr>
              <w:t>EZCORP, INC.</w:t>
            </w:r>
          </w:p>
        </w:tc>
      </w:tr>
      <w:tr>
        <w:trPr>
          <w:trHeight w:val="283"/>
        </w:trPr>
        <w:tc>
          <w:tcPr>
            <w:tcW w:w="4060" w:type="dxa"/>
            <w:vAlign w:val="bottom"/>
          </w:tcPr>
          <w:p>
            <w:pPr>
              <w:spacing w:after="0"/>
              <w:rPr>
                <w:sz w:val="20"/>
                <w:szCs w:val="20"/>
                <w:color w:val="auto"/>
              </w:rPr>
            </w:pPr>
            <w:r>
              <w:rPr>
                <w:rFonts w:ascii="Arial" w:cs="Arial" w:eastAsia="Arial" w:hAnsi="Arial"/>
                <w:sz w:val="18"/>
                <w:szCs w:val="18"/>
                <w:color w:val="auto"/>
              </w:rPr>
              <w:t>Date:   November 15, 2023</w:t>
            </w:r>
          </w:p>
        </w:tc>
        <w:tc>
          <w:tcPr>
            <w:tcW w:w="2780" w:type="dxa"/>
            <w:vAlign w:val="bottom"/>
          </w:tcPr>
          <w:p>
            <w:pPr>
              <w:ind w:left="196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K. Jugmans</w:t>
            </w:r>
          </w:p>
        </w:tc>
      </w:tr>
      <w:tr>
        <w:trPr>
          <w:trHeight w:val="222"/>
        </w:trPr>
        <w:tc>
          <w:tcPr>
            <w:tcW w:w="40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Timothy K. Jugmans</w:t>
            </w:r>
          </w:p>
        </w:tc>
      </w:tr>
      <w:tr>
        <w:trPr>
          <w:trHeight w:val="230"/>
        </w:trPr>
        <w:tc>
          <w:tcPr>
            <w:tcW w:w="40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00"/>
          </w:cols>
          <w:pgMar w:left="320" w:top="1053" w:right="379" w:bottom="1440" w:gutter="0" w:footer="0" w:header="0"/>
        </w:sectPr>
      </w:pPr>
    </w:p>
    <w:bookmarkStart w:id="3" w:name="page4"/>
    <w:bookmarkEnd w:id="3"/>
    <w:p>
      <w:pPr>
        <w:spacing w:after="0" w:line="2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603250</wp:posOffset>
            </wp:positionV>
            <wp:extent cx="2005965"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511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EZCORP Reports Fourth Quarter and Full Year Fiscal 2023 Results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Strong Consumer Demand Driving Record Pawn Loans Outstanding and Revenue to Over $1 Billion for the Year</w:t>
      </w:r>
    </w:p>
    <w:p>
      <w:pPr>
        <w:spacing w:after="0" w:line="19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 xml:space="preserve">Austin, Texas (November 15, 2023) — </w:t>
      </w:r>
      <w:r>
        <w:rPr>
          <w:rFonts w:ascii="Arial" w:cs="Arial" w:eastAsia="Arial" w:hAnsi="Arial"/>
          <w:sz w:val="18"/>
          <w:szCs w:val="18"/>
          <w:color w:val="auto"/>
        </w:rPr>
        <w:t>EZCORP, Inc. (NASDAQ: EZPW), a leading provider of pawn transactions in the United States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Latin America, today announced results for its fourth quarter and full year ended September 30, 2023.</w:t>
      </w:r>
    </w:p>
    <w:p>
      <w:pPr>
        <w:spacing w:after="0" w:line="109"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i w:val="1"/>
          <w:iCs w:val="1"/>
          <w:color w:val="auto"/>
        </w:rPr>
        <w:t>Unless otherwise noted, all amounts in this release are in conformity with U.S. generally accepted accounting principles (</w:t>
      </w:r>
      <w:r>
        <w:rPr>
          <w:rFonts w:ascii="Arial" w:cs="Arial" w:eastAsia="Arial" w:hAnsi="Arial"/>
          <w:sz w:val="17"/>
          <w:szCs w:val="17"/>
          <w:color w:val="auto"/>
        </w:rPr>
        <w:t>“</w:t>
      </w:r>
      <w:r>
        <w:rPr>
          <w:rFonts w:ascii="Arial" w:cs="Arial" w:eastAsia="Arial" w:hAnsi="Arial"/>
          <w:sz w:val="16"/>
          <w:szCs w:val="16"/>
          <w:i w:val="1"/>
          <w:iCs w:val="1"/>
          <w:color w:val="auto"/>
        </w:rPr>
        <w:t>GAAP</w:t>
      </w:r>
      <w:r>
        <w:rPr>
          <w:rFonts w:ascii="Arial" w:cs="Arial" w:eastAsia="Arial" w:hAnsi="Arial"/>
          <w:sz w:val="17"/>
          <w:szCs w:val="17"/>
          <w:color w:val="auto"/>
        </w:rPr>
        <w:t>”</w:t>
      </w:r>
      <w:r>
        <w:rPr>
          <w:rFonts w:ascii="Arial" w:cs="Arial" w:eastAsia="Arial" w:hAnsi="Arial"/>
          <w:sz w:val="16"/>
          <w:szCs w:val="16"/>
          <w:i w:val="1"/>
          <w:iCs w:val="1"/>
          <w:color w:val="auto"/>
        </w:rPr>
        <w:t>) and comparisons shown are to the same period in the prior year.</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HIGHLIGHTS</w:t>
      </w:r>
    </w:p>
    <w:p>
      <w:pPr>
        <w:spacing w:after="0" w:line="18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Pawn loans outstanding (PLO) up 17% to $245.8 million.</w:t>
      </w:r>
    </w:p>
    <w:p>
      <w:pPr>
        <w:spacing w:after="0" w:line="164" w:lineRule="exact"/>
        <w:rPr>
          <w:rFonts w:ascii="Arial" w:cs="Arial" w:eastAsia="Arial" w:hAnsi="Arial"/>
          <w:sz w:val="18"/>
          <w:szCs w:val="18"/>
          <w:color w:val="auto"/>
        </w:rPr>
      </w:pPr>
    </w:p>
    <w:p>
      <w:pPr>
        <w:ind w:left="660" w:right="100" w:hanging="328"/>
        <w:spacing w:after="0" w:line="229"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increased 16% for the quarter and 18% for the full year, while gross profit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increased 16% for the quarter and 15% for the full year.</w:t>
      </w:r>
    </w:p>
    <w:p>
      <w:pPr>
        <w:spacing w:after="0" w:line="15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Merchandise sales gross margin remains within our targeted range at 36% for both the quarter and full year.</w:t>
      </w:r>
    </w:p>
    <w:p>
      <w:pPr>
        <w:spacing w:after="0" w:line="171" w:lineRule="exact"/>
        <w:rPr>
          <w:rFonts w:ascii="Arial" w:cs="Arial" w:eastAsia="Arial" w:hAnsi="Arial"/>
          <w:sz w:val="18"/>
          <w:szCs w:val="18"/>
          <w:color w:val="auto"/>
        </w:rPr>
      </w:pPr>
    </w:p>
    <w:p>
      <w:pPr>
        <w:ind w:left="660" w:right="100" w:hanging="328"/>
        <w:spacing w:after="0" w:line="258"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for the quarter was $10.3 million, an increase of $2.9 million. Net income for the year was $38.5 million, a decrease of $11.7 million. The majority of the decrease was driven by our $26.3 million (after tax) share of the one-time, non-cash goodwill impairment and other discrete adjustments recognized by Cash Converters International, which we primarily recorded in our second quarter.</w:t>
      </w:r>
    </w:p>
    <w:p>
      <w:pPr>
        <w:spacing w:after="0" w:line="135" w:lineRule="exact"/>
        <w:rPr>
          <w:rFonts w:ascii="Arial" w:cs="Arial" w:eastAsia="Arial" w:hAnsi="Arial"/>
          <w:sz w:val="18"/>
          <w:szCs w:val="18"/>
          <w:color w:val="auto"/>
        </w:rPr>
      </w:pPr>
    </w:p>
    <w:p>
      <w:pPr>
        <w:jc w:val="both"/>
        <w:ind w:left="660" w:right="320" w:hanging="328"/>
        <w:spacing w:after="0" w:line="304" w:lineRule="auto"/>
        <w:tabs>
          <w:tab w:leader="none" w:pos="669" w:val="left"/>
        </w:tabs>
        <w:numPr>
          <w:ilvl w:val="0"/>
          <w:numId w:val="5"/>
        </w:numPr>
        <w:rPr>
          <w:rFonts w:ascii="Arial" w:cs="Arial" w:eastAsia="Arial" w:hAnsi="Arial"/>
          <w:sz w:val="17"/>
          <w:szCs w:val="17"/>
          <w:color w:val="auto"/>
        </w:rPr>
      </w:pPr>
      <w:r>
        <w:rPr>
          <w:rFonts w:ascii="Arial" w:cs="Arial" w:eastAsia="Arial" w:hAnsi="Arial"/>
          <w:sz w:val="17"/>
          <w:szCs w:val="17"/>
          <w:color w:val="auto"/>
        </w:rPr>
        <w:t>Diluted earnings per share was $0.15 for the quarter, up from $0.11 and for the year was $0.53 down from $0.70. On an adjusted basis</w:t>
      </w:r>
      <w:r>
        <w:rPr>
          <w:rFonts w:ascii="Arial" w:cs="Arial" w:eastAsia="Arial" w:hAnsi="Arial"/>
          <w:sz w:val="22"/>
          <w:szCs w:val="22"/>
          <w:color w:val="auto"/>
          <w:vertAlign w:val="superscript"/>
        </w:rPr>
        <w:t>1</w:t>
      </w:r>
      <w:r>
        <w:rPr>
          <w:rFonts w:ascii="Arial" w:cs="Arial" w:eastAsia="Arial" w:hAnsi="Arial"/>
          <w:sz w:val="17"/>
          <w:szCs w:val="17"/>
          <w:color w:val="auto"/>
        </w:rPr>
        <w:t>, diluted earnings per share for the quarter was $0.23, compared to $0.15, and for the year was $0.92, compared to $0.75.</w:t>
      </w:r>
    </w:p>
    <w:p>
      <w:pPr>
        <w:spacing w:after="0" w:line="25"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Return on earning assets (ROEA) remains strong at 157% for the quarter and 161% for the full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68" w:lineRule="exact"/>
        <w:rPr>
          <w:sz w:val="20"/>
          <w:szCs w:val="20"/>
          <w:color w:val="auto"/>
        </w:rPr>
      </w:pPr>
    </w:p>
    <w:p>
      <w:pPr>
        <w:jc w:val="both"/>
        <w:ind w:right="460"/>
        <w:spacing w:after="0" w:line="247" w:lineRule="auto"/>
        <w:rPr>
          <w:sz w:val="20"/>
          <w:szCs w:val="20"/>
          <w:color w:val="auto"/>
        </w:rPr>
      </w:pPr>
      <w:r>
        <w:rPr>
          <w:rFonts w:ascii="Arial" w:cs="Arial" w:eastAsia="Arial" w:hAnsi="Arial"/>
          <w:sz w:val="18"/>
          <w:szCs w:val="18"/>
          <w:color w:val="auto"/>
        </w:rPr>
        <w:t>Lachie Given, Chief Executive Officer, stated, “Due to our team's relentless focus on superior execution and operational excellence, we achieved another quarter of outstanding financial results. PLO, revenues, and merchandise sales all reached new records for the fourth quarter and for the year.</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added 21 stores during the quarter, further expanding our store footprint. Two of the new stores were acquired in the U.S. and 19 were opened in Latin America. Ten of those were opened in Mexico, taking our store count there to 549; seven were in Guatemala, expanding our market leadership there to 117 stores; and the remaining 2, in Honduras. In October, we invested an additional $15 million into Simple Management Group through Founders LLC, as they acquired another 22 stores in Panama and Costa Rica. This business now operates 95 pawn stores in the US, Caribbean and Central America and continues to develop a significant industry presence.</w:t>
      </w:r>
    </w:p>
    <w:p>
      <w:pPr>
        <w:spacing w:after="0" w:line="13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EZ+ Rewards loyalty program continues to grow rapidly, with 3.8 million members globally, a 15% increase over the previous quarter, and a 100% increase over prior year. The strategies we have implemented to win and retain customers and drive customer engagement have been extremely successful, and are important in achieving our strong store metrics.</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embarked on our next three-year strategic plan in October, advancing our commitment to ‘People, Pawn and Passion,’ underpinned by a fundamental focus on operating excellence in every store every day. We will continue to invest in our people and technology to expand our customer base and their experiences with us, while ensuring that we employ the most passionate, productive, and tenured team in the industry. We offer a unique and essential service to address our customers' short-term cash needs and provide a wide variety of pre-owned goods for our expanding customer base of environmentally and cost-conscious consumers.</w:t>
      </w:r>
    </w:p>
    <w:p>
      <w:pPr>
        <w:spacing w:after="0" w:line="13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“We maintain a robust acquisition pipeline and our objective is to significantly grow our store footprint in an exciting global industry. We have a strong balance sheet and the liquidity to execute on that strategy.</w:t>
      </w:r>
    </w:p>
    <w:p>
      <w:pPr>
        <w:sectPr>
          <w:pgSz w:w="11900" w:h="16838" w:orient="portrait"/>
          <w:cols w:equalWidth="0" w:num="1">
            <w:col w:w="11220"/>
          </w:cols>
          <w:pgMar w:left="320" w:top="1440" w:right="359" w:bottom="1440" w:gutter="0" w:footer="0" w:header="0"/>
        </w:sectPr>
      </w:pPr>
    </w:p>
    <w:bookmarkStart w:id="4" w:name="page5"/>
    <w:bookmarkEnd w:id="4"/>
    <w:p>
      <w:pPr>
        <w:ind w:right="100"/>
        <w:spacing w:after="0" w:line="263" w:lineRule="auto"/>
        <w:rPr>
          <w:sz w:val="20"/>
          <w:szCs w:val="20"/>
          <w:color w:val="auto"/>
        </w:rPr>
      </w:pPr>
      <w:r>
        <w:rPr>
          <w:rFonts w:ascii="Arial" w:cs="Arial" w:eastAsia="Arial" w:hAnsi="Arial"/>
          <w:sz w:val="18"/>
          <w:szCs w:val="18"/>
          <w:color w:val="auto"/>
        </w:rPr>
        <w:t>“The EZCORP team worked hard on behalf of all stakeholders to deliver the prior three-year plan. The business has grown substantially and its operating and financial performance improved materially in that time. I am very excited about the future as we continue to drive value for all shareholders.”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700" w:type="dxa"/>
            <w:vAlign w:val="bottom"/>
          </w:tcPr>
          <w:p>
            <w:pPr>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Reported</w:t>
            </w:r>
          </w:p>
        </w:tc>
        <w:tc>
          <w:tcPr>
            <w:tcW w:w="80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21"/>
                <w:szCs w:val="21"/>
                <w:b w:val="1"/>
                <w:bCs w:val="1"/>
                <w:color w:val="auto"/>
                <w:vertAlign w:val="superscript"/>
              </w:rPr>
              <w:t>1</w:t>
            </w:r>
          </w:p>
        </w:tc>
        <w:tc>
          <w:tcPr>
            <w:tcW w:w="840" w:type="dxa"/>
            <w:vAlign w:val="bottom"/>
            <w:tcBorders>
              <w:bottom w:val="single" w:sz="8" w:color="auto"/>
            </w:tcBorders>
          </w:tcPr>
          <w:p>
            <w:pPr>
              <w:spacing w:after="0"/>
              <w:rPr>
                <w:sz w:val="21"/>
                <w:szCs w:val="2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6"/>
                <w:szCs w:val="16"/>
                <w:i w:val="1"/>
                <w:iCs w:val="1"/>
                <w:color w:val="auto"/>
              </w:rPr>
              <w:t>in millions, except per share amounts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2022</w:t>
            </w:r>
          </w:p>
        </w:tc>
        <w:tc>
          <w:tcPr>
            <w:tcW w:w="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r>
      <w:tr>
        <w:trPr>
          <w:trHeight w:val="244"/>
        </w:trPr>
        <w:tc>
          <w:tcPr>
            <w:tcW w:w="5700" w:type="dxa"/>
            <w:vAlign w:val="bottom"/>
          </w:tcPr>
          <w:p>
            <w:pPr>
              <w:spacing w:after="0"/>
              <w:rPr>
                <w:sz w:val="20"/>
                <w:szCs w:val="20"/>
                <w:color w:val="auto"/>
              </w:rPr>
            </w:pPr>
            <w:r>
              <w:rPr>
                <w:rFonts w:ascii="Arial" w:cs="Arial" w:eastAsia="Arial" w:hAnsi="Arial"/>
                <w:sz w:val="16"/>
                <w:szCs w:val="16"/>
                <w:color w:val="auto"/>
              </w:rPr>
              <w:t>Total 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270.5</w:t>
            </w:r>
          </w:p>
        </w:tc>
        <w:tc>
          <w:tcPr>
            <w:tcW w:w="10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233.4</w:t>
            </w:r>
          </w:p>
        </w:tc>
        <w:tc>
          <w:tcPr>
            <w:tcW w:w="44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261.4</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233.4</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Gross profit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159.4</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137.6</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137.6</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Income before tax</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13.2</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7.3</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0.11</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0.15</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EBITDA (non-GAAP measure)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24.8</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24.8</w:t>
            </w:r>
          </w:p>
        </w:tc>
      </w:tr>
      <w:tr>
        <w:trPr>
          <w:trHeight w:val="667"/>
        </w:trPr>
        <w:tc>
          <w:tcPr>
            <w:tcW w:w="5700" w:type="dxa"/>
            <w:vAlign w:val="bottom"/>
          </w:tcPr>
          <w:p>
            <w:pPr>
              <w:spacing w:after="0"/>
              <w:rPr>
                <w:sz w:val="20"/>
                <w:szCs w:val="20"/>
                <w:color w:val="auto"/>
              </w:rPr>
            </w:pPr>
            <w:r>
              <w:rPr>
                <w:rFonts w:ascii="Arial" w:cs="Arial" w:eastAsia="Arial" w:hAnsi="Arial"/>
                <w:sz w:val="16"/>
                <w:szCs w:val="16"/>
                <w:b w:val="1"/>
                <w:bCs w:val="1"/>
                <w:color w:val="auto"/>
              </w:rPr>
              <w:t>Twelve Months Ended September 30</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Reported</w:t>
            </w:r>
          </w:p>
        </w:tc>
        <w:tc>
          <w:tcPr>
            <w:tcW w:w="8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21"/>
                <w:szCs w:val="21"/>
                <w:b w:val="1"/>
                <w:bCs w:val="1"/>
                <w:color w:val="auto"/>
                <w:vertAlign w:val="superscript"/>
              </w:rPr>
              <w:t>1</w:t>
            </w:r>
          </w:p>
        </w:tc>
        <w:tc>
          <w:tcPr>
            <w:tcW w:w="840" w:type="dxa"/>
            <w:vAlign w:val="bottom"/>
            <w:tcBorders>
              <w:bottom w:val="single" w:sz="8" w:color="auto"/>
            </w:tcBorders>
          </w:tcPr>
          <w:p>
            <w:pPr>
              <w:spacing w:after="0"/>
              <w:rPr>
                <w:sz w:val="24"/>
                <w:szCs w:val="24"/>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6"/>
                <w:szCs w:val="16"/>
                <w:i w:val="1"/>
                <w:iCs w:val="1"/>
                <w:color w:val="auto"/>
              </w:rPr>
              <w:t>in millions, except per share amounts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2022</w:t>
            </w:r>
          </w:p>
        </w:tc>
        <w:tc>
          <w:tcPr>
            <w:tcW w:w="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r>
      <w:tr>
        <w:trPr>
          <w:trHeight w:val="244"/>
        </w:trPr>
        <w:tc>
          <w:tcPr>
            <w:tcW w:w="5700" w:type="dxa"/>
            <w:vAlign w:val="bottom"/>
          </w:tcPr>
          <w:p>
            <w:pPr>
              <w:spacing w:after="0"/>
              <w:rPr>
                <w:sz w:val="20"/>
                <w:szCs w:val="20"/>
                <w:color w:val="auto"/>
              </w:rPr>
            </w:pPr>
            <w:r>
              <w:rPr>
                <w:rFonts w:ascii="Arial" w:cs="Arial" w:eastAsia="Arial" w:hAnsi="Arial"/>
                <w:sz w:val="16"/>
                <w:szCs w:val="16"/>
                <w:color w:val="auto"/>
              </w:rPr>
              <w:t>Total 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1,049.0</w:t>
            </w:r>
          </w:p>
        </w:tc>
        <w:tc>
          <w:tcPr>
            <w:tcW w:w="10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886.2</w:t>
            </w:r>
          </w:p>
        </w:tc>
        <w:tc>
          <w:tcPr>
            <w:tcW w:w="44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1,026.3</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886.2</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Gross profit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609.8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528.1</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598.0</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528.1</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Income before tax</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67.7</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71.8</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50.2</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54.4</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0.53</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0.70</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0.92</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0.75</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EBITDA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109.0</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129.3</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113.1</w:t>
            </w:r>
          </w:p>
        </w:tc>
      </w:tr>
    </w:tbl>
    <w:p>
      <w:pPr>
        <w:spacing w:after="0" w:line="250" w:lineRule="exact"/>
        <w:rPr>
          <w:sz w:val="20"/>
          <w:szCs w:val="20"/>
          <w:color w:val="auto"/>
        </w:rPr>
      </w:pPr>
    </w:p>
    <w:p>
      <w:pPr>
        <w:ind w:left="660" w:hanging="328"/>
        <w:spacing w:after="0" w:line="246"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Diluted earnings per share was $0.15 for the fourth quarter, up from $0.11. On an adjusted basis, diluted earnings per share was $0.23, up from $0.15. The primary difference between GAAP and adjusted financial results is attributable to impairments of $6.9 million (after tax), unrelated to operations. For the full year, diluted earnings per share was $0.53, compared to $0.70. On an adjusted basis, diluted earnings per share for the year was $0.92, compared to $0.75. The primary difference between GAAP and adjusted financial results is attributable to our share of the one-time, non-cash goodwill impairment recognized by Cash Converters International, which we recorded in our second quarter.</w:t>
      </w:r>
    </w:p>
    <w:p>
      <w:pPr>
        <w:spacing w:after="0" w:line="131" w:lineRule="exact"/>
        <w:rPr>
          <w:rFonts w:ascii="Arial" w:cs="Arial" w:eastAsia="Arial" w:hAnsi="Arial"/>
          <w:sz w:val="18"/>
          <w:szCs w:val="18"/>
          <w:color w:val="auto"/>
        </w:rPr>
      </w:pPr>
    </w:p>
    <w:p>
      <w:pPr>
        <w:jc w:val="both"/>
        <w:ind w:left="660" w:right="280" w:hanging="328"/>
        <w:spacing w:after="0" w:line="263"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fourth quarter, income before taxes decreased to $13.1 million from $13.2 million, and adjusted EBITDA increased 26% to $31.2 million. For the full year, income before taxes decreased to $51.6 million from $67.7 million and adjusted EBITDA increased 14% to $129.3 million.</w:t>
      </w:r>
    </w:p>
    <w:p>
      <w:pPr>
        <w:spacing w:after="0" w:line="123" w:lineRule="exact"/>
        <w:rPr>
          <w:rFonts w:ascii="Arial" w:cs="Arial" w:eastAsia="Arial" w:hAnsi="Arial"/>
          <w:sz w:val="18"/>
          <w:szCs w:val="18"/>
          <w:color w:val="auto"/>
        </w:rPr>
      </w:pPr>
    </w:p>
    <w:p>
      <w:pPr>
        <w:ind w:left="660" w:right="300" w:hanging="328"/>
        <w:spacing w:after="0" w:line="229"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PLO increased 17% to $245.8 million, up $35.8 million. On a same-store basis</w:t>
      </w:r>
      <w:r>
        <w:rPr>
          <w:rFonts w:ascii="Arial" w:cs="Arial" w:eastAsia="Arial" w:hAnsi="Arial"/>
          <w:sz w:val="23"/>
          <w:szCs w:val="23"/>
          <w:color w:val="auto"/>
          <w:vertAlign w:val="superscript"/>
        </w:rPr>
        <w:t>2</w:t>
      </w:r>
      <w:r>
        <w:rPr>
          <w:rFonts w:ascii="Arial" w:cs="Arial" w:eastAsia="Arial" w:hAnsi="Arial"/>
          <w:sz w:val="18"/>
          <w:szCs w:val="18"/>
          <w:color w:val="auto"/>
        </w:rPr>
        <w:t>, PLO increased 14% due to improved operational performance and continued strong pawn demand.</w:t>
      </w:r>
    </w:p>
    <w:p>
      <w:pPr>
        <w:spacing w:after="0" w:line="150" w:lineRule="exact"/>
        <w:rPr>
          <w:rFonts w:ascii="Arial" w:cs="Arial" w:eastAsia="Arial" w:hAnsi="Arial"/>
          <w:sz w:val="18"/>
          <w:szCs w:val="18"/>
          <w:color w:val="auto"/>
        </w:rPr>
      </w:pPr>
    </w:p>
    <w:p>
      <w:pPr>
        <w:ind w:left="660" w:right="480" w:hanging="328"/>
        <w:spacing w:after="0" w:line="263"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fourth quarter, total revenues and gross profit increased 16%, reflecting improved pawn service charge (PSC) revenue, merchandise sales and merchandise sales gross profit. Similarly for the full year, total revenues increased 18% and gross profit increased 15%.</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PSC increased 19% in the fourth quarter and 20% for the full year as a result of higher average PLO and yields.</w:t>
      </w:r>
    </w:p>
    <w:p>
      <w:pPr>
        <w:spacing w:after="0" w:line="171" w:lineRule="exact"/>
        <w:rPr>
          <w:rFonts w:ascii="Arial" w:cs="Arial" w:eastAsia="Arial" w:hAnsi="Arial"/>
          <w:sz w:val="18"/>
          <w:szCs w:val="18"/>
          <w:color w:val="auto"/>
        </w:rPr>
      </w:pPr>
    </w:p>
    <w:p>
      <w:pPr>
        <w:ind w:left="660" w:right="140" w:hanging="328"/>
        <w:spacing w:after="0" w:line="263"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Merchandise sales gross margin remains within our target range at 36%. Aged general merchandise was 1.3% of total general merchandise inventory. This is a 30 bps improvement over the third quarter. For the full year, merchandise sales gross profit margin was 36%, compared to 38%.</w:t>
      </w:r>
    </w:p>
    <w:p>
      <w:pPr>
        <w:spacing w:after="0" w:line="129" w:lineRule="exact"/>
        <w:rPr>
          <w:rFonts w:ascii="Arial" w:cs="Arial" w:eastAsia="Arial" w:hAnsi="Arial"/>
          <w:sz w:val="18"/>
          <w:szCs w:val="18"/>
          <w:color w:val="auto"/>
        </w:rPr>
      </w:pPr>
    </w:p>
    <w:p>
      <w:pPr>
        <w:ind w:left="660" w:hanging="328"/>
        <w:spacing w:after="0" w:line="275"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inventory increased 10%, as expected with the growth in PLO. Inventory turnover increased to 2.7x for the quarter, from 2.6x and was flat at 2.8x for the year.</w:t>
      </w:r>
    </w:p>
    <w:p>
      <w:pPr>
        <w:spacing w:after="0" w:line="113" w:lineRule="exact"/>
        <w:rPr>
          <w:rFonts w:ascii="Arial" w:cs="Arial" w:eastAsia="Arial" w:hAnsi="Arial"/>
          <w:sz w:val="18"/>
          <w:szCs w:val="18"/>
          <w:color w:val="auto"/>
        </w:rPr>
      </w:pPr>
    </w:p>
    <w:p>
      <w:pPr>
        <w:ind w:left="660" w:right="320" w:hanging="328"/>
        <w:spacing w:after="0" w:line="243" w:lineRule="auto"/>
        <w:tabs>
          <w:tab w:leader="none" w:pos="669"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fourth quarter, store expenses increased 17% (14% on a same-store basis</w:t>
      </w:r>
      <w:r>
        <w:rPr>
          <w:rFonts w:ascii="Arial" w:cs="Arial" w:eastAsia="Arial" w:hAnsi="Arial"/>
          <w:sz w:val="22"/>
          <w:szCs w:val="22"/>
          <w:color w:val="auto"/>
          <w:vertAlign w:val="superscript"/>
        </w:rPr>
        <w:t>2</w:t>
      </w:r>
      <w:r>
        <w:rPr>
          <w:rFonts w:ascii="Arial" w:cs="Arial" w:eastAsia="Arial" w:hAnsi="Arial"/>
          <w:sz w:val="17"/>
          <w:szCs w:val="17"/>
          <w:color w:val="auto"/>
        </w:rPr>
        <w:t>), primarily due to increased labor in-line with store activity, higher store count and, to a lesser extent, expenses related to our loyalty program. For the full year, store expenses</w:t>
      </w:r>
    </w:p>
    <w:p>
      <w:pPr>
        <w:sectPr>
          <w:pgSz w:w="11900" w:h="16838" w:orient="portrait"/>
          <w:cols w:equalWidth="0" w:num="1">
            <w:col w:w="11240"/>
          </w:cols>
          <w:pgMar w:left="320" w:top="1099" w:right="339" w:bottom="1440" w:gutter="0" w:footer="0" w:header="0"/>
        </w:sectPr>
      </w:pPr>
    </w:p>
    <w:bookmarkStart w:id="5" w:name="page6"/>
    <w:bookmarkEnd w:id="5"/>
    <w:p>
      <w:pPr>
        <w:ind w:left="660" w:right="140"/>
        <w:spacing w:after="0" w:line="229" w:lineRule="auto"/>
        <w:rPr>
          <w:sz w:val="20"/>
          <w:szCs w:val="20"/>
          <w:color w:val="auto"/>
        </w:rPr>
      </w:pPr>
      <w:r>
        <w:rPr>
          <w:rFonts w:ascii="Arial" w:cs="Arial" w:eastAsia="Arial" w:hAnsi="Arial"/>
          <w:sz w:val="18"/>
          <w:szCs w:val="18"/>
          <w:color w:val="auto"/>
        </w:rPr>
        <w:t>increased 17% (15% on a same-store basis</w:t>
      </w:r>
      <w:r>
        <w:rPr>
          <w:rFonts w:ascii="Arial" w:cs="Arial" w:eastAsia="Arial" w:hAnsi="Arial"/>
          <w:sz w:val="23"/>
          <w:szCs w:val="23"/>
          <w:color w:val="auto"/>
          <w:vertAlign w:val="superscript"/>
        </w:rPr>
        <w:t>2</w:t>
      </w:r>
      <w:r>
        <w:rPr>
          <w:rFonts w:ascii="Arial" w:cs="Arial" w:eastAsia="Arial" w:hAnsi="Arial"/>
          <w:sz w:val="18"/>
          <w:szCs w:val="18"/>
          <w:color w:val="auto"/>
        </w:rPr>
        <w:t>), primarily due to increased labor in-line with store activity, higher store count and, to a lesser extent, expenses related to our loyalty program.</w:t>
      </w:r>
    </w:p>
    <w:p>
      <w:pPr>
        <w:spacing w:after="0" w:line="151" w:lineRule="exact"/>
        <w:rPr>
          <w:sz w:val="20"/>
          <w:szCs w:val="20"/>
          <w:color w:val="auto"/>
        </w:rPr>
      </w:pPr>
    </w:p>
    <w:p>
      <w:pPr>
        <w:ind w:left="660" w:right="200" w:hanging="328"/>
        <w:spacing w:after="0" w:line="258"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expenses increased 4% in the fourth quarter, primarily due to an increase in costs related to insurance, our Workday implementation and incentive compensation. For the full year, general and administrative expenses increased 5%, primarily due to an increase in costs related to incentive compensation, insurance and our Workday implementation, partially offset by the litigation accrual charge of $2.0 million recorded in prior period.</w:t>
      </w:r>
    </w:p>
    <w:p>
      <w:pPr>
        <w:spacing w:after="0" w:line="135" w:lineRule="exact"/>
        <w:rPr>
          <w:rFonts w:ascii="Arial" w:cs="Arial" w:eastAsia="Arial" w:hAnsi="Arial"/>
          <w:sz w:val="18"/>
          <w:szCs w:val="18"/>
          <w:color w:val="auto"/>
        </w:rPr>
      </w:pPr>
    </w:p>
    <w:p>
      <w:pPr>
        <w:ind w:left="660" w:right="60" w:hanging="328"/>
        <w:spacing w:after="0" w:line="263"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and cash equivalents at the end of the quarter was $220.6 million, up 7% year-over-year. The increase was primarily due to cash inflows provided by operating activities and the net cash proceeds associated with the convertible debt refinancing offset by the increase in PLO and inventory, the acquisition of new stores, strategic investments and share repurchases.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ind w:left="660" w:right="480" w:hanging="328"/>
        <w:spacing w:after="0" w:line="275"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PLO continued to increase, ending the year at $190.6 million, up 17% or 13% on a same store basis due to improved customer service and increased pawn demand.</w:t>
      </w:r>
    </w:p>
    <w:p>
      <w:pPr>
        <w:spacing w:after="0" w:line="119" w:lineRule="exact"/>
        <w:rPr>
          <w:rFonts w:ascii="Arial" w:cs="Arial" w:eastAsia="Arial" w:hAnsi="Arial"/>
          <w:sz w:val="18"/>
          <w:szCs w:val="18"/>
          <w:color w:val="auto"/>
        </w:rPr>
      </w:pPr>
    </w:p>
    <w:p>
      <w:pPr>
        <w:ind w:left="660" w:right="340" w:hanging="328"/>
        <w:spacing w:after="0" w:line="275"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fourth quarter, total revenue was up 12% and gross profit increased 13%, primarily due to increased PSC. For the full year, total revenues increased 16% and gross profit increased 12%, primarily due to increased PSC.</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PSC increased 17% in the fourth quarter and increased 19% for the full year as a result of higher average PLO and yields.</w:t>
      </w:r>
    </w:p>
    <w:p>
      <w:pPr>
        <w:spacing w:after="0" w:line="171" w:lineRule="exact"/>
        <w:rPr>
          <w:rFonts w:ascii="Arial" w:cs="Arial" w:eastAsia="Arial" w:hAnsi="Arial"/>
          <w:sz w:val="18"/>
          <w:szCs w:val="18"/>
          <w:color w:val="auto"/>
        </w:rPr>
      </w:pPr>
    </w:p>
    <w:p>
      <w:pPr>
        <w:ind w:left="660" w:hanging="328"/>
        <w:spacing w:after="0" w:line="263"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fourth quarter, merchandise sales gross margin decreased to 38% from 40%, within our target range. Aged general merchandise was 0.9% of total general merchandise inventory which is a 10 bps improvement over the third quarter. For the full year, merchandise sales gross profit margin decreased 300 bps to 38%, reflecting a return to normalized margins.</w:t>
      </w:r>
    </w:p>
    <w:p>
      <w:pPr>
        <w:spacing w:after="0" w:line="129" w:lineRule="exact"/>
        <w:rPr>
          <w:rFonts w:ascii="Arial" w:cs="Arial" w:eastAsia="Arial" w:hAnsi="Arial"/>
          <w:sz w:val="18"/>
          <w:szCs w:val="18"/>
          <w:color w:val="auto"/>
        </w:rPr>
      </w:pPr>
    </w:p>
    <w:p>
      <w:pPr>
        <w:ind w:left="660" w:right="60" w:hanging="328"/>
        <w:spacing w:after="0" w:line="275"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inventory increased 12%, as expected with the growth in PLO. Inventory turnover decreased to 2.4x from 2.5x in the quarter and was flat at 2.6x for the full year.</w:t>
      </w:r>
    </w:p>
    <w:p>
      <w:pPr>
        <w:spacing w:after="0" w:line="119" w:lineRule="exact"/>
        <w:rPr>
          <w:rFonts w:ascii="Arial" w:cs="Arial" w:eastAsia="Arial" w:hAnsi="Arial"/>
          <w:sz w:val="18"/>
          <w:szCs w:val="18"/>
          <w:color w:val="auto"/>
        </w:rPr>
      </w:pPr>
    </w:p>
    <w:p>
      <w:pPr>
        <w:ind w:left="660" w:right="100" w:hanging="328"/>
        <w:spacing w:after="0" w:line="263"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fourth quarter, store expenses increased 11% (9% on a same store basis), primarily due to increased labor in-line with store activity, higher store count and, to a lesser extent, expenses related to our loyalty program. Similarly for the full year, store expenses increased 12% (10% on a same store basis).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contribution increased 20% to $37.2 million in the fourth quarter and increased 14% to $146.5 million for the full year.</w:t>
      </w:r>
    </w:p>
    <w:p>
      <w:pPr>
        <w:spacing w:after="0" w:line="171" w:lineRule="exact"/>
        <w:rPr>
          <w:rFonts w:ascii="Arial" w:cs="Arial" w:eastAsia="Arial" w:hAnsi="Arial"/>
          <w:sz w:val="18"/>
          <w:szCs w:val="18"/>
          <w:color w:val="auto"/>
        </w:rPr>
      </w:pPr>
    </w:p>
    <w:p>
      <w:pPr>
        <w:ind w:left="660" w:right="140" w:hanging="328"/>
        <w:spacing w:after="0" w:line="275"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store count increased by 14 due to the acquisition of 12 stores, the addition of 3 de novo stores and the consolidation of 1 store during the full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Latin America Pawn</w:t>
      </w:r>
    </w:p>
    <w:p>
      <w:pPr>
        <w:spacing w:after="0" w:line="171" w:lineRule="exact"/>
        <w:rPr>
          <w:sz w:val="20"/>
          <w:szCs w:val="20"/>
          <w:color w:val="auto"/>
        </w:rPr>
      </w:pPr>
    </w:p>
    <w:p>
      <w:pPr>
        <w:ind w:left="660" w:right="460" w:hanging="328"/>
        <w:spacing w:after="0" w:line="275"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PLO improved to $55.1 million, up 19% (7% on constant currency basis). On a same store basis, PLO increased 16% (4% on a constant currency basis) as consumer demand increased, reflecting recoveries from the third quarter.</w:t>
      </w:r>
    </w:p>
    <w:p>
      <w:pPr>
        <w:spacing w:after="0" w:line="119" w:lineRule="exact"/>
        <w:rPr>
          <w:rFonts w:ascii="Arial" w:cs="Arial" w:eastAsia="Arial" w:hAnsi="Arial"/>
          <w:sz w:val="18"/>
          <w:szCs w:val="18"/>
          <w:color w:val="auto"/>
        </w:rPr>
      </w:pPr>
    </w:p>
    <w:p>
      <w:pPr>
        <w:ind w:left="660" w:right="20" w:hanging="328"/>
        <w:spacing w:after="0" w:line="285" w:lineRule="auto"/>
        <w:tabs>
          <w:tab w:leader="none" w:pos="669"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fourth quarter, total revenue was up 28% (13% on constant currency basis) and gross profit increased 24% (10% on a constant currency basis), primarily due to increased PSC, higher merchandise sales and improved gross profit. For the full year, total revenues were up 26% (16% on a constant currency basis), while gross profit increased by 25% (16% on a constant currency basis).</w:t>
      </w:r>
    </w:p>
    <w:p>
      <w:pPr>
        <w:spacing w:after="0" w:line="113" w:lineRule="exact"/>
        <w:rPr>
          <w:rFonts w:ascii="Arial" w:cs="Arial" w:eastAsia="Arial" w:hAnsi="Arial"/>
          <w:sz w:val="17"/>
          <w:szCs w:val="17"/>
          <w:color w:val="auto"/>
        </w:rPr>
      </w:pPr>
    </w:p>
    <w:p>
      <w:pPr>
        <w:ind w:left="660" w:right="280" w:hanging="328"/>
        <w:spacing w:after="0" w:line="275"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PSC increased in the fourth quarter to $26.5 million, up 23% (9% on a constant currency basis) as a result of higher average PLO and yields. Similarly for the full year, PSC increased 22% (13% on a constant currency basis).</w:t>
      </w:r>
    </w:p>
    <w:p>
      <w:pPr>
        <w:spacing w:after="0" w:line="119" w:lineRule="exact"/>
        <w:rPr>
          <w:rFonts w:ascii="Arial" w:cs="Arial" w:eastAsia="Arial" w:hAnsi="Arial"/>
          <w:sz w:val="18"/>
          <w:szCs w:val="18"/>
          <w:color w:val="auto"/>
        </w:rPr>
      </w:pPr>
    </w:p>
    <w:p>
      <w:pPr>
        <w:ind w:left="660" w:right="80" w:hanging="328"/>
        <w:spacing w:after="0" w:line="275"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Merchandise sales gross margin decreased in the fourth quarter from 31% to 30%, and for the full year it increased 100 bps to 31%. Aged general merchandise was 2.0% of total merchandise inventory which is a 40 bps improvement over the third quarter.</w:t>
      </w:r>
    </w:p>
    <w:p>
      <w:pPr>
        <w:spacing w:after="0" w:line="133" w:lineRule="exact"/>
        <w:rPr>
          <w:rFonts w:ascii="Arial" w:cs="Arial" w:eastAsia="Arial" w:hAnsi="Arial"/>
          <w:sz w:val="18"/>
          <w:szCs w:val="18"/>
          <w:color w:val="auto"/>
        </w:rPr>
      </w:pPr>
    </w:p>
    <w:p>
      <w:pPr>
        <w:ind w:left="660" w:right="160" w:hanging="328"/>
        <w:spacing w:after="0" w:line="264" w:lineRule="auto"/>
        <w:tabs>
          <w:tab w:leader="none" w:pos="662" w:val="left"/>
        </w:tabs>
        <w:numPr>
          <w:ilvl w:val="0"/>
          <w:numId w:val="9"/>
        </w:numPr>
        <w:rPr>
          <w:rFonts w:ascii="Arial" w:cs="Arial" w:eastAsia="Arial" w:hAnsi="Arial"/>
          <w:sz w:val="20"/>
          <w:szCs w:val="20"/>
          <w:color w:val="auto"/>
        </w:rPr>
      </w:pPr>
      <w:r>
        <w:rPr>
          <w:rFonts w:ascii="Arial" w:cs="Arial" w:eastAsia="Arial" w:hAnsi="Arial"/>
          <w:sz w:val="18"/>
          <w:szCs w:val="18"/>
          <w:color w:val="auto"/>
        </w:rPr>
        <w:t>Net inventory increased 2% (decreased 9% on a constant currency basis), driven by strong inventory turnover at 3.6x, up from 3.1x for the quarter. For the full year inventory turnover was 3.4x, down from 3.5x.</w:t>
      </w:r>
    </w:p>
    <w:p>
      <w:pPr>
        <w:sectPr>
          <w:pgSz w:w="11900" w:h="16838" w:orient="portrait"/>
          <w:cols w:equalWidth="0" w:num="1">
            <w:col w:w="11240"/>
          </w:cols>
          <w:pgMar w:left="320" w:top="1092" w:right="339" w:bottom="1440" w:gutter="0" w:footer="0" w:header="0"/>
        </w:sectPr>
      </w:pPr>
    </w:p>
    <w:bookmarkStart w:id="6" w:name="page7"/>
    <w:bookmarkEnd w:id="6"/>
    <w:p>
      <w:pPr>
        <w:ind w:left="660" w:right="80" w:hanging="328"/>
        <w:spacing w:after="0" w:line="258" w:lineRule="auto"/>
        <w:tabs>
          <w:tab w:leader="none" w:pos="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fourth quarter, store expenses increased 34% (18% on a constant currency basis), primarily due to increases in minimum wage and headcount, higher store count and, to a lesser extent, expenses related to our loyalty program and rent. Same-store expenses increased $7.2 million or 30% (14% on a constant currency basis). For similar reasons, full year store expenses increased 31% (20% on a constant currency basis). Same-store expenses increased 26% (15% on a constant currency basis).</w:t>
      </w:r>
    </w:p>
    <w:p>
      <w:pPr>
        <w:spacing w:after="0" w:line="135" w:lineRule="exact"/>
        <w:rPr>
          <w:rFonts w:ascii="Arial" w:cs="Arial" w:eastAsia="Arial" w:hAnsi="Arial"/>
          <w:sz w:val="18"/>
          <w:szCs w:val="18"/>
          <w:color w:val="auto"/>
        </w:rPr>
      </w:pPr>
    </w:p>
    <w:p>
      <w:pPr>
        <w:ind w:left="660" w:hanging="328"/>
        <w:spacing w:after="0" w:line="256" w:lineRule="auto"/>
        <w:tabs>
          <w:tab w:leader="none" w:pos="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fourth quarter, segment contribution decreased to $6.4 million, down 4% (13% on a constant currency basis). For the full year, segment contribution was up 32% to $31.7 million (24% on a constant currency basis). On an adjusted basis, segment contribution for the fourth quarter was down 12% to $5.9 million. On an adjusted basis, segment contribution for the full year was up 7% to $25.5 million, with the primary adjustment being the reversal of contingent consideration liability in connection with a previously completed acquisition.</w:t>
      </w:r>
    </w:p>
    <w:p>
      <w:pPr>
        <w:spacing w:after="0" w:line="13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Segment store count increased by 42 due to the addition of 44 de novo stores and the consolidation of 2 stores during the full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w:t>
      </w:r>
    </w:p>
    <w:p>
      <w:pPr>
        <w:spacing w:after="0" w:line="181" w:lineRule="exact"/>
        <w:rPr>
          <w:sz w:val="20"/>
          <w:szCs w:val="20"/>
          <w:color w:val="auto"/>
        </w:rPr>
      </w:pPr>
    </w:p>
    <w:p>
      <w:pPr>
        <w:ind w:right="420"/>
        <w:spacing w:after="0" w:line="285" w:lineRule="auto"/>
        <w:rPr>
          <w:sz w:val="20"/>
          <w:szCs w:val="20"/>
          <w:color w:val="auto"/>
        </w:rPr>
      </w:pPr>
      <w:r>
        <w:rPr>
          <w:rFonts w:ascii="Arial" w:cs="Arial" w:eastAsia="Arial" w:hAnsi="Arial"/>
          <w:sz w:val="17"/>
          <w:szCs w:val="17"/>
          <w:color w:val="auto"/>
        </w:rPr>
        <w:t>EZCORP’s Annual Report on Form 10-K for the year ended September 30, 2023 has been filed with the Securities and Exchange Commission. The report is available in the Investor Relations section of the Company’s website at http://investors.ezcorp.com. EZCORP shareholders may obtain a paper copy of the report, free of charge, by sending a request to the investor relations contact below.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EZCORP will host a conference call on Thursday, November 16, 2023, at 8:00 am Central Time to discuss Fourth Quarter Fiscal 2023 results. Analysts and institutional investors may participate on the conference call by registering online at: https://register.vevent.com/register/BI9b68b07fa36145dba75f47155a87dcab. Once registered you will receive the dial-in details with a unique PIN to join the call. The conference call will be webcast simultaneously to the public through this link: http://investors.ezcorp.com. A replay of the conference call will be available online at http://investors.ezcorp.com shortly after the end of the call.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Formed in 1989, EZCORP has grown into a leading provider of pawn transactions in the United States and Latin America. We also sell merchandise, primarily collateral forfeited from pawn lending operations and pre-owned and recycled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Follow us on social 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Facebook EZPAWN Official https://www.facebook.com/EZPAWN/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EZPAWN Instagram Official https://www.instagram.com/ezpawnofficial/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LinkedIn https://www.linkedin.com/company/ezcorp/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Percentages are calculated from the underlying numbers in thousands and, as a result, may not agree to the percentages calculated from numbers in millions.</w:t>
      </w:r>
    </w:p>
    <w:p>
      <w:pPr>
        <w:spacing w:after="0" w:line="13" w:lineRule="exact"/>
        <w:rPr>
          <w:sz w:val="20"/>
          <w:szCs w:val="20"/>
          <w:color w:val="auto"/>
        </w:rPr>
      </w:pPr>
    </w:p>
    <w:p>
      <w:pPr>
        <w:ind w:right="20"/>
        <w:spacing w:after="0" w:line="257" w:lineRule="auto"/>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“Adjusted” basis, which is a non-GAAP measure, excludes certain items. “Constant currency” basis, which is a non-GAAP measure, excludes the impact of foreign currency exchange rate</w:t>
      </w:r>
      <w:r>
        <w:rPr>
          <w:rFonts w:ascii="Arial" w:cs="Arial" w:eastAsia="Arial" w:hAnsi="Arial"/>
          <w:sz w:val="9"/>
          <w:szCs w:val="9"/>
          <w:i w:val="1"/>
          <w:iCs w:val="1"/>
          <w:color w:val="auto"/>
        </w:rPr>
        <w:t xml:space="preserve"> </w:t>
      </w:r>
      <w:r>
        <w:rPr>
          <w:rFonts w:ascii="Arial" w:cs="Arial" w:eastAsia="Arial" w:hAnsi="Arial"/>
          <w:sz w:val="14"/>
          <w:szCs w:val="14"/>
          <w:i w:val="1"/>
          <w:iCs w:val="1"/>
          <w:color w:val="auto"/>
        </w:rPr>
        <w:t>fluctuations. “Free cash flow”, which is a non-GAAP measure, includes certain adjustments to cash flow from operating activities. For additional information about these calculations, as well as a reconciliation to the most comparable GAAP financial measures, see “Non-GAAP Financial Information” at the end of this release.</w:t>
      </w:r>
    </w:p>
    <w:p>
      <w:pPr>
        <w:sectPr>
          <w:pgSz w:w="11900" w:h="16838" w:orient="portrait"/>
          <w:cols w:equalWidth="0" w:num="1">
            <w:col w:w="11240"/>
          </w:cols>
          <w:pgMar w:left="320" w:top="1099" w:right="339" w:bottom="1440" w:gutter="0" w:footer="0" w:header="0"/>
        </w:sectPr>
      </w:pPr>
    </w:p>
    <w:p>
      <w:pPr>
        <w:spacing w:after="0"/>
        <w:rPr>
          <w:sz w:val="20"/>
          <w:szCs w:val="20"/>
          <w:color w:val="auto"/>
        </w:rPr>
      </w:pPr>
      <w:r>
        <w:rPr>
          <w:rFonts w:ascii="Arial" w:cs="Arial" w:eastAsia="Arial" w:hAnsi="Arial"/>
          <w:sz w:val="16"/>
          <w:szCs w:val="16"/>
          <w:i w:val="1"/>
          <w:iCs w:val="1"/>
          <w:color w:val="auto"/>
          <w:vertAlign w:val="superscript"/>
        </w:rPr>
        <w:t>2</w:t>
      </w:r>
      <w:r>
        <w:rPr>
          <w:rFonts w:ascii="Arial" w:cs="Arial" w:eastAsia="Arial" w:hAnsi="Arial"/>
          <w:sz w:val="13"/>
          <w:szCs w:val="13"/>
          <w:i w:val="1"/>
          <w:iCs w:val="1"/>
          <w:color w:val="auto"/>
        </w:rPr>
        <w:t>“Same Store” basis, which is a financial measure, includes stores open the entirety of the comparable periods.</w:t>
      </w:r>
    </w:p>
    <w:p>
      <w:pPr>
        <w:sectPr>
          <w:pgSz w:w="11900" w:h="16838" w:orient="portrait"/>
          <w:cols w:equalWidth="0" w:num="1">
            <w:col w:w="11240"/>
          </w:cols>
          <w:pgMar w:left="320" w:top="1099"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Twelve Months Ended</w:t>
            </w:r>
          </w:p>
        </w:tc>
      </w:tr>
      <w:tr>
        <w:trPr>
          <w:trHeight w:val="216"/>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190"/>
        </w:trPr>
        <w:tc>
          <w:tcPr>
            <w:tcW w:w="520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5200" w:type="dxa"/>
            <w:vAlign w:val="bottom"/>
          </w:tcPr>
          <w:p>
            <w:pPr>
              <w:ind w:left="240"/>
              <w:spacing w:after="0"/>
              <w:rPr>
                <w:sz w:val="20"/>
                <w:szCs w:val="20"/>
                <w:color w:val="auto"/>
              </w:rPr>
            </w:pPr>
            <w:r>
              <w:rPr>
                <w:rFonts w:ascii="Arial" w:cs="Arial" w:eastAsia="Arial" w:hAnsi="Arial"/>
                <w:sz w:val="16"/>
                <w:szCs w:val="16"/>
                <w:color w:val="auto"/>
              </w:rPr>
              <w:t>Merchandise sales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151,172</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133,276</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615,446</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532,886</w:t>
            </w:r>
          </w:p>
        </w:tc>
      </w:tr>
      <w:tr>
        <w:trPr>
          <w:trHeight w:val="216"/>
        </w:trPr>
        <w:tc>
          <w:tcPr>
            <w:tcW w:w="5200" w:type="dxa"/>
            <w:vAlign w:val="bottom"/>
          </w:tcPr>
          <w:p>
            <w:pPr>
              <w:ind w:left="240"/>
              <w:spacing w:after="0"/>
              <w:rPr>
                <w:sz w:val="20"/>
                <w:szCs w:val="20"/>
                <w:color w:val="auto"/>
              </w:rPr>
            </w:pPr>
            <w:r>
              <w:rPr>
                <w:rFonts w:ascii="Arial" w:cs="Arial" w:eastAsia="Arial" w:hAnsi="Arial"/>
                <w:sz w:val="16"/>
                <w:szCs w:val="16"/>
                <w:color w:val="auto"/>
              </w:rPr>
              <w:t>Jewelry scrapping sales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14,888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49,528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32,033</w:t>
            </w:r>
          </w:p>
        </w:tc>
      </w:tr>
      <w:tr>
        <w:trPr>
          <w:trHeight w:val="216"/>
        </w:trPr>
        <w:tc>
          <w:tcPr>
            <w:tcW w:w="5200" w:type="dxa"/>
            <w:vAlign w:val="bottom"/>
          </w:tcPr>
          <w:p>
            <w:pPr>
              <w:ind w:left="240"/>
              <w:spacing w:after="0"/>
              <w:rPr>
                <w:sz w:val="20"/>
                <w:szCs w:val="20"/>
                <w:color w:val="auto"/>
              </w:rPr>
            </w:pPr>
            <w:r>
              <w:rPr>
                <w:rFonts w:ascii="Arial" w:cs="Arial" w:eastAsia="Arial" w:hAnsi="Arial"/>
                <w:sz w:val="16"/>
                <w:szCs w:val="16"/>
                <w:color w:val="auto"/>
              </w:rPr>
              <w:t>Pawn service charges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104,330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87,866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383,772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320,865</w:t>
            </w:r>
          </w:p>
        </w:tc>
      </w:tr>
      <w:tr>
        <w:trPr>
          <w:trHeight w:val="219"/>
        </w:trPr>
        <w:tc>
          <w:tcPr>
            <w:tcW w:w="52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 revenues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r>
      <w:tr>
        <w:trPr>
          <w:trHeight w:val="207"/>
        </w:trPr>
        <w:tc>
          <w:tcPr>
            <w:tcW w:w="52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270,479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233,407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1,049,041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886,225</w:t>
            </w: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97,494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83,858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394,779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329,382</w:t>
            </w:r>
          </w:p>
        </w:tc>
      </w:tr>
      <w:tr>
        <w:trPr>
          <w:trHeight w:val="21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13,611</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11,949</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44,424</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28,696</w:t>
            </w:r>
          </w:p>
        </w:tc>
      </w:tr>
      <w:tr>
        <w:trPr>
          <w:trHeight w:val="207"/>
        </w:trPr>
        <w:tc>
          <w:tcPr>
            <w:tcW w:w="520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159,374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137,600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609,838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528,147</w:t>
            </w: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200" w:type="dxa"/>
            <w:vAlign w:val="bottom"/>
          </w:tcPr>
          <w:p>
            <w:pPr>
              <w:ind w:left="240"/>
              <w:spacing w:after="0"/>
              <w:rPr>
                <w:sz w:val="20"/>
                <w:szCs w:val="20"/>
                <w:color w:val="auto"/>
              </w:rPr>
            </w:pPr>
            <w:r>
              <w:rPr>
                <w:rFonts w:ascii="Arial" w:cs="Arial" w:eastAsia="Arial" w:hAnsi="Arial"/>
                <w:sz w:val="16"/>
                <w:szCs w:val="16"/>
                <w:color w:val="auto"/>
              </w:rPr>
              <w:t>Store expenses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111,570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95,473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418,574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357,417</w:t>
            </w:r>
          </w:p>
        </w:tc>
      </w:tr>
      <w:tr>
        <w:trPr>
          <w:trHeight w:val="216"/>
        </w:trPr>
        <w:tc>
          <w:tcPr>
            <w:tcW w:w="520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18,568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17,855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67,529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64,342</w:t>
            </w:r>
          </w:p>
        </w:tc>
      </w:tr>
      <w:tr>
        <w:trPr>
          <w:trHeight w:val="216"/>
        </w:trPr>
        <w:tc>
          <w:tcPr>
            <w:tcW w:w="5200" w:type="dxa"/>
            <w:vAlign w:val="bottom"/>
          </w:tcPr>
          <w:p>
            <w:pPr>
              <w:ind w:left="240"/>
              <w:spacing w:after="0"/>
              <w:rPr>
                <w:sz w:val="20"/>
                <w:szCs w:val="20"/>
                <w:color w:val="auto"/>
              </w:rPr>
            </w:pPr>
            <w:r>
              <w:rPr>
                <w:rFonts w:ascii="Arial" w:cs="Arial" w:eastAsia="Arial" w:hAnsi="Arial"/>
                <w:sz w:val="16"/>
                <w:szCs w:val="16"/>
                <w:color w:val="auto"/>
              </w:rPr>
              <w:t>Impairment of other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4,343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4,343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8,154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32,131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32,140</w:t>
            </w:r>
          </w:p>
        </w:tc>
      </w:tr>
      <w:tr>
        <w:trPr>
          <w:trHeight w:val="216"/>
        </w:trPr>
        <w:tc>
          <w:tcPr>
            <w:tcW w:w="5200" w:type="dxa"/>
            <w:vAlign w:val="bottom"/>
          </w:tcPr>
          <w:p>
            <w:pPr>
              <w:ind w:left="240"/>
              <w:spacing w:after="0"/>
              <w:rPr>
                <w:sz w:val="20"/>
                <w:szCs w:val="20"/>
                <w:color w:val="auto"/>
              </w:rPr>
            </w:pPr>
            <w:r>
              <w:rPr>
                <w:rFonts w:ascii="Arial" w:cs="Arial" w:eastAsia="Arial" w:hAnsi="Arial"/>
                <w:sz w:val="16"/>
                <w:szCs w:val="16"/>
                <w:color w:val="auto"/>
              </w:rPr>
              <w:t>Loss (gain) on sale or disposal of assets and other</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(674)</w:t>
            </w:r>
          </w:p>
        </w:tc>
      </w:tr>
      <w:tr>
        <w:trPr>
          <w:trHeight w:val="219"/>
        </w:trPr>
        <w:tc>
          <w:tcPr>
            <w:tcW w:w="5200" w:type="dxa"/>
            <w:vAlign w:val="bottom"/>
          </w:tcPr>
          <w:p>
            <w:pPr>
              <w:ind w:left="220"/>
              <w:spacing w:after="0"/>
              <w:rPr>
                <w:sz w:val="20"/>
                <w:szCs w:val="20"/>
                <w:color w:val="auto"/>
              </w:rPr>
            </w:pPr>
            <w:r>
              <w:rPr>
                <w:rFonts w:ascii="Arial" w:cs="Arial" w:eastAsia="Arial" w:hAnsi="Arial"/>
                <w:sz w:val="16"/>
                <w:szCs w:val="16"/>
                <w:color w:val="auto"/>
              </w:rPr>
              <w:t>Other (income) expense</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2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142,815</w:t>
            </w: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122,716</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517,688</w:t>
            </w: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453,225</w:t>
            </w:r>
          </w:p>
        </w:tc>
      </w:tr>
      <w:tr>
        <w:trPr>
          <w:trHeight w:val="207"/>
        </w:trPr>
        <w:tc>
          <w:tcPr>
            <w:tcW w:w="5200" w:type="dxa"/>
            <w:vAlign w:val="bottom"/>
          </w:tcPr>
          <w:p>
            <w:pPr>
              <w:ind w:left="580"/>
              <w:spacing w:after="0"/>
              <w:rPr>
                <w:sz w:val="20"/>
                <w:szCs w:val="20"/>
                <w:color w:val="auto"/>
              </w:rPr>
            </w:pPr>
            <w:r>
              <w:rPr>
                <w:rFonts w:ascii="Arial" w:cs="Arial" w:eastAsia="Arial" w:hAnsi="Arial"/>
                <w:sz w:val="16"/>
                <w:szCs w:val="16"/>
                <w:color w:val="auto"/>
              </w:rPr>
              <w:t>Operating income</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16,559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14,884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92,150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74,922</w:t>
            </w: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3,462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16,456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9,972</w:t>
            </w: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(7,470)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(817)</w:t>
            </w: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color w:val="auto"/>
              </w:rPr>
              <w:t>Equity in net (income) loss of unconsolidated affiliates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28,459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(1,779)</w:t>
            </w:r>
          </w:p>
        </w:tc>
      </w:tr>
      <w:tr>
        <w:trPr>
          <w:trHeight w:val="21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expense (income)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3,231</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3,072</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r>
      <w:tr>
        <w:trPr>
          <w:trHeight w:val="206"/>
        </w:trPr>
        <w:tc>
          <w:tcPr>
            <w:tcW w:w="5200" w:type="dxa"/>
            <w:vAlign w:val="bottom"/>
          </w:tcPr>
          <w:p>
            <w:pPr>
              <w:ind w:left="8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13,125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13,161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51,633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67,713</w:t>
            </w:r>
          </w:p>
        </w:tc>
      </w:tr>
      <w:tr>
        <w:trPr>
          <w:trHeight w:val="21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2,872</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5,824</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13,170</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17,553</w:t>
            </w:r>
          </w:p>
        </w:tc>
      </w:tr>
      <w:tr>
        <w:trPr>
          <w:trHeight w:val="22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10,253</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38,463</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50,160</w:t>
            </w:r>
          </w:p>
        </w:tc>
      </w:tr>
      <w:tr>
        <w:trPr>
          <w:trHeight w:val="413"/>
        </w:trPr>
        <w:tc>
          <w:tcPr>
            <w:tcW w:w="5200" w:type="dxa"/>
            <w:vAlign w:val="bottom"/>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0.13</w:t>
            </w:r>
          </w:p>
        </w:tc>
        <w:tc>
          <w:tcPr>
            <w:tcW w:w="8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0.89</w:t>
            </w: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0.11</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0.53</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0.70</w:t>
            </w:r>
          </w:p>
        </w:tc>
      </w:tr>
      <w:tr>
        <w:trPr>
          <w:trHeight w:val="432"/>
        </w:trPr>
        <w:tc>
          <w:tcPr>
            <w:tcW w:w="5200" w:type="dxa"/>
            <w:vAlign w:val="bottom"/>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55,020</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56,598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55,586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56,498</w:t>
            </w: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87,154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82,539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80,865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82,400</w:t>
            </w:r>
          </w:p>
        </w:tc>
      </w:tr>
    </w:tbl>
    <w:p>
      <w:pPr>
        <w:sectPr>
          <w:pgSz w:w="11900" w:h="16838" w:orient="portrait"/>
          <w:cols w:equalWidth="0" w:num="1">
            <w:col w:w="11240"/>
          </w:cols>
          <w:pgMar w:left="320" w:top="92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vMerge w:val="restart"/>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824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44"/>
        </w:trPr>
        <w:tc>
          <w:tcPr>
            <w:tcW w:w="8240" w:type="dxa"/>
            <w:vAlign w:val="bottom"/>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220,595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206,028</w:t>
            </w:r>
          </w:p>
        </w:tc>
        <w:tc>
          <w:tcPr>
            <w:tcW w:w="0" w:type="dxa"/>
            <w:vAlign w:val="bottom"/>
          </w:tcPr>
          <w:p>
            <w:pPr>
              <w:spacing w:after="0"/>
              <w:rPr>
                <w:sz w:val="1"/>
                <w:szCs w:val="1"/>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8,341</w:t>
            </w:r>
          </w:p>
        </w:tc>
        <w:tc>
          <w:tcPr>
            <w:tcW w:w="0" w:type="dxa"/>
            <w:vAlign w:val="bottom"/>
          </w:tcPr>
          <w:p>
            <w:pPr>
              <w:spacing w:after="0"/>
              <w:rPr>
                <w:sz w:val="1"/>
                <w:szCs w:val="1"/>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Pawn loans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245,766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210,009</w:t>
            </w:r>
          </w:p>
        </w:tc>
        <w:tc>
          <w:tcPr>
            <w:tcW w:w="0" w:type="dxa"/>
            <w:vAlign w:val="bottom"/>
          </w:tcPr>
          <w:p>
            <w:pPr>
              <w:spacing w:after="0"/>
              <w:rPr>
                <w:sz w:val="1"/>
                <w:szCs w:val="1"/>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38,885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33,476</w:t>
            </w:r>
          </w:p>
        </w:tc>
        <w:tc>
          <w:tcPr>
            <w:tcW w:w="0" w:type="dxa"/>
            <w:vAlign w:val="bottom"/>
          </w:tcPr>
          <w:p>
            <w:pPr>
              <w:spacing w:after="0"/>
              <w:rPr>
                <w:sz w:val="1"/>
                <w:szCs w:val="1"/>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166,477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151,615</w:t>
            </w:r>
          </w:p>
        </w:tc>
        <w:tc>
          <w:tcPr>
            <w:tcW w:w="0" w:type="dxa"/>
            <w:vAlign w:val="bottom"/>
          </w:tcPr>
          <w:p>
            <w:pPr>
              <w:spacing w:after="0"/>
              <w:rPr>
                <w:sz w:val="1"/>
                <w:szCs w:val="1"/>
                <w:color w:val="auto"/>
              </w:rPr>
            </w:pPr>
          </w:p>
        </w:tc>
      </w:tr>
      <w:tr>
        <w:trPr>
          <w:trHeight w:val="219"/>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39,623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34,694</w:t>
            </w:r>
          </w:p>
        </w:tc>
        <w:tc>
          <w:tcPr>
            <w:tcW w:w="0" w:type="dxa"/>
            <w:vAlign w:val="bottom"/>
          </w:tcPr>
          <w:p>
            <w:pPr>
              <w:spacing w:after="0"/>
              <w:rPr>
                <w:sz w:val="1"/>
                <w:szCs w:val="1"/>
                <w:color w:val="auto"/>
              </w:rPr>
            </w:pPr>
          </w:p>
        </w:tc>
      </w:tr>
      <w:tr>
        <w:trPr>
          <w:trHeight w:val="207"/>
        </w:trPr>
        <w:tc>
          <w:tcPr>
            <w:tcW w:w="824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719,719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644,163</w:t>
            </w:r>
          </w:p>
        </w:tc>
        <w:tc>
          <w:tcPr>
            <w:tcW w:w="0" w:type="dxa"/>
            <w:vAlign w:val="bottom"/>
          </w:tcPr>
          <w:p>
            <w:pPr>
              <w:spacing w:after="0"/>
              <w:rPr>
                <w:sz w:val="1"/>
                <w:szCs w:val="1"/>
                <w:color w:val="auto"/>
              </w:rPr>
            </w:pP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37,733</w:t>
            </w:r>
          </w:p>
        </w:tc>
        <w:tc>
          <w:tcPr>
            <w:tcW w:w="0" w:type="dxa"/>
            <w:vAlign w:val="bottom"/>
          </w:tcPr>
          <w:p>
            <w:pPr>
              <w:spacing w:after="0"/>
              <w:rPr>
                <w:sz w:val="1"/>
                <w:szCs w:val="1"/>
                <w:color w:val="auto"/>
              </w:rPr>
            </w:pP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Other investments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36,220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24,220</w:t>
            </w:r>
          </w:p>
        </w:tc>
        <w:tc>
          <w:tcPr>
            <w:tcW w:w="0" w:type="dxa"/>
            <w:vAlign w:val="bottom"/>
          </w:tcPr>
          <w:p>
            <w:pPr>
              <w:spacing w:after="0"/>
              <w:rPr>
                <w:sz w:val="1"/>
                <w:szCs w:val="1"/>
                <w:color w:val="auto"/>
              </w:rPr>
            </w:pP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68,096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56,725</w:t>
            </w:r>
          </w:p>
        </w:tc>
        <w:tc>
          <w:tcPr>
            <w:tcW w:w="0" w:type="dxa"/>
            <w:vAlign w:val="bottom"/>
          </w:tcPr>
          <w:p>
            <w:pPr>
              <w:spacing w:after="0"/>
              <w:rPr>
                <w:sz w:val="1"/>
                <w:szCs w:val="1"/>
                <w:color w:val="auto"/>
              </w:rPr>
            </w:pP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Right-of-use assets,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234,388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221,405</w:t>
            </w:r>
          </w:p>
        </w:tc>
        <w:tc>
          <w:tcPr>
            <w:tcW w:w="0" w:type="dxa"/>
            <w:vAlign w:val="bottom"/>
          </w:tcPr>
          <w:p>
            <w:pPr>
              <w:spacing w:after="0"/>
              <w:rPr>
                <w:sz w:val="1"/>
                <w:szCs w:val="1"/>
                <w:color w:val="auto"/>
              </w:rPr>
            </w:pP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302,372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286,828</w:t>
            </w:r>
          </w:p>
        </w:tc>
        <w:tc>
          <w:tcPr>
            <w:tcW w:w="0" w:type="dxa"/>
            <w:vAlign w:val="bottom"/>
          </w:tcPr>
          <w:p>
            <w:pPr>
              <w:spacing w:after="0"/>
              <w:rPr>
                <w:sz w:val="1"/>
                <w:szCs w:val="1"/>
                <w:color w:val="auto"/>
              </w:rPr>
            </w:pP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58,216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56,819</w:t>
            </w:r>
          </w:p>
        </w:tc>
        <w:tc>
          <w:tcPr>
            <w:tcW w:w="0" w:type="dxa"/>
            <w:vAlign w:val="bottom"/>
          </w:tcPr>
          <w:p>
            <w:pPr>
              <w:spacing w:after="0"/>
              <w:rPr>
                <w:sz w:val="1"/>
                <w:szCs w:val="1"/>
                <w:color w:val="auto"/>
              </w:rPr>
            </w:pP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Notes receivable, net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Deferred tax asset,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25,702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12,145</w:t>
            </w:r>
          </w:p>
        </w:tc>
        <w:tc>
          <w:tcPr>
            <w:tcW w:w="0" w:type="dxa"/>
            <w:vAlign w:val="bottom"/>
          </w:tcPr>
          <w:p>
            <w:pPr>
              <w:spacing w:after="0"/>
              <w:rPr>
                <w:sz w:val="1"/>
                <w:szCs w:val="1"/>
                <w:color w:val="auto"/>
              </w:rPr>
            </w:pPr>
          </w:p>
        </w:tc>
      </w:tr>
      <w:tr>
        <w:trPr>
          <w:trHeight w:val="219"/>
        </w:trPr>
        <w:tc>
          <w:tcPr>
            <w:tcW w:w="82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 assets, net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6,625</w:t>
            </w:r>
          </w:p>
        </w:tc>
        <w:tc>
          <w:tcPr>
            <w:tcW w:w="0" w:type="dxa"/>
            <w:vAlign w:val="bottom"/>
          </w:tcPr>
          <w:p>
            <w:pPr>
              <w:spacing w:after="0"/>
              <w:rPr>
                <w:sz w:val="1"/>
                <w:szCs w:val="1"/>
                <w:color w:val="auto"/>
              </w:rPr>
            </w:pP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1,467,711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1,347,878</w:t>
            </w:r>
          </w:p>
        </w:tc>
        <w:tc>
          <w:tcPr>
            <w:tcW w:w="0" w:type="dxa"/>
            <w:vAlign w:val="bottom"/>
          </w:tcPr>
          <w:p>
            <w:pPr>
              <w:spacing w:after="0"/>
              <w:rPr>
                <w:sz w:val="1"/>
                <w:szCs w:val="1"/>
                <w:color w:val="auto"/>
              </w:rPr>
            </w:pPr>
          </w:p>
        </w:tc>
      </w:tr>
      <w:tr>
        <w:trPr>
          <w:trHeight w:val="305"/>
        </w:trPr>
        <w:tc>
          <w:tcPr>
            <w:tcW w:w="824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Current maturities of long-term debt, net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34,265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81,605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84,509</w:t>
            </w:r>
          </w:p>
        </w:tc>
        <w:tc>
          <w:tcPr>
            <w:tcW w:w="0" w:type="dxa"/>
            <w:vAlign w:val="bottom"/>
          </w:tcPr>
          <w:p>
            <w:pPr>
              <w:spacing w:after="0"/>
              <w:rPr>
                <w:sz w:val="1"/>
                <w:szCs w:val="1"/>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18,920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16,023</w:t>
            </w:r>
          </w:p>
        </w:tc>
        <w:tc>
          <w:tcPr>
            <w:tcW w:w="0" w:type="dxa"/>
            <w:vAlign w:val="bottom"/>
          </w:tcPr>
          <w:p>
            <w:pPr>
              <w:spacing w:after="0"/>
              <w:rPr>
                <w:sz w:val="1"/>
                <w:szCs w:val="1"/>
                <w:color w:val="auto"/>
              </w:rPr>
            </w:pPr>
          </w:p>
        </w:tc>
      </w:tr>
      <w:tr>
        <w:trPr>
          <w:trHeight w:val="219"/>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Operating lease liabilities, current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57,182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52,334</w:t>
            </w:r>
          </w:p>
        </w:tc>
        <w:tc>
          <w:tcPr>
            <w:tcW w:w="0" w:type="dxa"/>
            <w:vAlign w:val="bottom"/>
          </w:tcPr>
          <w:p>
            <w:pPr>
              <w:spacing w:after="0"/>
              <w:rPr>
                <w:sz w:val="1"/>
                <w:szCs w:val="1"/>
                <w:color w:val="auto"/>
              </w:rPr>
            </w:pPr>
          </w:p>
        </w:tc>
      </w:tr>
      <w:tr>
        <w:trPr>
          <w:trHeight w:val="206"/>
        </w:trPr>
        <w:tc>
          <w:tcPr>
            <w:tcW w:w="824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191,972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152,866</w:t>
            </w:r>
          </w:p>
        </w:tc>
        <w:tc>
          <w:tcPr>
            <w:tcW w:w="0" w:type="dxa"/>
            <w:vAlign w:val="bottom"/>
          </w:tcPr>
          <w:p>
            <w:pPr>
              <w:spacing w:after="0"/>
              <w:rPr>
                <w:sz w:val="1"/>
                <w:szCs w:val="1"/>
                <w:color w:val="auto"/>
              </w:rPr>
            </w:pP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Long-term debt,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325,847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312,903</w:t>
            </w:r>
          </w:p>
        </w:tc>
        <w:tc>
          <w:tcPr>
            <w:tcW w:w="0" w:type="dxa"/>
            <w:vAlign w:val="bottom"/>
          </w:tcPr>
          <w:p>
            <w:pPr>
              <w:spacing w:after="0"/>
              <w:rPr>
                <w:sz w:val="1"/>
                <w:szCs w:val="1"/>
                <w:color w:val="auto"/>
              </w:rPr>
            </w:pP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Deferred tax liability,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193,187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180,756</w:t>
            </w:r>
          </w:p>
        </w:tc>
        <w:tc>
          <w:tcPr>
            <w:tcW w:w="0" w:type="dxa"/>
            <w:vAlign w:val="bottom"/>
          </w:tcPr>
          <w:p>
            <w:pPr>
              <w:spacing w:after="0"/>
              <w:rPr>
                <w:sz w:val="1"/>
                <w:szCs w:val="1"/>
                <w:color w:val="auto"/>
              </w:rPr>
            </w:pPr>
          </w:p>
        </w:tc>
      </w:tr>
      <w:tr>
        <w:trPr>
          <w:trHeight w:val="219"/>
        </w:trPr>
        <w:tc>
          <w:tcPr>
            <w:tcW w:w="82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8,749</w:t>
            </w:r>
          </w:p>
        </w:tc>
        <w:tc>
          <w:tcPr>
            <w:tcW w:w="0" w:type="dxa"/>
            <w:vAlign w:val="bottom"/>
          </w:tcPr>
          <w:p>
            <w:pPr>
              <w:spacing w:after="0"/>
              <w:rPr>
                <w:sz w:val="1"/>
                <w:szCs w:val="1"/>
                <w:color w:val="auto"/>
              </w:rPr>
            </w:pPr>
          </w:p>
        </w:tc>
      </w:tr>
      <w:tr>
        <w:trPr>
          <w:trHeight w:val="207"/>
        </w:trPr>
        <w:tc>
          <w:tcPr>
            <w:tcW w:w="824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721,943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655,647</w:t>
            </w:r>
          </w:p>
        </w:tc>
        <w:tc>
          <w:tcPr>
            <w:tcW w:w="0" w:type="dxa"/>
            <w:vAlign w:val="bottom"/>
          </w:tcPr>
          <w:p>
            <w:pPr>
              <w:spacing w:after="0"/>
              <w:rPr>
                <w:sz w:val="1"/>
                <w:szCs w:val="1"/>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Commitments and Contingencies (Note 13)</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240" w:type="dxa"/>
            <w:vAlign w:val="bottom"/>
          </w:tcPr>
          <w:p>
            <w:pPr>
              <w:ind w:left="480"/>
              <w:spacing w:after="0" w:line="171" w:lineRule="exact"/>
              <w:rPr>
                <w:sz w:val="20"/>
                <w:szCs w:val="20"/>
                <w:color w:val="auto"/>
              </w:rPr>
            </w:pPr>
            <w:r>
              <w:rPr>
                <w:rFonts w:ascii="Arial" w:cs="Arial" w:eastAsia="Arial" w:hAnsi="Arial"/>
                <w:sz w:val="16"/>
                <w:szCs w:val="16"/>
                <w:color w:val="auto"/>
              </w:rPr>
              <w:t>Class A Non-voting Common Stock, par value $0.01 per share; shares authorized: 100 million; 51,869,569</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480"/>
              <w:spacing w:after="0" w:line="162" w:lineRule="exact"/>
              <w:rPr>
                <w:sz w:val="20"/>
                <w:szCs w:val="20"/>
                <w:color w:val="auto"/>
              </w:rPr>
            </w:pPr>
            <w:r>
              <w:rPr>
                <w:rFonts w:ascii="Arial" w:cs="Arial" w:eastAsia="Arial" w:hAnsi="Arial"/>
                <w:sz w:val="16"/>
                <w:szCs w:val="16"/>
                <w:color w:val="auto"/>
              </w:rPr>
              <w:t>issued and outstanding as of September 30, 2023; and issued and outstanding of 53,454,885 as of</w:t>
            </w: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Arial" w:cs="Arial" w:eastAsia="Arial" w:hAnsi="Arial"/>
                <w:sz w:val="16"/>
                <w:szCs w:val="16"/>
                <w:color w:val="auto"/>
              </w:rPr>
              <w:t>September 30, 2022</w:t>
            </w:r>
          </w:p>
        </w:tc>
        <w:tc>
          <w:tcPr>
            <w:tcW w:w="1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8240" w:type="dxa"/>
            <w:vAlign w:val="bottom"/>
          </w:tcPr>
          <w:p>
            <w:pPr>
              <w:ind w:left="480"/>
              <w:spacing w:after="0" w:line="171" w:lineRule="exact"/>
              <w:rPr>
                <w:sz w:val="20"/>
                <w:szCs w:val="20"/>
                <w:color w:val="auto"/>
              </w:rPr>
            </w:pPr>
            <w:r>
              <w:rPr>
                <w:rFonts w:ascii="Arial" w:cs="Arial" w:eastAsia="Arial" w:hAnsi="Arial"/>
                <w:sz w:val="16"/>
                <w:szCs w:val="16"/>
                <w:color w:val="auto"/>
              </w:rPr>
              <w:t>Class B Voting Common Stock, convertible, par value $0.01 per share; shares authorized: 3 million; issued</w:t>
            </w: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Arial" w:cs="Arial" w:eastAsia="Arial" w:hAnsi="Arial"/>
                <w:sz w:val="16"/>
                <w:szCs w:val="16"/>
                <w:color w:val="auto"/>
              </w:rPr>
              <w:t>and outstanding: 2,970,171 as of September 30, 2023 and 2022</w:t>
            </w:r>
          </w:p>
        </w:tc>
        <w:tc>
          <w:tcPr>
            <w:tcW w:w="1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346,181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345,330</w:t>
            </w:r>
          </w:p>
        </w:tc>
        <w:tc>
          <w:tcPr>
            <w:tcW w:w="0" w:type="dxa"/>
            <w:vAlign w:val="bottom"/>
          </w:tcPr>
          <w:p>
            <w:pPr>
              <w:spacing w:after="0"/>
              <w:rPr>
                <w:sz w:val="1"/>
                <w:szCs w:val="1"/>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431,140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402,006</w:t>
            </w:r>
          </w:p>
        </w:tc>
        <w:tc>
          <w:tcPr>
            <w:tcW w:w="0" w:type="dxa"/>
            <w:vAlign w:val="bottom"/>
          </w:tcPr>
          <w:p>
            <w:pPr>
              <w:spacing w:after="0"/>
              <w:rPr>
                <w:sz w:val="1"/>
                <w:szCs w:val="1"/>
                <w:color w:val="auto"/>
              </w:rPr>
            </w:pPr>
          </w:p>
        </w:tc>
      </w:tr>
      <w:tr>
        <w:trPr>
          <w:trHeight w:val="219"/>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(32,102)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(55,669)</w:t>
            </w:r>
          </w:p>
        </w:tc>
        <w:tc>
          <w:tcPr>
            <w:tcW w:w="0" w:type="dxa"/>
            <w:vAlign w:val="bottom"/>
          </w:tcPr>
          <w:p>
            <w:pPr>
              <w:spacing w:after="0"/>
              <w:rPr>
                <w:sz w:val="1"/>
                <w:szCs w:val="1"/>
                <w:color w:val="auto"/>
              </w:rPr>
            </w:pPr>
          </w:p>
        </w:tc>
      </w:tr>
      <w:tr>
        <w:trPr>
          <w:trHeight w:val="209"/>
        </w:trPr>
        <w:tc>
          <w:tcPr>
            <w:tcW w:w="82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745,768</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692,231</w:t>
            </w:r>
          </w:p>
        </w:tc>
        <w:tc>
          <w:tcPr>
            <w:tcW w:w="0" w:type="dxa"/>
            <w:vAlign w:val="bottom"/>
          </w:tcPr>
          <w:p>
            <w:pPr>
              <w:spacing w:after="0"/>
              <w:rPr>
                <w:sz w:val="1"/>
                <w:szCs w:val="1"/>
                <w:color w:val="auto"/>
              </w:rPr>
            </w:pPr>
          </w:p>
        </w:tc>
      </w:tr>
      <w:tr>
        <w:trPr>
          <w:trHeight w:val="22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1,467,711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1,347,878</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Twelve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244"/>
        </w:trPr>
        <w:tc>
          <w:tcPr>
            <w:tcW w:w="82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38,463</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50,160</w:t>
            </w: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32,131</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32,140</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1,561</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1,433</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Non-cash lease expense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56,937</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52,201</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(12,802)</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4,945</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Impairment of other assets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4,343</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Other adjustments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(2,890)</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2,511</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Provision for inventory reserve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603</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(2,253)</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Stock compensation expense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9,539</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5,053</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Equity in net loss (income) from investment in unconsolidated affiliates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28,459</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(1,779)</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Net loss on extinguishment of debt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3,545</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Service charges and fees receivable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(4,204)</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(4,572)</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(4,810)</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(15,341)</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(1,814)</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3,238</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(61,522)</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(65,141)</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Customer layaway deposits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1,376</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3,359</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Income taxes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12,919</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(2,785)</w:t>
            </w:r>
          </w:p>
        </w:tc>
      </w:tr>
      <w:tr>
        <w:trPr>
          <w:trHeight w:val="219"/>
        </w:trPr>
        <w:tc>
          <w:tcPr>
            <w:tcW w:w="82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Dividends from unconsolidated affiliates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3,366</w:t>
            </w:r>
          </w:p>
        </w:tc>
      </w:tr>
      <w:tr>
        <w:trPr>
          <w:trHeight w:val="206"/>
        </w:trPr>
        <w:tc>
          <w:tcPr>
            <w:tcW w:w="8240" w:type="dxa"/>
            <w:vAlign w:val="bottom"/>
          </w:tcPr>
          <w:p>
            <w:pPr>
              <w:ind w:left="80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101,834</w:t>
            </w:r>
          </w:p>
        </w:tc>
        <w:tc>
          <w:tcPr>
            <w:tcW w:w="5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66,535</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Loans made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(821,725)</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(740,057)</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Loans repaid</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458,854</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410,523</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336,349</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274,423</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Capital expenditures, net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(40,446)</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(31,895)</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(14,874)</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(1,850)</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Issuance of notes receivable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(15,500)</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Investment in unconsolidated affiliate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(2,133)</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(6,927)</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Investment in other investments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(15,000)</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(16,500)</w:t>
            </w:r>
          </w:p>
        </w:tc>
      </w:tr>
      <w:tr>
        <w:trPr>
          <w:trHeight w:val="219"/>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Dividends from unconsolidated affiliates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3,589</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(110,886)</w:t>
            </w:r>
          </w:p>
        </w:tc>
        <w:tc>
          <w:tcPr>
            <w:tcW w:w="5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(113,283)</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(1,148)</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(792)</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Proceeds from borrowings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230,000</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Debt issuance cost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(7,458)</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Cash paid on extinguishment of debt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(1,951)</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Payments on assumed debt and other borrowings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(178,488)</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(16,988)</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(2,040)</w:t>
            </w:r>
          </w:p>
        </w:tc>
      </w:tr>
      <w:tr>
        <w:trPr>
          <w:trHeight w:val="219"/>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Payments of finance leases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240" w:type="dxa"/>
            <w:vAlign w:val="bottom"/>
          </w:tcPr>
          <w:p>
            <w:pPr>
              <w:ind w:left="80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23,692</w:t>
            </w:r>
          </w:p>
        </w:tc>
        <w:tc>
          <w:tcPr>
            <w:tcW w:w="5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(2,832)</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14,599</w:t>
            </w:r>
          </w:p>
        </w:tc>
        <w:tc>
          <w:tcPr>
            <w:tcW w:w="5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(49,255)</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214,369</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263,624</w:t>
            </w:r>
          </w:p>
        </w:tc>
      </w:tr>
      <w:tr>
        <w:trPr>
          <w:trHeight w:val="22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228,968</w:t>
            </w:r>
          </w:p>
        </w:tc>
        <w:tc>
          <w:tcPr>
            <w:tcW w:w="5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214,369</w:t>
            </w:r>
          </w:p>
        </w:tc>
      </w:tr>
    </w:tbl>
    <w:p>
      <w:pPr>
        <w:sectPr>
          <w:pgSz w:w="11900" w:h="16838" w:orient="portrait"/>
          <w:cols w:equalWidth="0" w:num="1">
            <w:col w:w="11240"/>
          </w:cols>
          <w:pgMar w:left="320" w:top="125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00" w:type="dxa"/>
            <w:vAlign w:val="bottom"/>
            <w:gridSpan w:val="9"/>
          </w:tcPr>
          <w:p>
            <w:pPr>
              <w:ind w:left="1060"/>
              <w:spacing w:after="0"/>
              <w:rPr>
                <w:sz w:val="20"/>
                <w:szCs w:val="20"/>
                <w:color w:val="auto"/>
              </w:rPr>
            </w:pPr>
            <w:r>
              <w:rPr>
                <w:rFonts w:ascii="Arial" w:cs="Arial" w:eastAsia="Arial" w:hAnsi="Arial"/>
                <w:sz w:val="16"/>
                <w:szCs w:val="16"/>
                <w:b w:val="1"/>
                <w:bCs w:val="1"/>
                <w:color w:val="auto"/>
              </w:rPr>
              <w:t>Three Months Ended September 30, 2023</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(Unaudited)</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9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2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Investments</w:t>
            </w:r>
          </w:p>
        </w:tc>
        <w:tc>
          <w:tcPr>
            <w:tcW w:w="1420" w:type="dxa"/>
            <w:vAlign w:val="bottom"/>
            <w:gridSpan w:val="3"/>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90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103,347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47,825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151,172</w:t>
            </w: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151,172</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13,217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14,888</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77,874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26,456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104,330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104,330</w:t>
            </w:r>
          </w:p>
        </w:tc>
        <w:tc>
          <w:tcPr>
            <w:tcW w:w="0" w:type="dxa"/>
            <w:vAlign w:val="bottom"/>
          </w:tcPr>
          <w:p>
            <w:pPr>
              <w:spacing w:after="0"/>
              <w:rPr>
                <w:sz w:val="1"/>
                <w:szCs w:val="1"/>
                <w:color w:val="auto"/>
              </w:rPr>
            </w:pPr>
          </w:p>
        </w:tc>
      </w:tr>
      <w:tr>
        <w:trPr>
          <w:trHeight w:val="219"/>
        </w:trPr>
        <w:tc>
          <w:tcPr>
            <w:tcW w:w="2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7"/>
        </w:trPr>
        <w:tc>
          <w:tcPr>
            <w:tcW w:w="29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194,473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75,998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270,479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270,479</w:t>
            </w: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64,176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33,318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97,494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97,494</w:t>
            </w:r>
          </w:p>
        </w:tc>
        <w:tc>
          <w:tcPr>
            <w:tcW w:w="0" w:type="dxa"/>
            <w:vAlign w:val="bottom"/>
          </w:tcPr>
          <w:p>
            <w:pPr>
              <w:spacing w:after="0"/>
              <w:rPr>
                <w:sz w:val="1"/>
                <w:szCs w:val="1"/>
                <w:color w:val="auto"/>
              </w:rPr>
            </w:pPr>
          </w:p>
        </w:tc>
      </w:tr>
      <w:tr>
        <w:trPr>
          <w:trHeight w:val="21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13,611</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13,611</w:t>
            </w:r>
          </w:p>
        </w:tc>
        <w:tc>
          <w:tcPr>
            <w:tcW w:w="0" w:type="dxa"/>
            <w:vAlign w:val="bottom"/>
          </w:tcPr>
          <w:p>
            <w:pPr>
              <w:spacing w:after="0"/>
              <w:rPr>
                <w:sz w:val="1"/>
                <w:szCs w:val="1"/>
                <w:color w:val="auto"/>
              </w:rPr>
            </w:pPr>
          </w:p>
        </w:tc>
      </w:tr>
      <w:tr>
        <w:trPr>
          <w:trHeight w:val="206"/>
        </w:trPr>
        <w:tc>
          <w:tcPr>
            <w:tcW w:w="290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118,455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40,911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159,374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159,374</w:t>
            </w:r>
          </w:p>
        </w:tc>
        <w:tc>
          <w:tcPr>
            <w:tcW w:w="0" w:type="dxa"/>
            <w:vAlign w:val="bottom"/>
          </w:tcPr>
          <w:p>
            <w:pPr>
              <w:spacing w:after="0"/>
              <w:rPr>
                <w:sz w:val="1"/>
                <w:szCs w:val="1"/>
                <w:color w:val="auto"/>
              </w:rPr>
            </w:pPr>
          </w:p>
        </w:tc>
      </w:tr>
      <w:tr>
        <w:trPr>
          <w:trHeight w:val="171"/>
        </w:trPr>
        <w:tc>
          <w:tcPr>
            <w:tcW w:w="2900" w:type="dxa"/>
            <w:vAlign w:val="bottom"/>
          </w:tcPr>
          <w:p>
            <w:pPr>
              <w:ind w:left="20"/>
              <w:spacing w:after="0" w:line="171" w:lineRule="exact"/>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90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78,680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32,890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111,570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111,570</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18,568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18,568</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Impairment of other assets</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4,343</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8,154</w:t>
            </w:r>
          </w:p>
        </w:tc>
        <w:tc>
          <w:tcPr>
            <w:tcW w:w="0" w:type="dxa"/>
            <w:vAlign w:val="bottom"/>
          </w:tcPr>
          <w:p>
            <w:pPr>
              <w:spacing w:after="0"/>
              <w:rPr>
                <w:sz w:val="1"/>
                <w:szCs w:val="1"/>
                <w:color w:val="auto"/>
              </w:rPr>
            </w:pPr>
          </w:p>
        </w:tc>
      </w:tr>
      <w:tr>
        <w:trPr>
          <w:trHeight w:val="171"/>
        </w:trPr>
        <w:tc>
          <w:tcPr>
            <w:tcW w:w="2900" w:type="dxa"/>
            <w:vAlign w:val="bottom"/>
          </w:tcPr>
          <w:p>
            <w:pPr>
              <w:ind w:left="220"/>
              <w:spacing w:after="0" w:line="171" w:lineRule="exact"/>
              <w:rPr>
                <w:sz w:val="20"/>
                <w:szCs w:val="20"/>
                <w:color w:val="auto"/>
              </w:rPr>
            </w:pPr>
            <w:r>
              <w:rPr>
                <w:rFonts w:ascii="Arial" w:cs="Arial" w:eastAsia="Arial" w:hAnsi="Arial"/>
                <w:sz w:val="16"/>
                <w:szCs w:val="16"/>
                <w:color w:val="auto"/>
              </w:rPr>
              <w:t>Loss (gain) on sale or disposal of</w:t>
            </w:r>
          </w:p>
        </w:tc>
        <w:tc>
          <w:tcPr>
            <w:tcW w:w="1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7"/>
        </w:trPr>
        <w:tc>
          <w:tcPr>
            <w:tcW w:w="2900" w:type="dxa"/>
            <w:vAlign w:val="bottom"/>
          </w:tcPr>
          <w:p>
            <w:pPr>
              <w:ind w:left="220"/>
              <w:spacing w:after="0"/>
              <w:rPr>
                <w:sz w:val="20"/>
                <w:szCs w:val="20"/>
                <w:color w:val="auto"/>
              </w:rPr>
            </w:pPr>
            <w:r>
              <w:rPr>
                <w:rFonts w:ascii="Arial" w:cs="Arial" w:eastAsia="Arial" w:hAnsi="Arial"/>
                <w:sz w:val="16"/>
                <w:szCs w:val="16"/>
                <w:color w:val="auto"/>
              </w:rPr>
              <w:t>assets and other</w:t>
            </w: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3,462</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(2,324)</w:t>
            </w:r>
          </w:p>
        </w:tc>
        <w:tc>
          <w:tcPr>
            <w:tcW w:w="0" w:type="dxa"/>
            <w:vAlign w:val="bottom"/>
          </w:tcPr>
          <w:p>
            <w:pPr>
              <w:spacing w:after="0"/>
              <w:rPr>
                <w:sz w:val="1"/>
                <w:szCs w:val="1"/>
                <w:color w:val="auto"/>
              </w:rPr>
            </w:pPr>
          </w:p>
        </w:tc>
      </w:tr>
      <w:tr>
        <w:trPr>
          <w:trHeight w:val="171"/>
        </w:trPr>
        <w:tc>
          <w:tcPr>
            <w:tcW w:w="2900" w:type="dxa"/>
            <w:vAlign w:val="bottom"/>
          </w:tcPr>
          <w:p>
            <w:pPr>
              <w:ind w:left="220"/>
              <w:spacing w:after="0" w:line="171" w:lineRule="exact"/>
              <w:rPr>
                <w:sz w:val="20"/>
                <w:szCs w:val="20"/>
                <w:color w:val="auto"/>
              </w:rPr>
            </w:pPr>
            <w:r>
              <w:rPr>
                <w:rFonts w:ascii="Arial" w:cs="Arial" w:eastAsia="Arial" w:hAnsi="Arial"/>
                <w:sz w:val="16"/>
                <w:szCs w:val="16"/>
                <w:color w:val="auto"/>
              </w:rPr>
              <w:t>Equity in net income of</w:t>
            </w:r>
          </w:p>
        </w:tc>
        <w:tc>
          <w:tcPr>
            <w:tcW w:w="18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(935)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07"/>
        </w:trPr>
        <w:tc>
          <w:tcPr>
            <w:tcW w:w="290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3,231</w:t>
            </w:r>
          </w:p>
        </w:tc>
        <w:tc>
          <w:tcPr>
            <w:tcW w:w="0" w:type="dxa"/>
            <w:vAlign w:val="bottom"/>
          </w:tcPr>
          <w:p>
            <w:pPr>
              <w:spacing w:after="0"/>
              <w:rPr>
                <w:sz w:val="1"/>
                <w:szCs w:val="1"/>
                <w:color w:val="auto"/>
              </w:rPr>
            </w:pPr>
          </w:p>
        </w:tc>
      </w:tr>
      <w:tr>
        <w:trPr>
          <w:trHeight w:val="21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37,182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2,432</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46,033</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46,033</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13,125</w:t>
            </w: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00" w:type="dxa"/>
            <w:vAlign w:val="bottom"/>
            <w:gridSpan w:val="9"/>
          </w:tcPr>
          <w:p>
            <w:pPr>
              <w:ind w:left="1080"/>
              <w:spacing w:after="0"/>
              <w:rPr>
                <w:sz w:val="20"/>
                <w:szCs w:val="20"/>
                <w:color w:val="auto"/>
              </w:rPr>
            </w:pPr>
            <w:r>
              <w:rPr>
                <w:rFonts w:ascii="Arial" w:cs="Arial" w:eastAsia="Arial" w:hAnsi="Arial"/>
                <w:sz w:val="16"/>
                <w:szCs w:val="16"/>
                <w:b w:val="1"/>
                <w:bCs w:val="1"/>
                <w:color w:val="auto"/>
              </w:rPr>
              <w:t>Three Months Ended September 30, 2022</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(Unaudited)</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9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2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Investments</w:t>
            </w:r>
          </w:p>
        </w:tc>
        <w:tc>
          <w:tcPr>
            <w:tcW w:w="1420" w:type="dxa"/>
            <w:vAlign w:val="bottom"/>
            <w:gridSpan w:val="3"/>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6"/>
        </w:trPr>
        <w:tc>
          <w:tcPr>
            <w:tcW w:w="29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95,811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37,465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133,276</w:t>
            </w: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133,276</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12,231</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66,331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87,866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87,866</w:t>
            </w:r>
          </w:p>
        </w:tc>
        <w:tc>
          <w:tcPr>
            <w:tcW w:w="0" w:type="dxa"/>
            <w:vAlign w:val="bottom"/>
          </w:tcPr>
          <w:p>
            <w:pPr>
              <w:spacing w:after="0"/>
              <w:rPr>
                <w:sz w:val="1"/>
                <w:szCs w:val="1"/>
                <w:color w:val="auto"/>
              </w:rPr>
            </w:pPr>
          </w:p>
        </w:tc>
      </w:tr>
      <w:tr>
        <w:trPr>
          <w:trHeight w:val="219"/>
        </w:trPr>
        <w:tc>
          <w:tcPr>
            <w:tcW w:w="29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7"/>
        </w:trPr>
        <w:tc>
          <w:tcPr>
            <w:tcW w:w="29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174,033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59,356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233,407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233,407</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57,911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25,947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83,858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83,858</w:t>
            </w:r>
          </w:p>
        </w:tc>
        <w:tc>
          <w:tcPr>
            <w:tcW w:w="0" w:type="dxa"/>
            <w:vAlign w:val="bottom"/>
          </w:tcPr>
          <w:p>
            <w:pPr>
              <w:spacing w:after="0"/>
              <w:rPr>
                <w:sz w:val="1"/>
                <w:szCs w:val="1"/>
                <w:color w:val="auto"/>
              </w:rPr>
            </w:pPr>
          </w:p>
        </w:tc>
      </w:tr>
      <w:tr>
        <w:trPr>
          <w:trHeight w:val="219"/>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11,949</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11,949</w:t>
            </w:r>
          </w:p>
        </w:tc>
        <w:tc>
          <w:tcPr>
            <w:tcW w:w="0" w:type="dxa"/>
            <w:vAlign w:val="bottom"/>
          </w:tcPr>
          <w:p>
            <w:pPr>
              <w:spacing w:after="0"/>
              <w:rPr>
                <w:sz w:val="1"/>
                <w:szCs w:val="1"/>
                <w:color w:val="auto"/>
              </w:rPr>
            </w:pPr>
          </w:p>
        </w:tc>
      </w:tr>
      <w:tr>
        <w:trPr>
          <w:trHeight w:val="207"/>
        </w:trPr>
        <w:tc>
          <w:tcPr>
            <w:tcW w:w="292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104,646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32,936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137,600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137,600</w:t>
            </w:r>
          </w:p>
        </w:tc>
        <w:tc>
          <w:tcPr>
            <w:tcW w:w="0" w:type="dxa"/>
            <w:vAlign w:val="bottom"/>
          </w:tcPr>
          <w:p>
            <w:pPr>
              <w:spacing w:after="0"/>
              <w:rPr>
                <w:sz w:val="1"/>
                <w:szCs w:val="1"/>
                <w:color w:val="auto"/>
              </w:rPr>
            </w:pPr>
          </w:p>
        </w:tc>
      </w:tr>
      <w:tr>
        <w:trPr>
          <w:trHeight w:val="171"/>
        </w:trPr>
        <w:tc>
          <w:tcPr>
            <w:tcW w:w="2920" w:type="dxa"/>
            <w:vAlign w:val="bottom"/>
          </w:tcPr>
          <w:p>
            <w:pPr>
              <w:ind w:left="20"/>
              <w:spacing w:after="0" w:line="171" w:lineRule="exact"/>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92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70,897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24,576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95,473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95,473</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17,855</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9,370</w:t>
            </w:r>
          </w:p>
        </w:tc>
        <w:tc>
          <w:tcPr>
            <w:tcW w:w="0" w:type="dxa"/>
            <w:vAlign w:val="bottom"/>
          </w:tcPr>
          <w:p>
            <w:pPr>
              <w:spacing w:after="0"/>
              <w:rPr>
                <w:sz w:val="1"/>
                <w:szCs w:val="1"/>
                <w:color w:val="auto"/>
              </w:rPr>
            </w:pPr>
          </w:p>
        </w:tc>
      </w:tr>
      <w:tr>
        <w:trPr>
          <w:trHeight w:val="171"/>
        </w:trPr>
        <w:tc>
          <w:tcPr>
            <w:tcW w:w="2920" w:type="dxa"/>
            <w:vAlign w:val="bottom"/>
          </w:tcPr>
          <w:p>
            <w:pPr>
              <w:ind w:left="220"/>
              <w:spacing w:after="0" w:line="171" w:lineRule="exact"/>
              <w:rPr>
                <w:sz w:val="20"/>
                <w:szCs w:val="20"/>
                <w:color w:val="auto"/>
              </w:rPr>
            </w:pPr>
            <w:r>
              <w:rPr>
                <w:rFonts w:ascii="Arial" w:cs="Arial" w:eastAsia="Arial" w:hAnsi="Arial"/>
                <w:sz w:val="16"/>
                <w:szCs w:val="16"/>
                <w:color w:val="auto"/>
              </w:rPr>
              <w:t>Gain on sale of disposal of assets</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7"/>
        </w:trPr>
        <w:tc>
          <w:tcPr>
            <w:tcW w:w="2920" w:type="dxa"/>
            <w:vAlign w:val="bottom"/>
          </w:tcPr>
          <w:p>
            <w:pPr>
              <w:ind w:left="220"/>
              <w:spacing w:after="0"/>
              <w:rPr>
                <w:sz w:val="20"/>
                <w:szCs w:val="20"/>
                <w:color w:val="auto"/>
              </w:rPr>
            </w:pPr>
            <w:r>
              <w:rPr>
                <w:rFonts w:ascii="Arial" w:cs="Arial" w:eastAsia="Arial" w:hAnsi="Arial"/>
                <w:sz w:val="16"/>
                <w:szCs w:val="16"/>
                <w:color w:val="auto"/>
              </w:rPr>
              <w:t>and other</w:t>
            </w:r>
          </w:p>
        </w:tc>
        <w:tc>
          <w:tcPr>
            <w:tcW w:w="1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2,321</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71"/>
        </w:trPr>
        <w:tc>
          <w:tcPr>
            <w:tcW w:w="2920" w:type="dxa"/>
            <w:vAlign w:val="bottom"/>
          </w:tcPr>
          <w:p>
            <w:pPr>
              <w:ind w:left="220"/>
              <w:spacing w:after="0" w:line="171" w:lineRule="exact"/>
              <w:rPr>
                <w:sz w:val="20"/>
                <w:szCs w:val="20"/>
                <w:color w:val="auto"/>
              </w:rPr>
            </w:pPr>
            <w:r>
              <w:rPr>
                <w:rFonts w:ascii="Arial" w:cs="Arial" w:eastAsia="Arial" w:hAnsi="Arial"/>
                <w:sz w:val="16"/>
                <w:szCs w:val="16"/>
                <w:color w:val="auto"/>
              </w:rPr>
              <w:t>Equity in net income of</w:t>
            </w:r>
          </w:p>
        </w:tc>
        <w:tc>
          <w:tcPr>
            <w:tcW w:w="18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07"/>
        </w:trPr>
        <w:tc>
          <w:tcPr>
            <w:tcW w:w="292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09"/>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38,029</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38,029</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(24,868)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13,161</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9"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80" w:type="dxa"/>
            <w:vAlign w:val="bottom"/>
            <w:gridSpan w:val="9"/>
          </w:tcPr>
          <w:p>
            <w:pPr>
              <w:jc w:val="center"/>
              <w:ind w:left="719"/>
              <w:spacing w:after="0"/>
              <w:rPr>
                <w:sz w:val="20"/>
                <w:szCs w:val="20"/>
                <w:color w:val="auto"/>
              </w:rPr>
            </w:pPr>
            <w:r>
              <w:rPr>
                <w:rFonts w:ascii="Arial" w:cs="Arial" w:eastAsia="Arial" w:hAnsi="Arial"/>
                <w:sz w:val="16"/>
                <w:szCs w:val="16"/>
                <w:b w:val="1"/>
                <w:bCs w:val="1"/>
                <w:color w:val="auto"/>
              </w:rPr>
              <w:t>Twelve Months Ended September 30, 2023</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659"/>
              <w:spacing w:after="0"/>
              <w:rPr>
                <w:sz w:val="20"/>
                <w:szCs w:val="20"/>
                <w:color w:val="auto"/>
              </w:rPr>
            </w:pPr>
            <w:r>
              <w:rPr>
                <w:rFonts w:ascii="Arial" w:cs="Arial" w:eastAsia="Arial" w:hAnsi="Arial"/>
                <w:sz w:val="16"/>
                <w:szCs w:val="16"/>
                <w:b w:val="1"/>
                <w:bCs w:val="1"/>
                <w:color w:val="auto"/>
              </w:rPr>
              <w:t>(Unaudited)</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3"/>
                <w:szCs w:val="13"/>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36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Other</w:t>
            </w:r>
          </w:p>
        </w:tc>
        <w:tc>
          <w:tcPr>
            <w:tcW w:w="13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Total Segments</w:t>
            </w: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rPr>
              <w:t>Corporate</w:t>
            </w:r>
          </w:p>
        </w:tc>
        <w:tc>
          <w:tcPr>
            <w:tcW w:w="120" w:type="dxa"/>
            <w:vAlign w:val="bottom"/>
          </w:tcPr>
          <w:p>
            <w:pPr>
              <w:spacing w:after="0"/>
              <w:rPr>
                <w:sz w:val="13"/>
                <w:szCs w:val="13"/>
                <w:color w:val="auto"/>
              </w:rPr>
            </w:pPr>
          </w:p>
        </w:tc>
        <w:tc>
          <w:tcPr>
            <w:tcW w:w="11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2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Investments</w:t>
            </w:r>
          </w:p>
        </w:tc>
        <w:tc>
          <w:tcPr>
            <w:tcW w:w="136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Items</w:t>
            </w: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8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432,578</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182,868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615,446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615,446</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43,305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49,528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49,528</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285,919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97,853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383,772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383,772</w:t>
            </w:r>
          </w:p>
        </w:tc>
        <w:tc>
          <w:tcPr>
            <w:tcW w:w="0" w:type="dxa"/>
            <w:vAlign w:val="bottom"/>
          </w:tcPr>
          <w:p>
            <w:pPr>
              <w:spacing w:after="0"/>
              <w:rPr>
                <w:sz w:val="1"/>
                <w:szCs w:val="1"/>
                <w:color w:val="auto"/>
              </w:rPr>
            </w:pPr>
          </w:p>
        </w:tc>
      </w:tr>
      <w:tr>
        <w:trPr>
          <w:trHeight w:val="219"/>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06"/>
        </w:trPr>
        <w:tc>
          <w:tcPr>
            <w:tcW w:w="28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761,921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287,065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1,049,041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1,049,041</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267,874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126,905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394,779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394,779</w:t>
            </w:r>
          </w:p>
        </w:tc>
        <w:tc>
          <w:tcPr>
            <w:tcW w:w="0" w:type="dxa"/>
            <w:vAlign w:val="bottom"/>
          </w:tcPr>
          <w:p>
            <w:pPr>
              <w:spacing w:after="0"/>
              <w:rPr>
                <w:sz w:val="1"/>
                <w:szCs w:val="1"/>
                <w:color w:val="auto"/>
              </w:rPr>
            </w:pPr>
          </w:p>
        </w:tc>
      </w:tr>
      <w:tr>
        <w:trPr>
          <w:trHeight w:val="219"/>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37,709</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44,424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44,424</w:t>
            </w:r>
          </w:p>
        </w:tc>
        <w:tc>
          <w:tcPr>
            <w:tcW w:w="0" w:type="dxa"/>
            <w:vAlign w:val="bottom"/>
          </w:tcPr>
          <w:p>
            <w:pPr>
              <w:spacing w:after="0"/>
              <w:rPr>
                <w:sz w:val="1"/>
                <w:szCs w:val="1"/>
                <w:color w:val="auto"/>
              </w:rPr>
            </w:pPr>
          </w:p>
        </w:tc>
      </w:tr>
      <w:tr>
        <w:trPr>
          <w:trHeight w:val="207"/>
        </w:trPr>
        <w:tc>
          <w:tcPr>
            <w:tcW w:w="282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456,338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153,445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609,838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609,838</w:t>
            </w:r>
          </w:p>
        </w:tc>
        <w:tc>
          <w:tcPr>
            <w:tcW w:w="0" w:type="dxa"/>
            <w:vAlign w:val="bottom"/>
          </w:tcPr>
          <w:p>
            <w:pPr>
              <w:spacing w:after="0"/>
              <w:rPr>
                <w:sz w:val="1"/>
                <w:szCs w:val="1"/>
                <w:color w:val="auto"/>
              </w:rPr>
            </w:pPr>
          </w:p>
        </w:tc>
      </w:tr>
      <w:tr>
        <w:trPr>
          <w:trHeight w:val="171"/>
        </w:trPr>
        <w:tc>
          <w:tcPr>
            <w:tcW w:w="2820" w:type="dxa"/>
            <w:vAlign w:val="bottom"/>
          </w:tcPr>
          <w:p>
            <w:pPr>
              <w:ind w:left="20"/>
              <w:spacing w:after="0" w:line="171" w:lineRule="exact"/>
              <w:rPr>
                <w:sz w:val="20"/>
                <w:szCs w:val="20"/>
                <w:color w:val="auto"/>
              </w:rPr>
            </w:pPr>
            <w:r>
              <w:rPr>
                <w:rFonts w:ascii="Arial" w:cs="Arial" w:eastAsia="Arial" w:hAnsi="Arial"/>
                <w:sz w:val="16"/>
                <w:szCs w:val="16"/>
                <w:color w:val="auto"/>
              </w:rPr>
              <w:t>Segment and corporate expenses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820" w:type="dxa"/>
            <w:vAlign w:val="bottom"/>
          </w:tcPr>
          <w:p>
            <w:pPr>
              <w:ind w:left="2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299,319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119,255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418,574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418,574</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67,532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67,529</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Impairment of other assets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4,343</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19,573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32,131</w:t>
            </w:r>
          </w:p>
        </w:tc>
        <w:tc>
          <w:tcPr>
            <w:tcW w:w="0" w:type="dxa"/>
            <w:vAlign w:val="bottom"/>
          </w:tcPr>
          <w:p>
            <w:pPr>
              <w:spacing w:after="0"/>
              <w:rPr>
                <w:sz w:val="1"/>
                <w:szCs w:val="1"/>
                <w:color w:val="auto"/>
              </w:rPr>
            </w:pPr>
          </w:p>
        </w:tc>
      </w:tr>
      <w:tr>
        <w:trPr>
          <w:trHeight w:val="171"/>
        </w:trPr>
        <w:tc>
          <w:tcPr>
            <w:tcW w:w="2820" w:type="dxa"/>
            <w:vAlign w:val="bottom"/>
          </w:tcPr>
          <w:p>
            <w:pPr>
              <w:ind w:left="220"/>
              <w:spacing w:after="0" w:line="171" w:lineRule="exact"/>
              <w:rPr>
                <w:sz w:val="20"/>
                <w:szCs w:val="20"/>
                <w:color w:val="auto"/>
              </w:rPr>
            </w:pPr>
            <w:r>
              <w:rPr>
                <w:rFonts w:ascii="Arial" w:cs="Arial" w:eastAsia="Arial" w:hAnsi="Arial"/>
                <w:sz w:val="16"/>
                <w:szCs w:val="16"/>
                <w:color w:val="auto"/>
              </w:rPr>
              <w:t>Loss (gain) on sale or disposal of</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07"/>
        </w:trPr>
        <w:tc>
          <w:tcPr>
            <w:tcW w:w="2820" w:type="dxa"/>
            <w:vAlign w:val="bottom"/>
          </w:tcPr>
          <w:p>
            <w:pPr>
              <w:ind w:left="220"/>
              <w:spacing w:after="0"/>
              <w:rPr>
                <w:sz w:val="20"/>
                <w:szCs w:val="20"/>
                <w:color w:val="auto"/>
              </w:rPr>
            </w:pPr>
            <w:r>
              <w:rPr>
                <w:rFonts w:ascii="Arial" w:cs="Arial" w:eastAsia="Arial" w:hAnsi="Arial"/>
                <w:sz w:val="16"/>
                <w:szCs w:val="16"/>
                <w:color w:val="auto"/>
              </w:rPr>
              <w:t>assets and other</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(5,097)</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16,456</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(7,470)</w:t>
            </w:r>
          </w:p>
        </w:tc>
        <w:tc>
          <w:tcPr>
            <w:tcW w:w="0" w:type="dxa"/>
            <w:vAlign w:val="bottom"/>
          </w:tcPr>
          <w:p>
            <w:pPr>
              <w:spacing w:after="0"/>
              <w:rPr>
                <w:sz w:val="1"/>
                <w:szCs w:val="1"/>
                <w:color w:val="auto"/>
              </w:rPr>
            </w:pPr>
          </w:p>
        </w:tc>
      </w:tr>
      <w:tr>
        <w:trPr>
          <w:trHeight w:val="171"/>
        </w:trPr>
        <w:tc>
          <w:tcPr>
            <w:tcW w:w="2820" w:type="dxa"/>
            <w:vAlign w:val="bottom"/>
          </w:tcPr>
          <w:p>
            <w:pPr>
              <w:ind w:left="220"/>
              <w:spacing w:after="0" w:line="171" w:lineRule="exact"/>
              <w:rPr>
                <w:sz w:val="20"/>
                <w:szCs w:val="20"/>
                <w:color w:val="auto"/>
              </w:rPr>
            </w:pPr>
            <w:r>
              <w:rPr>
                <w:rFonts w:ascii="Arial" w:cs="Arial" w:eastAsia="Arial" w:hAnsi="Arial"/>
                <w:sz w:val="16"/>
                <w:szCs w:val="16"/>
                <w:color w:val="auto"/>
              </w:rPr>
              <w:t>Equity in net loss of unconsolidated</w:t>
            </w:r>
          </w:p>
        </w:tc>
        <w:tc>
          <w:tcPr>
            <w:tcW w:w="16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28,459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28,459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28,459</w:t>
            </w:r>
          </w:p>
        </w:tc>
        <w:tc>
          <w:tcPr>
            <w:tcW w:w="0" w:type="dxa"/>
            <w:vAlign w:val="bottom"/>
          </w:tcPr>
          <w:p>
            <w:pPr>
              <w:spacing w:after="0"/>
              <w:rPr>
                <w:sz w:val="1"/>
                <w:szCs w:val="1"/>
                <w:color w:val="auto"/>
              </w:rPr>
            </w:pPr>
          </w:p>
        </w:tc>
      </w:tr>
      <w:tr>
        <w:trPr>
          <w:trHeight w:val="207"/>
        </w:trPr>
        <w:tc>
          <w:tcPr>
            <w:tcW w:w="282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20" w:type="dxa"/>
            <w:vAlign w:val="bottom"/>
            <w:tcBorders>
              <w:bottom w:val="single" w:sz="8" w:color="6D6D6D"/>
            </w:tcBorders>
          </w:tcPr>
          <w:p>
            <w:pPr>
              <w:ind w:left="22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6D6D6D"/>
            </w:tcBorders>
          </w:tcPr>
          <w:p>
            <w:pPr>
              <w:spacing w:after="0"/>
              <w:rPr>
                <w:sz w:val="19"/>
                <w:szCs w:val="19"/>
                <w:color w:val="auto"/>
              </w:rPr>
            </w:pPr>
          </w:p>
        </w:tc>
        <w:tc>
          <w:tcPr>
            <w:tcW w:w="1180" w:type="dxa"/>
            <w:vAlign w:val="bottom"/>
            <w:tcBorders>
              <w:bottom w:val="single" w:sz="8" w:color="6D6D6D"/>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6D6D6D"/>
            </w:tcBorders>
          </w:tcPr>
          <w:p>
            <w:pPr>
              <w:spacing w:after="0"/>
              <w:rPr>
                <w:sz w:val="19"/>
                <w:szCs w:val="19"/>
                <w:color w:val="auto"/>
              </w:rPr>
            </w:pPr>
          </w:p>
        </w:tc>
        <w:tc>
          <w:tcPr>
            <w:tcW w:w="100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6D6D6D"/>
            </w:tcBorders>
          </w:tcPr>
          <w:p>
            <w:pPr>
              <w:spacing w:after="0"/>
              <w:rPr>
                <w:sz w:val="19"/>
                <w:szCs w:val="19"/>
                <w:color w:val="auto"/>
              </w:rPr>
            </w:pPr>
          </w:p>
        </w:tc>
        <w:tc>
          <w:tcPr>
            <w:tcW w:w="140" w:type="dxa"/>
            <w:vAlign w:val="bottom"/>
            <w:tcBorders>
              <w:bottom w:val="single" w:sz="8" w:color="6D6D6D"/>
            </w:tcBorders>
          </w:tcPr>
          <w:p>
            <w:pPr>
              <w:spacing w:after="0"/>
              <w:rPr>
                <w:sz w:val="19"/>
                <w:szCs w:val="19"/>
                <w:color w:val="auto"/>
              </w:rPr>
            </w:pPr>
          </w:p>
        </w:tc>
        <w:tc>
          <w:tcPr>
            <w:tcW w:w="114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6D6D6D"/>
            </w:tcBorders>
          </w:tcPr>
          <w:p>
            <w:pPr>
              <w:spacing w:after="0"/>
              <w:rPr>
                <w:sz w:val="19"/>
                <w:szCs w:val="19"/>
                <w:color w:val="auto"/>
              </w:rPr>
            </w:pPr>
          </w:p>
        </w:tc>
        <w:tc>
          <w:tcPr>
            <w:tcW w:w="440" w:type="dxa"/>
            <w:vAlign w:val="bottom"/>
            <w:tcBorders>
              <w:bottom w:val="single" w:sz="8" w:color="6D6D6D"/>
            </w:tcBorders>
          </w:tcPr>
          <w:p>
            <w:pPr>
              <w:spacing w:after="0"/>
              <w:rPr>
                <w:sz w:val="19"/>
                <w:szCs w:val="19"/>
                <w:color w:val="auto"/>
              </w:rPr>
            </w:pPr>
          </w:p>
        </w:tc>
        <w:tc>
          <w:tcPr>
            <w:tcW w:w="82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6D6D6D"/>
            </w:tcBorders>
          </w:tcPr>
          <w:p>
            <w:pPr>
              <w:spacing w:after="0"/>
              <w:rPr>
                <w:sz w:val="19"/>
                <w:szCs w:val="19"/>
                <w:color w:val="auto"/>
              </w:rPr>
            </w:pPr>
          </w:p>
        </w:tc>
        <w:tc>
          <w:tcPr>
            <w:tcW w:w="240" w:type="dxa"/>
            <w:vAlign w:val="bottom"/>
            <w:tcBorders>
              <w:bottom w:val="single" w:sz="8" w:color="6D6D6D"/>
            </w:tcBorders>
          </w:tcPr>
          <w:p>
            <w:pPr>
              <w:spacing w:after="0"/>
              <w:rPr>
                <w:sz w:val="19"/>
                <w:szCs w:val="19"/>
                <w:color w:val="auto"/>
              </w:rPr>
            </w:pPr>
          </w:p>
        </w:tc>
        <w:tc>
          <w:tcPr>
            <w:tcW w:w="102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3,172</w:t>
            </w:r>
          </w:p>
        </w:tc>
        <w:tc>
          <w:tcPr>
            <w:tcW w:w="100" w:type="dxa"/>
            <w:vAlign w:val="bottom"/>
            <w:tcBorders>
              <w:bottom w:val="single" w:sz="8" w:color="6D6D6D"/>
            </w:tcBorders>
          </w:tcPr>
          <w:p>
            <w:pPr>
              <w:spacing w:after="0"/>
              <w:rPr>
                <w:sz w:val="19"/>
                <w:szCs w:val="19"/>
                <w:color w:val="auto"/>
              </w:rPr>
            </w:pPr>
          </w:p>
        </w:tc>
        <w:tc>
          <w:tcPr>
            <w:tcW w:w="120" w:type="dxa"/>
            <w:vAlign w:val="bottom"/>
            <w:tcBorders>
              <w:bottom w:val="single" w:sz="8" w:color="6D6D6D"/>
            </w:tcBorders>
          </w:tcPr>
          <w:p>
            <w:pPr>
              <w:spacing w:after="0"/>
              <w:rPr>
                <w:sz w:val="19"/>
                <w:szCs w:val="19"/>
                <w:color w:val="auto"/>
              </w:rPr>
            </w:pPr>
          </w:p>
        </w:tc>
        <w:tc>
          <w:tcPr>
            <w:tcW w:w="118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3,072</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6D6D6D"/>
            </w:tcBorders>
          </w:tcPr>
          <w:p>
            <w:pPr>
              <w:ind w:left="12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6D6D6D"/>
            </w:tcBorders>
          </w:tcPr>
          <w:p>
            <w:pPr>
              <w:spacing w:after="0"/>
              <w:rPr>
                <w:sz w:val="18"/>
                <w:szCs w:val="18"/>
                <w:color w:val="auto"/>
              </w:rPr>
            </w:pPr>
          </w:p>
        </w:tc>
        <w:tc>
          <w:tcPr>
            <w:tcW w:w="110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146,524</w:t>
            </w:r>
          </w:p>
        </w:tc>
        <w:tc>
          <w:tcPr>
            <w:tcW w:w="80" w:type="dxa"/>
            <w:vAlign w:val="bottom"/>
            <w:tcBorders>
              <w:bottom w:val="single" w:sz="8" w:color="6D6D6D"/>
            </w:tcBorders>
          </w:tcPr>
          <w:p>
            <w:pPr>
              <w:spacing w:after="0"/>
              <w:rPr>
                <w:sz w:val="18"/>
                <w:szCs w:val="18"/>
                <w:color w:val="auto"/>
              </w:rPr>
            </w:pPr>
          </w:p>
        </w:tc>
        <w:tc>
          <w:tcPr>
            <w:tcW w:w="260" w:type="dxa"/>
            <w:vAlign w:val="bottom"/>
            <w:tcBorders>
              <w:bottom w:val="single" w:sz="8" w:color="6D6D6D"/>
            </w:tcBorders>
          </w:tcPr>
          <w:p>
            <w:pPr>
              <w:spacing w:after="0"/>
              <w:rPr>
                <w:sz w:val="18"/>
                <w:szCs w:val="18"/>
                <w:color w:val="auto"/>
              </w:rPr>
            </w:pPr>
          </w:p>
        </w:tc>
        <w:tc>
          <w:tcPr>
            <w:tcW w:w="100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31,658</w:t>
            </w:r>
          </w:p>
        </w:tc>
        <w:tc>
          <w:tcPr>
            <w:tcW w:w="100" w:type="dxa"/>
            <w:vAlign w:val="bottom"/>
            <w:tcBorders>
              <w:bottom w:val="single" w:sz="8" w:color="6D6D6D"/>
            </w:tcBorders>
          </w:tcPr>
          <w:p>
            <w:pPr>
              <w:spacing w:after="0"/>
              <w:rPr>
                <w:sz w:val="18"/>
                <w:szCs w:val="18"/>
                <w:color w:val="auto"/>
              </w:rPr>
            </w:pPr>
          </w:p>
        </w:tc>
        <w:tc>
          <w:tcPr>
            <w:tcW w:w="14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(26,935)</w:t>
            </w:r>
          </w:p>
        </w:tc>
        <w:tc>
          <w:tcPr>
            <w:tcW w:w="100" w:type="dxa"/>
            <w:vAlign w:val="bottom"/>
            <w:tcBorders>
              <w:bottom w:val="single" w:sz="8" w:color="6D6D6D"/>
            </w:tcBorders>
          </w:tcPr>
          <w:p>
            <w:pPr>
              <w:spacing w:after="0"/>
              <w:rPr>
                <w:sz w:val="18"/>
                <w:szCs w:val="18"/>
                <w:color w:val="auto"/>
              </w:rPr>
            </w:pPr>
          </w:p>
        </w:tc>
        <w:tc>
          <w:tcPr>
            <w:tcW w:w="440" w:type="dxa"/>
            <w:vAlign w:val="bottom"/>
            <w:tcBorders>
              <w:bottom w:val="single" w:sz="8" w:color="6D6D6D"/>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151,247</w:t>
            </w:r>
          </w:p>
        </w:tc>
        <w:tc>
          <w:tcPr>
            <w:tcW w:w="100" w:type="dxa"/>
            <w:vAlign w:val="bottom"/>
            <w:tcBorders>
              <w:bottom w:val="single" w:sz="8" w:color="6D6D6D"/>
            </w:tcBorders>
          </w:tcPr>
          <w:p>
            <w:pPr>
              <w:spacing w:after="0"/>
              <w:rPr>
                <w:sz w:val="18"/>
                <w:szCs w:val="18"/>
                <w:color w:val="auto"/>
              </w:rPr>
            </w:pPr>
          </w:p>
        </w:tc>
        <w:tc>
          <w:tcPr>
            <w:tcW w:w="240" w:type="dxa"/>
            <w:vAlign w:val="bottom"/>
            <w:tcBorders>
              <w:bottom w:val="single" w:sz="8" w:color="6D6D6D"/>
            </w:tcBorders>
          </w:tcPr>
          <w:p>
            <w:pPr>
              <w:spacing w:after="0"/>
              <w:rPr>
                <w:sz w:val="18"/>
                <w:szCs w:val="18"/>
                <w:color w:val="auto"/>
              </w:rPr>
            </w:pPr>
          </w:p>
        </w:tc>
        <w:tc>
          <w:tcPr>
            <w:tcW w:w="1020" w:type="dxa"/>
            <w:vAlign w:val="bottom"/>
            <w:tcBorders>
              <w:bottom w:val="single" w:sz="8" w:color="6D6D6D"/>
            </w:tcBorders>
          </w:tcPr>
          <w:p>
            <w:pPr>
              <w:spacing w:after="0"/>
              <w:rPr>
                <w:sz w:val="18"/>
                <w:szCs w:val="18"/>
                <w:color w:val="auto"/>
              </w:rPr>
            </w:pPr>
          </w:p>
        </w:tc>
        <w:tc>
          <w:tcPr>
            <w:tcW w:w="100" w:type="dxa"/>
            <w:vAlign w:val="bottom"/>
            <w:tcBorders>
              <w:bottom w:val="single" w:sz="8" w:color="6D6D6D"/>
            </w:tcBorders>
          </w:tcPr>
          <w:p>
            <w:pPr>
              <w:spacing w:after="0"/>
              <w:rPr>
                <w:sz w:val="18"/>
                <w:szCs w:val="18"/>
                <w:color w:val="auto"/>
              </w:rPr>
            </w:pPr>
          </w:p>
        </w:tc>
        <w:tc>
          <w:tcPr>
            <w:tcW w:w="120" w:type="dxa"/>
            <w:vAlign w:val="bottom"/>
            <w:tcBorders>
              <w:bottom w:val="single" w:sz="8" w:color="6D6D6D"/>
            </w:tcBorders>
          </w:tcPr>
          <w:p>
            <w:pPr>
              <w:spacing w:after="0"/>
              <w:rPr>
                <w:sz w:val="18"/>
                <w:szCs w:val="18"/>
                <w:color w:val="auto"/>
              </w:rPr>
            </w:pPr>
          </w:p>
        </w:tc>
        <w:tc>
          <w:tcPr>
            <w:tcW w:w="1180" w:type="dxa"/>
            <w:vAlign w:val="bottom"/>
            <w:tcBorders>
              <w:bottom w:val="single" w:sz="8" w:color="6D6D6D"/>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151,247</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(99,614)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51,633</w:t>
            </w:r>
          </w:p>
        </w:tc>
        <w:tc>
          <w:tcPr>
            <w:tcW w:w="0" w:type="dxa"/>
            <w:vAlign w:val="bottom"/>
          </w:tcPr>
          <w:p>
            <w:pPr>
              <w:spacing w:after="0"/>
              <w:rPr>
                <w:sz w:val="1"/>
                <w:szCs w:val="1"/>
                <w:color w:val="auto"/>
              </w:rPr>
            </w:pPr>
          </w:p>
        </w:tc>
      </w:tr>
    </w:tbl>
    <w:p>
      <w:pPr>
        <w:sectPr>
          <w:pgSz w:w="11900" w:h="16838" w:orient="portrait"/>
          <w:cols w:equalWidth="0" w:num="1">
            <w:col w:w="10920"/>
          </w:cols>
          <w:pgMar w:left="320" w:top="1211" w:right="65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60" w:type="dxa"/>
            <w:vAlign w:val="bottom"/>
            <w:gridSpan w:val="9"/>
          </w:tcPr>
          <w:p>
            <w:pPr>
              <w:jc w:val="center"/>
              <w:ind w:left="699"/>
              <w:spacing w:after="0"/>
              <w:rPr>
                <w:sz w:val="20"/>
                <w:szCs w:val="20"/>
                <w:color w:val="auto"/>
              </w:rPr>
            </w:pPr>
            <w:r>
              <w:rPr>
                <w:rFonts w:ascii="Arial" w:cs="Arial" w:eastAsia="Arial" w:hAnsi="Arial"/>
                <w:sz w:val="16"/>
                <w:szCs w:val="16"/>
                <w:b w:val="1"/>
                <w:bCs w:val="1"/>
                <w:color w:val="auto"/>
              </w:rPr>
              <w:t>Twelve Months Ended September 30, 2022</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6"/>
                <w:szCs w:val="16"/>
                <w:b w:val="1"/>
                <w:bCs w:val="1"/>
                <w:color w:val="auto"/>
              </w:rPr>
              <w:t>(Unaudited)</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3"/>
                <w:szCs w:val="13"/>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36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4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8"/>
              </w:rPr>
              <w:t>Other</w:t>
            </w:r>
          </w:p>
        </w:tc>
        <w:tc>
          <w:tcPr>
            <w:tcW w:w="13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Total Segments</w:t>
            </w:r>
          </w:p>
        </w:tc>
        <w:tc>
          <w:tcPr>
            <w:tcW w:w="240" w:type="dxa"/>
            <w:vAlign w:val="bottom"/>
          </w:tcPr>
          <w:p>
            <w:pPr>
              <w:spacing w:after="0"/>
              <w:rPr>
                <w:sz w:val="13"/>
                <w:szCs w:val="13"/>
                <w:color w:val="auto"/>
              </w:rPr>
            </w:pPr>
          </w:p>
        </w:tc>
        <w:tc>
          <w:tcPr>
            <w:tcW w:w="1140" w:type="dxa"/>
            <w:vAlign w:val="bottom"/>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rPr>
              <w:t>Corporate</w:t>
            </w:r>
          </w:p>
        </w:tc>
        <w:tc>
          <w:tcPr>
            <w:tcW w:w="120" w:type="dxa"/>
            <w:vAlign w:val="bottom"/>
          </w:tcPr>
          <w:p>
            <w:pPr>
              <w:spacing w:after="0"/>
              <w:rPr>
                <w:sz w:val="13"/>
                <w:szCs w:val="13"/>
                <w:color w:val="auto"/>
              </w:rPr>
            </w:pP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6"/>
        </w:trPr>
        <w:tc>
          <w:tcPr>
            <w:tcW w:w="2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36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Items</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8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391,958</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140,928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532,886</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532,886</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25,739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32,033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32,033</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240,982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79,883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320,865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320,865</w:t>
            </w:r>
          </w:p>
        </w:tc>
        <w:tc>
          <w:tcPr>
            <w:tcW w:w="0" w:type="dxa"/>
            <w:vAlign w:val="bottom"/>
          </w:tcPr>
          <w:p>
            <w:pPr>
              <w:spacing w:after="0"/>
              <w:rPr>
                <w:sz w:val="1"/>
                <w:szCs w:val="1"/>
                <w:color w:val="auto"/>
              </w:rPr>
            </w:pPr>
          </w:p>
        </w:tc>
      </w:tr>
      <w:tr>
        <w:trPr>
          <w:trHeight w:val="219"/>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07"/>
        </w:trPr>
        <w:tc>
          <w:tcPr>
            <w:tcW w:w="28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658,762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227,352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886,225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886,225</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230,241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99,141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329,382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329,382</w:t>
            </w:r>
          </w:p>
        </w:tc>
        <w:tc>
          <w:tcPr>
            <w:tcW w:w="0" w:type="dxa"/>
            <w:vAlign w:val="bottom"/>
          </w:tcPr>
          <w:p>
            <w:pPr>
              <w:spacing w:after="0"/>
              <w:rPr>
                <w:sz w:val="1"/>
                <w:szCs w:val="1"/>
                <w:color w:val="auto"/>
              </w:rPr>
            </w:pPr>
          </w:p>
        </w:tc>
      </w:tr>
      <w:tr>
        <w:trPr>
          <w:trHeight w:val="219"/>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22,755</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5,941</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28,696</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28,696</w:t>
            </w:r>
          </w:p>
        </w:tc>
        <w:tc>
          <w:tcPr>
            <w:tcW w:w="0" w:type="dxa"/>
            <w:vAlign w:val="bottom"/>
          </w:tcPr>
          <w:p>
            <w:pPr>
              <w:spacing w:after="0"/>
              <w:rPr>
                <w:sz w:val="1"/>
                <w:szCs w:val="1"/>
                <w:color w:val="auto"/>
              </w:rPr>
            </w:pPr>
          </w:p>
        </w:tc>
      </w:tr>
      <w:tr>
        <w:trPr>
          <w:trHeight w:val="207"/>
        </w:trPr>
        <w:tc>
          <w:tcPr>
            <w:tcW w:w="282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405,766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122,270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528,147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528,147</w:t>
            </w:r>
          </w:p>
        </w:tc>
        <w:tc>
          <w:tcPr>
            <w:tcW w:w="0" w:type="dxa"/>
            <w:vAlign w:val="bottom"/>
          </w:tcPr>
          <w:p>
            <w:pPr>
              <w:spacing w:after="0"/>
              <w:rPr>
                <w:sz w:val="1"/>
                <w:szCs w:val="1"/>
                <w:color w:val="auto"/>
              </w:rPr>
            </w:pPr>
          </w:p>
        </w:tc>
      </w:tr>
      <w:tr>
        <w:trPr>
          <w:trHeight w:val="171"/>
        </w:trPr>
        <w:tc>
          <w:tcPr>
            <w:tcW w:w="2820" w:type="dxa"/>
            <w:vAlign w:val="bottom"/>
          </w:tcPr>
          <w:p>
            <w:pPr>
              <w:ind w:left="20"/>
              <w:spacing w:after="0" w:line="171" w:lineRule="exact"/>
              <w:rPr>
                <w:sz w:val="20"/>
                <w:szCs w:val="20"/>
                <w:color w:val="auto"/>
              </w:rPr>
            </w:pPr>
            <w:r>
              <w:rPr>
                <w:rFonts w:ascii="Arial" w:cs="Arial" w:eastAsia="Arial" w:hAnsi="Arial"/>
                <w:sz w:val="16"/>
                <w:szCs w:val="16"/>
                <w:color w:val="auto"/>
              </w:rPr>
              <w:t>Segment and corporate expenses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820" w:type="dxa"/>
            <w:vAlign w:val="bottom"/>
          </w:tcPr>
          <w:p>
            <w:pPr>
              <w:ind w:left="2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266,114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91,303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357,417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357,417</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64,342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64,342</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10,552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18,465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32,140</w:t>
            </w:r>
          </w:p>
        </w:tc>
        <w:tc>
          <w:tcPr>
            <w:tcW w:w="0" w:type="dxa"/>
            <w:vAlign w:val="bottom"/>
          </w:tcPr>
          <w:p>
            <w:pPr>
              <w:spacing w:after="0"/>
              <w:rPr>
                <w:sz w:val="1"/>
                <w:szCs w:val="1"/>
                <w:color w:val="auto"/>
              </w:rPr>
            </w:pPr>
          </w:p>
        </w:tc>
      </w:tr>
      <w:tr>
        <w:trPr>
          <w:trHeight w:val="171"/>
        </w:trPr>
        <w:tc>
          <w:tcPr>
            <w:tcW w:w="2820" w:type="dxa"/>
            <w:vAlign w:val="bottom"/>
          </w:tcPr>
          <w:p>
            <w:pPr>
              <w:ind w:left="220"/>
              <w:spacing w:after="0" w:line="171" w:lineRule="exact"/>
              <w:rPr>
                <w:sz w:val="20"/>
                <w:szCs w:val="20"/>
                <w:color w:val="auto"/>
              </w:rPr>
            </w:pPr>
            <w:r>
              <w:rPr>
                <w:rFonts w:ascii="Arial" w:cs="Arial" w:eastAsia="Arial" w:hAnsi="Arial"/>
                <w:sz w:val="16"/>
                <w:szCs w:val="16"/>
                <w:color w:val="auto"/>
              </w:rPr>
              <w:t>Loss (gain) on sale or disposal of</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07"/>
        </w:trPr>
        <w:tc>
          <w:tcPr>
            <w:tcW w:w="2820" w:type="dxa"/>
            <w:vAlign w:val="bottom"/>
          </w:tcPr>
          <w:p>
            <w:pPr>
              <w:ind w:left="220"/>
              <w:spacing w:after="0"/>
              <w:rPr>
                <w:sz w:val="20"/>
                <w:szCs w:val="20"/>
                <w:color w:val="auto"/>
              </w:rPr>
            </w:pPr>
            <w:r>
              <w:rPr>
                <w:rFonts w:ascii="Arial" w:cs="Arial" w:eastAsia="Arial" w:hAnsi="Arial"/>
                <w:sz w:val="16"/>
                <w:szCs w:val="16"/>
                <w:color w:val="auto"/>
              </w:rPr>
              <w:t>assets and other</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9,972</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171"/>
        </w:trPr>
        <w:tc>
          <w:tcPr>
            <w:tcW w:w="2820" w:type="dxa"/>
            <w:vAlign w:val="bottom"/>
          </w:tcPr>
          <w:p>
            <w:pPr>
              <w:ind w:left="220"/>
              <w:spacing w:after="0" w:line="171" w:lineRule="exact"/>
              <w:rPr>
                <w:sz w:val="20"/>
                <w:szCs w:val="20"/>
                <w:color w:val="auto"/>
              </w:rPr>
            </w:pPr>
            <w:r>
              <w:rPr>
                <w:rFonts w:ascii="Arial" w:cs="Arial" w:eastAsia="Arial" w:hAnsi="Arial"/>
                <w:sz w:val="16"/>
                <w:szCs w:val="16"/>
                <w:color w:val="auto"/>
              </w:rPr>
              <w:t>Equity in net income of</w:t>
            </w:r>
          </w:p>
        </w:tc>
        <w:tc>
          <w:tcPr>
            <w:tcW w:w="16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(1,779)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(1,779)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207"/>
        </w:trPr>
        <w:tc>
          <w:tcPr>
            <w:tcW w:w="282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129,051</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24,054</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w:t>
            </w: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154,943</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154,943</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(87,230)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67,713</w:t>
            </w:r>
          </w:p>
        </w:tc>
        <w:tc>
          <w:tcPr>
            <w:tcW w:w="0" w:type="dxa"/>
            <w:vAlign w:val="bottom"/>
          </w:tcPr>
          <w:p>
            <w:pPr>
              <w:spacing w:after="0"/>
              <w:rPr>
                <w:sz w:val="1"/>
                <w:szCs w:val="1"/>
                <w:color w:val="auto"/>
              </w:rPr>
            </w:pPr>
          </w:p>
        </w:tc>
      </w:tr>
    </w:tbl>
    <w:p>
      <w:pPr>
        <w:sectPr>
          <w:pgSz w:w="11900" w:h="16838" w:orient="portrait"/>
          <w:cols w:equalWidth="0" w:num="1">
            <w:col w:w="10920"/>
          </w:cols>
          <w:pgMar w:left="320" w:top="1009" w:right="65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560" w:type="dxa"/>
            <w:vAlign w:val="bottom"/>
            <w:gridSpan w:val="5"/>
          </w:tcPr>
          <w:p>
            <w:pPr>
              <w:jc w:val="center"/>
              <w:ind w:right="740"/>
              <w:spacing w:after="0"/>
              <w:rPr>
                <w:sz w:val="20"/>
                <w:szCs w:val="20"/>
                <w:color w:val="auto"/>
              </w:rPr>
            </w:pPr>
            <w:r>
              <w:rPr>
                <w:rFonts w:ascii="Arial" w:cs="Arial" w:eastAsia="Arial" w:hAnsi="Arial"/>
                <w:sz w:val="16"/>
                <w:szCs w:val="16"/>
                <w:b w:val="1"/>
                <w:bCs w:val="1"/>
                <w:color w:val="auto"/>
                <w:w w:val="98"/>
              </w:rPr>
              <w:t>EZCORP, Inc.</w:t>
            </w: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4560" w:type="dxa"/>
            <w:vAlign w:val="bottom"/>
            <w:gridSpan w:val="5"/>
          </w:tcPr>
          <w:p>
            <w:pPr>
              <w:jc w:val="center"/>
              <w:ind w:right="760"/>
              <w:spacing w:after="0"/>
              <w:rPr>
                <w:sz w:val="20"/>
                <w:szCs w:val="20"/>
                <w:color w:val="auto"/>
              </w:rPr>
            </w:pPr>
            <w:r>
              <w:rPr>
                <w:rFonts w:ascii="Arial" w:cs="Arial" w:eastAsia="Arial" w:hAnsi="Arial"/>
                <w:sz w:val="16"/>
                <w:szCs w:val="16"/>
                <w:b w:val="1"/>
                <w:bCs w:val="1"/>
                <w:color w:val="auto"/>
              </w:rPr>
              <w:t>STORE COUNT ACTIVITY</w:t>
            </w: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560" w:type="dxa"/>
            <w:vAlign w:val="bottom"/>
            <w:gridSpan w:val="5"/>
          </w:tcPr>
          <w:p>
            <w:pPr>
              <w:jc w:val="center"/>
              <w:ind w:right="740"/>
              <w:spacing w:after="0"/>
              <w:rPr>
                <w:sz w:val="20"/>
                <w:szCs w:val="20"/>
                <w:color w:val="auto"/>
              </w:rPr>
            </w:pPr>
            <w:r>
              <w:rPr>
                <w:rFonts w:ascii="Arial" w:cs="Arial" w:eastAsia="Arial" w:hAnsi="Arial"/>
                <w:sz w:val="16"/>
                <w:szCs w:val="16"/>
                <w:b w:val="1"/>
                <w:bCs w:val="1"/>
                <w:color w:val="auto"/>
              </w:rPr>
              <w:t>(Unaudited)</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480" w:type="dxa"/>
            <w:vAlign w:val="bottom"/>
            <w:tcBorders>
              <w:bottom w:val="single" w:sz="8" w:color="auto"/>
            </w:tcBorders>
            <w:gridSpan w:val="9"/>
          </w:tcPr>
          <w:p>
            <w:pPr>
              <w:jc w:val="center"/>
              <w:spacing w:after="0"/>
              <w:rPr>
                <w:sz w:val="20"/>
                <w:szCs w:val="20"/>
                <w:color w:val="auto"/>
              </w:rPr>
            </w:pPr>
            <w:r>
              <w:rPr>
                <w:rFonts w:ascii="Arial" w:cs="Arial" w:eastAsia="Arial" w:hAnsi="Arial"/>
                <w:sz w:val="16"/>
                <w:szCs w:val="16"/>
                <w:b w:val="1"/>
                <w:bCs w:val="1"/>
                <w:color w:val="auto"/>
              </w:rPr>
              <w:t>Three Months Ended September 30, 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4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00" w:type="dxa"/>
            <w:vAlign w:val="bottom"/>
            <w:gridSpan w:val="2"/>
            <w:vMerge w:val="restart"/>
          </w:tcPr>
          <w:p>
            <w:pPr>
              <w:spacing w:after="0"/>
              <w:rPr>
                <w:sz w:val="13"/>
                <w:szCs w:val="13"/>
                <w:color w:val="auto"/>
              </w:rPr>
            </w:pPr>
          </w:p>
        </w:tc>
        <w:tc>
          <w:tcPr>
            <w:tcW w:w="1540" w:type="dxa"/>
            <w:vAlign w:val="bottom"/>
            <w:gridSpan w:val="4"/>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Consolidated</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gridSpan w:val="2"/>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680" w:type="dxa"/>
            <w:vAlign w:val="bottom"/>
          </w:tcPr>
          <w:p>
            <w:pPr>
              <w:ind w:left="20"/>
              <w:spacing w:after="0"/>
              <w:rPr>
                <w:sz w:val="20"/>
                <w:szCs w:val="20"/>
                <w:color w:val="auto"/>
              </w:rPr>
            </w:pPr>
            <w:r>
              <w:rPr>
                <w:rFonts w:ascii="Arial" w:cs="Arial" w:eastAsia="Arial" w:hAnsi="Arial"/>
                <w:sz w:val="16"/>
                <w:szCs w:val="16"/>
                <w:color w:val="auto"/>
              </w:rPr>
              <w:t>As of June 30, 2023</w:t>
            </w:r>
          </w:p>
        </w:tc>
        <w:tc>
          <w:tcPr>
            <w:tcW w:w="4440" w:type="dxa"/>
            <w:vAlign w:val="bottom"/>
            <w:gridSpan w:val="2"/>
          </w:tcPr>
          <w:p>
            <w:pPr>
              <w:jc w:val="right"/>
              <w:spacing w:after="0"/>
              <w:rPr>
                <w:sz w:val="20"/>
                <w:szCs w:val="20"/>
                <w:color w:val="auto"/>
              </w:rPr>
            </w:pPr>
            <w:r>
              <w:rPr>
                <w:rFonts w:ascii="Arial" w:cs="Arial" w:eastAsia="Arial" w:hAnsi="Arial"/>
                <w:sz w:val="16"/>
                <w:szCs w:val="16"/>
                <w:color w:val="auto"/>
              </w:rPr>
              <w:t>528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8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3020" w:type="dxa"/>
            <w:vAlign w:val="bottom"/>
          </w:tcPr>
          <w:p>
            <w:pPr>
              <w:spacing w:after="0"/>
              <w:rPr>
                <w:sz w:val="18"/>
                <w:szCs w:val="18"/>
                <w:color w:val="auto"/>
              </w:rPr>
            </w:pPr>
          </w:p>
        </w:tc>
        <w:tc>
          <w:tcPr>
            <w:tcW w:w="154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80" w:type="dxa"/>
            <w:vAlign w:val="bottom"/>
          </w:tcPr>
          <w:p>
            <w:pPr>
              <w:ind w:left="220"/>
              <w:spacing w:after="0"/>
              <w:rPr>
                <w:sz w:val="20"/>
                <w:szCs w:val="20"/>
                <w:color w:val="auto"/>
              </w:rPr>
            </w:pPr>
            <w:r>
              <w:rPr>
                <w:rFonts w:ascii="Arial" w:cs="Arial" w:eastAsia="Arial" w:hAnsi="Arial"/>
                <w:sz w:val="16"/>
                <w:szCs w:val="16"/>
                <w:color w:val="auto"/>
              </w:rPr>
              <w:t>Locations acquired</w:t>
            </w:r>
          </w:p>
        </w:tc>
        <w:tc>
          <w:tcPr>
            <w:tcW w:w="44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4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September 30, 2023</w:t>
            </w:r>
          </w:p>
        </w:tc>
        <w:tc>
          <w:tcPr>
            <w:tcW w:w="4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529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7"/>
        </w:trPr>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500" w:type="dxa"/>
            <w:vAlign w:val="bottom"/>
            <w:tcBorders>
              <w:bottom w:val="single" w:sz="8" w:color="auto"/>
            </w:tcBorders>
            <w:gridSpan w:val="10"/>
          </w:tcPr>
          <w:p>
            <w:pPr>
              <w:jc w:val="center"/>
              <w:ind w:right="20"/>
              <w:spacing w:after="0"/>
              <w:rPr>
                <w:sz w:val="20"/>
                <w:szCs w:val="20"/>
                <w:color w:val="auto"/>
              </w:rPr>
            </w:pPr>
            <w:r>
              <w:rPr>
                <w:rFonts w:ascii="Arial" w:cs="Arial" w:eastAsia="Arial" w:hAnsi="Arial"/>
                <w:sz w:val="16"/>
                <w:szCs w:val="16"/>
                <w:b w:val="1"/>
                <w:bCs w:val="1"/>
                <w:color w:val="auto"/>
              </w:rPr>
              <w:t>Three Months Ended September 30, 2022</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540" w:type="dxa"/>
            <w:vAlign w:val="bottom"/>
            <w:gridSpan w:val="4"/>
          </w:tcPr>
          <w:p>
            <w:pPr>
              <w:jc w:val="center"/>
              <w:ind w:right="140"/>
              <w:spacing w:after="0" w:line="155" w:lineRule="exact"/>
              <w:rPr>
                <w:sz w:val="20"/>
                <w:szCs w:val="20"/>
                <w:color w:val="auto"/>
              </w:rPr>
            </w:pPr>
            <w:r>
              <w:rPr>
                <w:rFonts w:ascii="Arial" w:cs="Arial" w:eastAsia="Arial" w:hAnsi="Arial"/>
                <w:sz w:val="16"/>
                <w:szCs w:val="16"/>
                <w:b w:val="1"/>
                <w:bCs w:val="1"/>
                <w:color w:val="auto"/>
              </w:rPr>
              <w:t>Latin America</w:t>
            </w: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As of June 30, 2022</w:t>
            </w:r>
          </w:p>
        </w:tc>
        <w:tc>
          <w:tcPr>
            <w:tcW w:w="4440" w:type="dxa"/>
            <w:vAlign w:val="bottom"/>
            <w:gridSpan w:val="2"/>
          </w:tcPr>
          <w:p>
            <w:pPr>
              <w:jc w:val="right"/>
              <w:spacing w:after="0"/>
              <w:rPr>
                <w:sz w:val="20"/>
                <w:szCs w:val="20"/>
                <w:color w:val="auto"/>
              </w:rPr>
            </w:pPr>
            <w:r>
              <w:rPr>
                <w:rFonts w:ascii="Arial" w:cs="Arial" w:eastAsia="Arial" w:hAnsi="Arial"/>
                <w:sz w:val="16"/>
                <w:szCs w:val="16"/>
                <w:color w:val="auto"/>
              </w:rPr>
              <w:t>519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6"/>
                <w:szCs w:val="16"/>
                <w:color w:val="auto"/>
              </w:rPr>
              <w:t>New locations opened</w:t>
            </w:r>
          </w:p>
        </w:tc>
        <w:tc>
          <w:tcPr>
            <w:tcW w:w="3020" w:type="dxa"/>
            <w:vAlign w:val="bottom"/>
          </w:tcPr>
          <w:p>
            <w:pPr>
              <w:spacing w:after="0"/>
              <w:rPr>
                <w:sz w:val="18"/>
                <w:szCs w:val="18"/>
                <w:color w:val="auto"/>
              </w:rPr>
            </w:pPr>
          </w:p>
        </w:tc>
        <w:tc>
          <w:tcPr>
            <w:tcW w:w="154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Locations sold, combined or closed</w:t>
            </w:r>
          </w:p>
        </w:tc>
        <w:tc>
          <w:tcPr>
            <w:tcW w:w="4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As of September 30, 2022</w:t>
            </w:r>
          </w:p>
        </w:tc>
        <w:tc>
          <w:tcPr>
            <w:tcW w:w="4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0"/>
        </w:trPr>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500" w:type="dxa"/>
            <w:vAlign w:val="bottom"/>
            <w:tcBorders>
              <w:bottom w:val="single" w:sz="8" w:color="auto"/>
            </w:tcBorders>
            <w:gridSpan w:val="10"/>
          </w:tcPr>
          <w:p>
            <w:pPr>
              <w:jc w:val="center"/>
              <w:ind w:right="20"/>
              <w:spacing w:after="0"/>
              <w:rPr>
                <w:sz w:val="20"/>
                <w:szCs w:val="20"/>
                <w:color w:val="auto"/>
              </w:rPr>
            </w:pPr>
            <w:r>
              <w:rPr>
                <w:rFonts w:ascii="Arial" w:cs="Arial" w:eastAsia="Arial" w:hAnsi="Arial"/>
                <w:sz w:val="16"/>
                <w:szCs w:val="16"/>
                <w:b w:val="1"/>
                <w:bCs w:val="1"/>
                <w:color w:val="auto"/>
              </w:rPr>
              <w:t>Twelve Months Ended September 30, 2023</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540" w:type="dxa"/>
            <w:vAlign w:val="bottom"/>
            <w:gridSpan w:val="4"/>
          </w:tcPr>
          <w:p>
            <w:pPr>
              <w:jc w:val="center"/>
              <w:ind w:right="140"/>
              <w:spacing w:after="0" w:line="155" w:lineRule="exact"/>
              <w:rPr>
                <w:sz w:val="20"/>
                <w:szCs w:val="20"/>
                <w:color w:val="auto"/>
              </w:rPr>
            </w:pPr>
            <w:r>
              <w:rPr>
                <w:rFonts w:ascii="Arial" w:cs="Arial" w:eastAsia="Arial" w:hAnsi="Arial"/>
                <w:sz w:val="16"/>
                <w:szCs w:val="16"/>
                <w:b w:val="1"/>
                <w:bCs w:val="1"/>
                <w:color w:val="auto"/>
              </w:rPr>
              <w:t>Latin America</w:t>
            </w: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As of September 30, 2022</w:t>
            </w:r>
          </w:p>
        </w:tc>
        <w:tc>
          <w:tcPr>
            <w:tcW w:w="4440" w:type="dxa"/>
            <w:vAlign w:val="bottom"/>
            <w:gridSpan w:val="2"/>
          </w:tcPr>
          <w:p>
            <w:pPr>
              <w:jc w:val="right"/>
              <w:spacing w:after="0"/>
              <w:rPr>
                <w:sz w:val="20"/>
                <w:szCs w:val="20"/>
                <w:color w:val="auto"/>
              </w:rPr>
            </w:pPr>
            <w:r>
              <w:rPr>
                <w:rFonts w:ascii="Arial" w:cs="Arial" w:eastAsia="Arial" w:hAnsi="Arial"/>
                <w:sz w:val="16"/>
                <w:szCs w:val="16"/>
                <w:color w:val="auto"/>
              </w:rPr>
              <w:t>515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6"/>
                <w:szCs w:val="16"/>
                <w:color w:val="auto"/>
              </w:rPr>
              <w:t>New locations opened</w:t>
            </w:r>
          </w:p>
        </w:tc>
        <w:tc>
          <w:tcPr>
            <w:tcW w:w="444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6"/>
                <w:szCs w:val="16"/>
                <w:color w:val="auto"/>
              </w:rPr>
              <w:t>Locations acquired</w:t>
            </w:r>
          </w:p>
        </w:tc>
        <w:tc>
          <w:tcPr>
            <w:tcW w:w="444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Locations sold, combined or closed</w:t>
            </w:r>
          </w:p>
        </w:tc>
        <w:tc>
          <w:tcPr>
            <w:tcW w:w="4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As of September 30, 2023</w:t>
            </w:r>
          </w:p>
        </w:tc>
        <w:tc>
          <w:tcPr>
            <w:tcW w:w="4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529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0"/>
        </w:trPr>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500" w:type="dxa"/>
            <w:vAlign w:val="bottom"/>
            <w:tcBorders>
              <w:bottom w:val="single" w:sz="8" w:color="auto"/>
            </w:tcBorders>
            <w:gridSpan w:val="10"/>
          </w:tcPr>
          <w:p>
            <w:pPr>
              <w:jc w:val="center"/>
              <w:ind w:right="20"/>
              <w:spacing w:after="0"/>
              <w:rPr>
                <w:sz w:val="20"/>
                <w:szCs w:val="20"/>
                <w:color w:val="auto"/>
              </w:rPr>
            </w:pPr>
            <w:r>
              <w:rPr>
                <w:rFonts w:ascii="Arial" w:cs="Arial" w:eastAsia="Arial" w:hAnsi="Arial"/>
                <w:sz w:val="16"/>
                <w:szCs w:val="16"/>
                <w:b w:val="1"/>
                <w:bCs w:val="1"/>
                <w:color w:val="auto"/>
              </w:rPr>
              <w:t>Twelve Months Ended September 30, 2022</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540" w:type="dxa"/>
            <w:vAlign w:val="bottom"/>
            <w:gridSpan w:val="4"/>
          </w:tcPr>
          <w:p>
            <w:pPr>
              <w:jc w:val="center"/>
              <w:ind w:right="140"/>
              <w:spacing w:after="0" w:line="155" w:lineRule="exact"/>
              <w:rPr>
                <w:sz w:val="20"/>
                <w:szCs w:val="20"/>
                <w:color w:val="auto"/>
              </w:rPr>
            </w:pPr>
            <w:r>
              <w:rPr>
                <w:rFonts w:ascii="Arial" w:cs="Arial" w:eastAsia="Arial" w:hAnsi="Arial"/>
                <w:sz w:val="16"/>
                <w:szCs w:val="16"/>
                <w:b w:val="1"/>
                <w:bCs w:val="1"/>
                <w:color w:val="auto"/>
              </w:rPr>
              <w:t>Latin America</w:t>
            </w: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As of September 30, 2021</w:t>
            </w:r>
          </w:p>
        </w:tc>
        <w:tc>
          <w:tcPr>
            <w:tcW w:w="4440" w:type="dxa"/>
            <w:vAlign w:val="bottom"/>
            <w:gridSpan w:val="2"/>
          </w:tcPr>
          <w:p>
            <w:pPr>
              <w:jc w:val="right"/>
              <w:spacing w:after="0"/>
              <w:rPr>
                <w:sz w:val="20"/>
                <w:szCs w:val="20"/>
                <w:color w:val="auto"/>
              </w:rPr>
            </w:pPr>
            <w:r>
              <w:rPr>
                <w:rFonts w:ascii="Arial" w:cs="Arial" w:eastAsia="Arial" w:hAnsi="Arial"/>
                <w:sz w:val="16"/>
                <w:szCs w:val="16"/>
                <w:color w:val="auto"/>
              </w:rPr>
              <w:t>516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6"/>
                <w:szCs w:val="16"/>
                <w:color w:val="auto"/>
              </w:rPr>
              <w:t>New locations opened</w:t>
            </w:r>
          </w:p>
        </w:tc>
        <w:tc>
          <w:tcPr>
            <w:tcW w:w="3020" w:type="dxa"/>
            <w:vAlign w:val="bottom"/>
          </w:tcPr>
          <w:p>
            <w:pPr>
              <w:spacing w:after="0"/>
              <w:rPr>
                <w:sz w:val="18"/>
                <w:szCs w:val="18"/>
                <w:color w:val="auto"/>
              </w:rPr>
            </w:pPr>
          </w:p>
        </w:tc>
        <w:tc>
          <w:tcPr>
            <w:tcW w:w="154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6"/>
                <w:szCs w:val="16"/>
                <w:color w:val="auto"/>
              </w:rPr>
              <w:t>Locations acquired</w:t>
            </w:r>
          </w:p>
        </w:tc>
        <w:tc>
          <w:tcPr>
            <w:tcW w:w="444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Locations sold, combined or closed</w:t>
            </w:r>
          </w:p>
        </w:tc>
        <w:tc>
          <w:tcPr>
            <w:tcW w:w="4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As of September 30, 2022</w:t>
            </w:r>
          </w:p>
        </w:tc>
        <w:tc>
          <w:tcPr>
            <w:tcW w:w="4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3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twelve months ended September 30, 2023 and 2022 were as follows: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400" w:type="dxa"/>
            <w:vAlign w:val="bottom"/>
            <w:gridSpan w:val="4"/>
            <w:vMerge w:val="restart"/>
          </w:tcPr>
          <w:p>
            <w:pPr>
              <w:ind w:left="600"/>
              <w:spacing w:after="0"/>
              <w:rPr>
                <w:sz w:val="20"/>
                <w:szCs w:val="20"/>
                <w:color w:val="auto"/>
              </w:rPr>
            </w:pPr>
            <w:r>
              <w:rPr>
                <w:rFonts w:ascii="Arial" w:cs="Arial" w:eastAsia="Arial" w:hAnsi="Arial"/>
                <w:sz w:val="16"/>
                <w:szCs w:val="16"/>
                <w:b w:val="1"/>
                <w:bCs w:val="1"/>
                <w:color w:val="auto"/>
              </w:rPr>
              <w:t>September 30,</w:t>
            </w:r>
          </w:p>
        </w:tc>
        <w:tc>
          <w:tcPr>
            <w:tcW w:w="24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230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400" w:type="dxa"/>
            <w:vAlign w:val="bottom"/>
            <w:gridSpan w:val="4"/>
            <w:vMerge w:val="continue"/>
          </w:tcPr>
          <w:p>
            <w:pPr>
              <w:spacing w:after="0"/>
              <w:rPr>
                <w:sz w:val="18"/>
                <w:szCs w:val="18"/>
                <w:color w:val="auto"/>
              </w:rPr>
            </w:pPr>
          </w:p>
        </w:tc>
        <w:tc>
          <w:tcPr>
            <w:tcW w:w="24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September 30,</w:t>
            </w:r>
          </w:p>
        </w:tc>
        <w:tc>
          <w:tcPr>
            <w:tcW w:w="230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44"/>
        </w:trPr>
        <w:tc>
          <w:tcPr>
            <w:tcW w:w="4120" w:type="dxa"/>
            <w:vAlign w:val="bottom"/>
          </w:tcPr>
          <w:p>
            <w:pPr>
              <w:spacing w:after="0"/>
              <w:rPr>
                <w:sz w:val="20"/>
                <w:szCs w:val="20"/>
                <w:color w:val="auto"/>
              </w:rPr>
            </w:pPr>
            <w:r>
              <w:rPr>
                <w:rFonts w:ascii="Arial" w:cs="Arial" w:eastAsia="Arial" w:hAnsi="Arial"/>
                <w:sz w:val="16"/>
                <w:szCs w:val="16"/>
                <w:color w:val="auto"/>
              </w:rPr>
              <w:t>Mexican peso</w:t>
            </w:r>
          </w:p>
        </w:tc>
        <w:tc>
          <w:tcPr>
            <w:tcW w:w="110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Guatemalan quetzal</w:t>
            </w:r>
          </w:p>
        </w:tc>
        <w:tc>
          <w:tcPr>
            <w:tcW w:w="110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Honduran lempira</w:t>
            </w:r>
          </w:p>
        </w:tc>
        <w:tc>
          <w:tcPr>
            <w:tcW w:w="110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Australian dollar</w:t>
            </w: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Our statement of operations constant currency results reflect the monthly exchange rate fluctuations and so are not directly calculable from the above rates. Constant currency results, where presented, also exclude the foreign currency gain or loss.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34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4"/>
          </w:tcPr>
          <w:p>
            <w:pPr>
              <w:jc w:val="right"/>
              <w:spacing w:after="0"/>
              <w:rPr>
                <w:sz w:val="20"/>
                <w:szCs w:val="20"/>
                <w:color w:val="auto"/>
              </w:rPr>
            </w:pPr>
            <w:r>
              <w:rPr>
                <w:rFonts w:ascii="Arial" w:cs="Arial" w:eastAsia="Arial" w:hAnsi="Arial"/>
                <w:sz w:val="16"/>
                <w:szCs w:val="16"/>
                <w:b w:val="1"/>
                <w:bCs w:val="1"/>
                <w:color w:val="auto"/>
              </w:rPr>
              <w:t>Twelve Months Ended</w:t>
            </w:r>
          </w:p>
        </w:tc>
        <w:tc>
          <w:tcPr>
            <w:tcW w:w="480" w:type="dxa"/>
            <w:vAlign w:val="bottom"/>
          </w:tcPr>
          <w:p>
            <w:pPr>
              <w:spacing w:after="0"/>
              <w:rPr>
                <w:sz w:val="16"/>
                <w:szCs w:val="16"/>
                <w:color w:val="auto"/>
              </w:rPr>
            </w:pPr>
          </w:p>
        </w:tc>
      </w:tr>
      <w:tr>
        <w:trPr>
          <w:trHeight w:val="216"/>
        </w:trPr>
        <w:tc>
          <w:tcPr>
            <w:tcW w:w="5600" w:type="dxa"/>
            <w:vAlign w:val="bottom"/>
          </w:tcPr>
          <w:p>
            <w:pPr>
              <w:spacing w:after="0"/>
              <w:rPr>
                <w:sz w:val="18"/>
                <w:szCs w:val="18"/>
                <w:color w:val="auto"/>
              </w:rPr>
            </w:pPr>
          </w:p>
        </w:tc>
        <w:tc>
          <w:tcPr>
            <w:tcW w:w="23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Borders>
              <w:bottom w:val="single" w:sz="8" w:color="auto"/>
            </w:tcBorders>
          </w:tcPr>
          <w:p>
            <w:pPr>
              <w:spacing w:after="0"/>
              <w:rPr>
                <w:sz w:val="18"/>
                <w:szCs w:val="18"/>
                <w:color w:val="auto"/>
              </w:rPr>
            </w:pPr>
          </w:p>
        </w:tc>
      </w:tr>
      <w:tr>
        <w:trPr>
          <w:trHeight w:val="210"/>
        </w:trPr>
        <w:tc>
          <w:tcPr>
            <w:tcW w:w="560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r>
      <w:tr>
        <w:trPr>
          <w:trHeight w:val="244"/>
        </w:trPr>
        <w:tc>
          <w:tcPr>
            <w:tcW w:w="56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1"/>
                <w:szCs w:val="21"/>
                <w:color w:val="auto"/>
              </w:rPr>
            </w:pP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1"/>
                <w:szCs w:val="21"/>
                <w:color w:val="auto"/>
              </w:rPr>
            </w:pP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21"/>
                <w:szCs w:val="21"/>
                <w:color w:val="auto"/>
              </w:rPr>
            </w:pP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16"/>
        </w:trPr>
        <w:tc>
          <w:tcPr>
            <w:tcW w:w="56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6"/>
        </w:trPr>
        <w:tc>
          <w:tcPr>
            <w:tcW w:w="56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6"/>
        </w:trPr>
        <w:tc>
          <w:tcPr>
            <w:tcW w:w="56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19"/>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r>
      <w:tr>
        <w:trPr>
          <w:trHeight w:val="209"/>
        </w:trPr>
        <w:tc>
          <w:tcPr>
            <w:tcW w:w="56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EBITDA</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109.1</w:t>
            </w:r>
          </w:p>
        </w:tc>
      </w:tr>
    </w:tbl>
    <w:p>
      <w:pPr>
        <w:sectPr>
          <w:pgSz w:w="11900" w:h="16838" w:orient="portrait"/>
          <w:cols w:equalWidth="0" w:num="1">
            <w:col w:w="11240"/>
          </w:cols>
          <w:pgMar w:left="320" w:top="1089"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Total</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Gross Profit</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1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Net Income</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80" w:type="dxa"/>
            <w:vAlign w:val="bottom"/>
          </w:tcPr>
          <w:p>
            <w:pPr>
              <w:spacing w:after="0"/>
              <w:rPr>
                <w:sz w:val="16"/>
                <w:szCs w:val="16"/>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Revenues</w:t>
            </w:r>
          </w:p>
        </w:tc>
        <w:tc>
          <w:tcPr>
            <w:tcW w:w="114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60" w:type="dxa"/>
            <w:vAlign w:val="bottom"/>
          </w:tcPr>
          <w:p>
            <w:pPr>
              <w:ind w:left="20"/>
              <w:spacing w:after="0"/>
              <w:rPr>
                <w:sz w:val="20"/>
                <w:szCs w:val="20"/>
                <w:color w:val="auto"/>
              </w:rPr>
            </w:pPr>
            <w:r>
              <w:rPr>
                <w:rFonts w:ascii="Arial" w:cs="Arial" w:eastAsia="Arial" w:hAnsi="Arial"/>
                <w:sz w:val="16"/>
                <w:szCs w:val="16"/>
                <w:color w:val="auto"/>
              </w:rPr>
              <w:t>2023 Q4 Reported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270.5</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159.4</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6"/>
                <w:szCs w:val="16"/>
                <w:color w:val="auto"/>
              </w:rPr>
              <w:t>Corporate office impairment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6"/>
                <w:szCs w:val="16"/>
                <w:color w:val="auto"/>
              </w:rPr>
              <w:t>Investment impairment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6"/>
                <w:szCs w:val="16"/>
                <w:color w:val="auto"/>
              </w:rPr>
              <w:t>CCV discrete adjustments</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6"/>
                <w:szCs w:val="16"/>
                <w:color w:val="auto"/>
              </w:rPr>
              <w:t>FX impact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Constant currency impact</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2023 Q4 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154.6</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Total</w:t>
            </w:r>
          </w:p>
        </w:tc>
        <w:tc>
          <w:tcPr>
            <w:tcW w:w="11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Gross Profit</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1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Net Income</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80" w:type="dxa"/>
            <w:vAlign w:val="bottom"/>
          </w:tcPr>
          <w:p>
            <w:pPr>
              <w:spacing w:after="0"/>
              <w:rPr>
                <w:sz w:val="16"/>
                <w:szCs w:val="16"/>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114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60" w:type="dxa"/>
            <w:vAlign w:val="bottom"/>
          </w:tcPr>
          <w:p>
            <w:pPr>
              <w:ind w:left="20"/>
              <w:spacing w:after="0"/>
              <w:rPr>
                <w:sz w:val="20"/>
                <w:szCs w:val="20"/>
                <w:color w:val="auto"/>
              </w:rPr>
            </w:pPr>
            <w:r>
              <w:rPr>
                <w:rFonts w:ascii="Arial" w:cs="Arial" w:eastAsia="Arial" w:hAnsi="Arial"/>
                <w:sz w:val="16"/>
                <w:szCs w:val="16"/>
                <w:color w:val="auto"/>
              </w:rPr>
              <w:t>2023 Full Year Reported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1,049.0</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609.8</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21"/>
                <w:szCs w:val="21"/>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0.53</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171"/>
        </w:trPr>
        <w:tc>
          <w:tcPr>
            <w:tcW w:w="3060" w:type="dxa"/>
            <w:vAlign w:val="bottom"/>
          </w:tcPr>
          <w:p>
            <w:pPr>
              <w:ind w:left="20"/>
              <w:spacing w:after="0" w:line="171" w:lineRule="exact"/>
              <w:rPr>
                <w:sz w:val="20"/>
                <w:szCs w:val="20"/>
                <w:color w:val="auto"/>
              </w:rPr>
            </w:pPr>
            <w:r>
              <w:rPr>
                <w:rFonts w:ascii="Arial" w:cs="Arial" w:eastAsia="Arial" w:hAnsi="Arial"/>
                <w:sz w:val="16"/>
                <w:szCs w:val="16"/>
                <w:color w:val="auto"/>
              </w:rPr>
              <w:t>CCV impairment and discrete</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07"/>
        </w:trPr>
        <w:tc>
          <w:tcPr>
            <w:tcW w:w="306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6"/>
                <w:szCs w:val="16"/>
                <w:color w:val="auto"/>
              </w:rPr>
              <w:t>Investment impairment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6"/>
                <w:szCs w:val="16"/>
                <w:color w:val="auto"/>
              </w:rPr>
              <w:t>Debt extinguishment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6"/>
                <w:szCs w:val="16"/>
                <w:color w:val="auto"/>
              </w:rPr>
              <w:t>Corporate office impairment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6"/>
                <w:szCs w:val="16"/>
                <w:color w:val="auto"/>
              </w:rPr>
              <w:t>Contingent consideration liability</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6"/>
                <w:szCs w:val="16"/>
                <w:color w:val="auto"/>
              </w:rPr>
              <w:t>Effect of convertible debt dilution</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6"/>
                <w:szCs w:val="16"/>
                <w:color w:val="auto"/>
              </w:rPr>
              <w:t>FX impact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9"/>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Constant currency impact</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2023 Full Year 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598.0</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0.92</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bl>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Total</w:t>
            </w:r>
          </w:p>
        </w:tc>
        <w:tc>
          <w:tcPr>
            <w:tcW w:w="11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Gross Profit</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Net</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60" w:type="dxa"/>
            <w:vAlign w:val="bottom"/>
          </w:tcPr>
          <w:p>
            <w:pPr>
              <w:spacing w:after="0"/>
              <w:rPr>
                <w:sz w:val="16"/>
                <w:szCs w:val="16"/>
                <w:color w:val="auto"/>
              </w:rPr>
            </w:pPr>
          </w:p>
        </w:tc>
        <w:tc>
          <w:tcPr>
            <w:tcW w:w="8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114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Income</w:t>
            </w:r>
          </w:p>
        </w:tc>
        <w:tc>
          <w:tcPr>
            <w:tcW w:w="11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ind w:left="20"/>
              <w:spacing w:after="0"/>
              <w:rPr>
                <w:sz w:val="20"/>
                <w:szCs w:val="20"/>
                <w:color w:val="auto"/>
              </w:rPr>
            </w:pPr>
            <w:r>
              <w:rPr>
                <w:rFonts w:ascii="Arial" w:cs="Arial" w:eastAsia="Arial" w:hAnsi="Arial"/>
                <w:sz w:val="16"/>
                <w:szCs w:val="16"/>
                <w:color w:val="auto"/>
              </w:rPr>
              <w:t>2022</w:t>
            </w:r>
          </w:p>
        </w:tc>
        <w:tc>
          <w:tcPr>
            <w:tcW w:w="260" w:type="dxa"/>
            <w:vAlign w:val="bottom"/>
          </w:tcPr>
          <w:p>
            <w:pPr>
              <w:ind w:left="40"/>
              <w:spacing w:after="0"/>
              <w:rPr>
                <w:sz w:val="20"/>
                <w:szCs w:val="20"/>
                <w:color w:val="auto"/>
              </w:rPr>
            </w:pPr>
            <w:r>
              <w:rPr>
                <w:rFonts w:ascii="Arial" w:cs="Arial" w:eastAsia="Arial" w:hAnsi="Arial"/>
                <w:sz w:val="16"/>
                <w:szCs w:val="16"/>
                <w:color w:val="auto"/>
                <w:w w:val="93"/>
              </w:rPr>
              <w:t>Q4</w:t>
            </w:r>
          </w:p>
        </w:tc>
        <w:tc>
          <w:tcPr>
            <w:tcW w:w="2380" w:type="dxa"/>
            <w:vAlign w:val="bottom"/>
          </w:tcPr>
          <w:p>
            <w:pPr>
              <w:ind w:left="40"/>
              <w:spacing w:after="0"/>
              <w:rPr>
                <w:sz w:val="20"/>
                <w:szCs w:val="20"/>
                <w:color w:val="auto"/>
              </w:rPr>
            </w:pPr>
            <w:r>
              <w:rPr>
                <w:rFonts w:ascii="Arial" w:cs="Arial" w:eastAsia="Arial" w:hAnsi="Arial"/>
                <w:sz w:val="16"/>
                <w:szCs w:val="16"/>
                <w:color w:val="auto"/>
              </w:rPr>
              <w:t>Reported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233.4</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137.6</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center"/>
              <w:ind w:left="439"/>
              <w:spacing w:after="0"/>
              <w:rPr>
                <w:sz w:val="20"/>
                <w:szCs w:val="20"/>
                <w:color w:val="auto"/>
              </w:rPr>
            </w:pPr>
            <w:r>
              <w:rPr>
                <w:rFonts w:ascii="Arial" w:cs="Arial" w:eastAsia="Arial" w:hAnsi="Arial"/>
                <w:sz w:val="16"/>
                <w:szCs w:val="16"/>
                <w:color w:val="auto"/>
                <w:w w:val="98"/>
              </w:rPr>
              <w:t>5.9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9"/>
        </w:trPr>
        <w:tc>
          <w:tcPr>
            <w:tcW w:w="30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Tax Impact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2022</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93"/>
              </w:rPr>
              <w:t>Q4</w:t>
            </w:r>
          </w:p>
        </w:tc>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137.6</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w w:val="98"/>
              </w:rPr>
              <w:t>2.4</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Gross Profit</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1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Net Income</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80" w:type="dxa"/>
            <w:vAlign w:val="bottom"/>
          </w:tcPr>
          <w:p>
            <w:pPr>
              <w:spacing w:after="0"/>
              <w:rPr>
                <w:sz w:val="16"/>
                <w:szCs w:val="16"/>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114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40" w:type="dxa"/>
            <w:vAlign w:val="bottom"/>
          </w:tcPr>
          <w:p>
            <w:pPr>
              <w:ind w:left="20"/>
              <w:spacing w:after="0"/>
              <w:rPr>
                <w:sz w:val="20"/>
                <w:szCs w:val="20"/>
                <w:color w:val="auto"/>
              </w:rPr>
            </w:pPr>
            <w:r>
              <w:rPr>
                <w:rFonts w:ascii="Arial" w:cs="Arial" w:eastAsia="Arial" w:hAnsi="Arial"/>
                <w:sz w:val="16"/>
                <w:szCs w:val="16"/>
                <w:color w:val="auto"/>
              </w:rPr>
              <w:t>2022 Full Year Reported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886.2</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528.1</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Litigation Accrual</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CCV adjustment for impairment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Tax impact</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2022 Full Year Adjusted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528.1</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9"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34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rPr>
              <w:t>September 30, 2023</w:t>
            </w:r>
          </w:p>
        </w:tc>
        <w:tc>
          <w:tcPr>
            <w:tcW w:w="120" w:type="dxa"/>
            <w:vAlign w:val="bottom"/>
          </w:tcPr>
          <w:p>
            <w:pPr>
              <w:spacing w:after="0"/>
              <w:rPr>
                <w:sz w:val="18"/>
                <w:szCs w:val="18"/>
                <w:color w:val="auto"/>
              </w:rPr>
            </w:pPr>
          </w:p>
        </w:tc>
        <w:tc>
          <w:tcPr>
            <w:tcW w:w="234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September 30, 2023</w:t>
            </w:r>
          </w:p>
        </w:tc>
        <w:tc>
          <w:tcPr>
            <w:tcW w:w="0" w:type="dxa"/>
            <w:vAlign w:val="bottom"/>
          </w:tcPr>
          <w:p>
            <w:pPr>
              <w:spacing w:after="0"/>
              <w:rPr>
                <w:sz w:val="1"/>
                <w:szCs w:val="1"/>
                <w:color w:val="auto"/>
              </w:rPr>
            </w:pPr>
          </w:p>
        </w:tc>
      </w:tr>
      <w:tr>
        <w:trPr>
          <w:trHeight w:val="155"/>
        </w:trPr>
        <w:tc>
          <w:tcPr>
            <w:tcW w:w="59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U.S. Dollar</w:t>
            </w:r>
          </w:p>
        </w:tc>
        <w:tc>
          <w:tcPr>
            <w:tcW w:w="12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Percentage</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U.S. Dollar</w:t>
            </w:r>
          </w:p>
        </w:tc>
        <w:tc>
          <w:tcPr>
            <w:tcW w:w="1240" w:type="dxa"/>
            <w:vAlign w:val="bottom"/>
            <w:tcBorders>
              <w:top w:val="single" w:sz="8" w:color="auto"/>
            </w:tcBorders>
          </w:tcPr>
          <w:p>
            <w:pPr>
              <w:jc w:val="right"/>
              <w:ind w:right="99"/>
              <w:spacing w:after="0" w:line="155" w:lineRule="exact"/>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16"/>
        </w:trPr>
        <w:tc>
          <w:tcPr>
            <w:tcW w:w="5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Amount</w:t>
            </w: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Change YOY</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Change YOY</w:t>
            </w:r>
          </w:p>
        </w:tc>
        <w:tc>
          <w:tcPr>
            <w:tcW w:w="0" w:type="dxa"/>
            <w:vAlign w:val="bottom"/>
          </w:tcPr>
          <w:p>
            <w:pPr>
              <w:spacing w:after="0"/>
              <w:rPr>
                <w:sz w:val="1"/>
                <w:szCs w:val="1"/>
                <w:color w:val="auto"/>
              </w:rPr>
            </w:pPr>
          </w:p>
        </w:tc>
      </w:tr>
      <w:tr>
        <w:trPr>
          <w:trHeight w:val="244"/>
        </w:trPr>
        <w:tc>
          <w:tcPr>
            <w:tcW w:w="5940" w:type="dxa"/>
            <w:vAlign w:val="bottom"/>
          </w:tcPr>
          <w:p>
            <w:pPr>
              <w:ind w:left="20"/>
              <w:spacing w:after="0"/>
              <w:rPr>
                <w:sz w:val="20"/>
                <w:szCs w:val="20"/>
                <w:color w:val="auto"/>
              </w:rPr>
            </w:pPr>
            <w:r>
              <w:rPr>
                <w:rFonts w:ascii="Arial" w:cs="Arial" w:eastAsia="Arial" w:hAnsi="Arial"/>
                <w:sz w:val="16"/>
                <w:szCs w:val="16"/>
                <w:color w:val="auto"/>
              </w:rPr>
              <w:t>Consolidated revenue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270.5</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4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1,049.0</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261.4</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47"/>
        </w:trPr>
        <w:tc>
          <w:tcPr>
            <w:tcW w:w="5940" w:type="dxa"/>
            <w:vAlign w:val="bottom"/>
          </w:tcPr>
          <w:p>
            <w:pPr>
              <w:ind w:left="20"/>
              <w:spacing w:after="0"/>
              <w:rPr>
                <w:sz w:val="20"/>
                <w:szCs w:val="20"/>
                <w:color w:val="auto"/>
              </w:rPr>
            </w:pPr>
            <w:r>
              <w:rPr>
                <w:rFonts w:ascii="Arial" w:cs="Arial" w:eastAsia="Arial" w:hAnsi="Arial"/>
                <w:sz w:val="16"/>
                <w:szCs w:val="16"/>
                <w:color w:val="auto"/>
              </w:rPr>
              <w:t>Consolidated gross profit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159.4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609.8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gross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154.6</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598.0</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47"/>
        </w:trPr>
        <w:tc>
          <w:tcPr>
            <w:tcW w:w="5940" w:type="dxa"/>
            <w:vAlign w:val="bottom"/>
          </w:tcPr>
          <w:p>
            <w:pPr>
              <w:ind w:left="20"/>
              <w:spacing w:after="0"/>
              <w:rPr>
                <w:sz w:val="20"/>
                <w:szCs w:val="20"/>
                <w:color w:val="auto"/>
              </w:rPr>
            </w:pPr>
            <w:r>
              <w:rPr>
                <w:rFonts w:ascii="Arial" w:cs="Arial" w:eastAsia="Arial" w:hAnsi="Arial"/>
                <w:sz w:val="16"/>
                <w:szCs w:val="16"/>
                <w:color w:val="auto"/>
              </w:rPr>
              <w:t>Consolidated net inventory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166.5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166.5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net inventory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88"/>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gross profit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24 %</w:t>
            </w:r>
          </w:p>
        </w:tc>
        <w:tc>
          <w:tcPr>
            <w:tcW w:w="4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153.4</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gross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47"/>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PLO</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PLO</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47"/>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PSC revenues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97.9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PSC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47"/>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merchandise sales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182.9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merchandise sales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167.8</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47"/>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segment profit before tax</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segment profit before tax</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5"/>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4"/>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jpeg"/><Relationship Id="rId10" Type="http://schemas.openxmlformats.org/officeDocument/2006/relationships/hyperlink" Target="https://www.sec.gov/Archives/edgar/data/876523/000087652323000045/a2023-q4lpgukemploymentc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2023-11-15T15:46:53Z</dcterms:created>
  <dcterms:modified xsi:type="dcterms:W3CDTF">2023-11-15T15:46:53Z</dcterms:modified>
</cp:coreProperties>
</file>