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pPr>
      <w:hyperlink w:anchor="s6341541F7667DB742175CD29235C3997">
        <w:bookmarkStart w:id="0" w:name="s37BB2AE6474375F87C8FCD28FC344BC8"/>
        <w:bookmarkStart w:id="1" w:name="ezpw-06302013x10q.htm"/>
        <w:bookmarkStart w:id="2" w:name="ksezpw06302013x10q"/>
        <w:bookmarkEnd w:id="0"/>
        <w:bookmarkEnd w:id="1"/>
        <w:bookmarkEnd w:id="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b/>
          <w:sz w:val="30"/>
        </w:rPr>
      </w:pPr>
      <w:r>
        <w:rPr>
          <w:rFonts w:ascii="inherit" w:hAnsi="inherit"/>
          <w:b/>
          <w:sz w:val="30"/>
        </w:rPr>
        <w:t>FORM 10-Q</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tbl>
      <w:tblPr>
        <w:tblW w:w="10205" w:type="dxa"/>
        <w:jc w:val="left"/>
        <w:tblInd w:w="0" w:type="dxa"/>
        <w:tblCellMar>
          <w:top w:w="0" w:type="dxa"/>
          <w:left w:w="0" w:type="dxa"/>
          <w:bottom w:w="0" w:type="dxa"/>
          <w:right w:w="0" w:type="dxa"/>
        </w:tblCellMar>
      </w:tblPr>
      <w:tblGrid>
        <w:gridCol w:w="529"/>
        <w:gridCol w:w="9676"/>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529" w:type="dxa"/>
            <w:tcBorders/>
            <w:shd w:fill="auto" w:val="clear"/>
            <w:vAlign w:val="center"/>
          </w:tcPr>
          <w:p>
            <w:pPr>
              <w:pStyle w:val="TableContents"/>
              <w:spacing w:before="0" w:after="283"/>
              <w:rPr>
                <w:sz w:val="4"/>
                <w:szCs w:val="4"/>
              </w:rPr>
            </w:pPr>
            <w:r>
              <w:rPr>
                <w:sz w:val="4"/>
                <w:szCs w:val="4"/>
              </w:rPr>
            </w:r>
          </w:p>
        </w:tc>
        <w:tc>
          <w:tcPr>
            <w:tcW w:w="96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9" w:type="dxa"/>
            <w:tcBorders/>
            <w:shd w:fill="auto" w:val="clear"/>
            <w:vAlign w:val="center"/>
          </w:tcPr>
          <w:p>
            <w:pPr>
              <w:pStyle w:val="TableContents"/>
              <w:spacing w:before="0" w:after="0"/>
              <w:ind w:left="0" w:right="0" w:firstLine="30"/>
              <w:jc w:val="left"/>
              <w:rPr>
                <w:rFonts w:ascii="Wingdings" w:hAnsi="Wingdings"/>
                <w:sz w:val="20"/>
              </w:rPr>
            </w:pPr>
            <w:r>
              <w:rPr>
                <w:rFonts w:ascii="Wingdings" w:hAnsi="Wingdings"/>
                <w:sz w:val="20"/>
              </w:rPr>
              <w:t>x</w:t>
            </w:r>
          </w:p>
        </w:tc>
        <w:tc>
          <w:tcPr>
            <w:tcW w:w="9676" w:type="dxa"/>
            <w:tcBorders/>
            <w:shd w:fill="auto" w:val="clear"/>
            <w:vAlign w:val="center"/>
          </w:tcPr>
          <w:p>
            <w:pPr>
              <w:pStyle w:val="TableContents"/>
              <w:spacing w:before="0" w:after="0"/>
              <w:jc w:val="left"/>
              <w:rPr>
                <w:rFonts w:ascii="inherit" w:hAnsi="inherit"/>
                <w:b/>
                <w:sz w:val="20"/>
              </w:rPr>
            </w:pPr>
            <w:r>
              <w:rPr>
                <w:rFonts w:ascii="inherit" w:hAnsi="inherit"/>
                <w:b/>
                <w:sz w:val="20"/>
              </w:rPr>
              <w:t>QUARTERLY REPORT PURSUANT TO SECTION 13 OR 15(d) OF THE SECURITIES EXCHANGE ACT OF 1934</w:t>
            </w:r>
          </w:p>
        </w:tc>
      </w:tr>
    </w:tbl>
    <w:p>
      <w:pPr>
        <w:pStyle w:val="TextBody"/>
        <w:spacing w:lineRule="auto" w:line="288" w:before="0" w:after="0"/>
        <w:jc w:val="center"/>
        <w:rPr>
          <w:sz w:val="17"/>
        </w:rPr>
      </w:pPr>
      <w:r>
        <w:rPr>
          <w:rFonts w:ascii="inherit" w:hAnsi="inherit"/>
          <w:b/>
          <w:sz w:val="17"/>
        </w:rPr>
        <w:t xml:space="preserve">For the quarterly period ended </w:t>
      </w:r>
      <w:r>
        <w:rPr>
          <w:rFonts w:ascii="inherit" w:hAnsi="inherit"/>
          <w:b/>
          <w:strike w:val="false"/>
          <w:dstrike w:val="false"/>
          <w:color w:val="000000"/>
          <w:sz w:val="17"/>
          <w:u w:val="none"/>
          <w:effect w:val="none"/>
        </w:rPr>
        <w:t>June 30, 2013</w:t>
      </w:r>
      <w:r>
        <w:rPr>
          <w:sz w:val="17"/>
        </w:rPr>
        <w:t xml:space="preserve"> </w:t>
      </w:r>
    </w:p>
    <w:p>
      <w:pPr>
        <w:pStyle w:val="TextBody"/>
        <w:spacing w:lineRule="auto" w:line="288" w:before="0" w:after="0"/>
        <w:jc w:val="center"/>
        <w:rPr>
          <w:sz w:val="20"/>
        </w:rPr>
      </w:pPr>
      <w:r>
        <w:rPr>
          <w:rFonts w:ascii="inherit" w:hAnsi="inherit"/>
          <w:b/>
          <w:sz w:val="17"/>
        </w:rPr>
        <w:t>or</w:t>
      </w:r>
      <w:r>
        <w:rPr>
          <w:sz w:val="20"/>
        </w:rPr>
        <w:t> </w:t>
      </w:r>
    </w:p>
    <w:tbl>
      <w:tblPr>
        <w:tblW w:w="10205" w:type="dxa"/>
        <w:jc w:val="center"/>
        <w:tblInd w:w="0" w:type="dxa"/>
        <w:tblCellMar>
          <w:top w:w="0" w:type="dxa"/>
          <w:left w:w="0" w:type="dxa"/>
          <w:bottom w:w="0" w:type="dxa"/>
          <w:right w:w="0" w:type="dxa"/>
        </w:tblCellMar>
      </w:tblPr>
      <w:tblGrid>
        <w:gridCol w:w="544"/>
        <w:gridCol w:w="966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544" w:type="dxa"/>
            <w:tcBorders/>
            <w:shd w:fill="auto" w:val="clear"/>
            <w:vAlign w:val="center"/>
          </w:tcPr>
          <w:p>
            <w:pPr>
              <w:pStyle w:val="TableContents"/>
              <w:spacing w:before="0" w:after="283"/>
              <w:rPr>
                <w:sz w:val="4"/>
                <w:szCs w:val="4"/>
              </w:rPr>
            </w:pPr>
            <w:r>
              <w:rPr>
                <w:sz w:val="4"/>
                <w:szCs w:val="4"/>
              </w:rPr>
            </w:r>
          </w:p>
        </w:tc>
        <w:tc>
          <w:tcPr>
            <w:tcW w:w="96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4" w:type="dxa"/>
            <w:tcBorders/>
            <w:shd w:fill="auto" w:val="clear"/>
            <w:vAlign w:val="center"/>
          </w:tcPr>
          <w:p>
            <w:pPr>
              <w:pStyle w:val="TableContents"/>
              <w:spacing w:before="0" w:after="0"/>
              <w:ind w:left="0" w:right="0" w:firstLine="30"/>
              <w:jc w:val="left"/>
              <w:rPr/>
            </w:pPr>
            <w:r>
              <w:rPr/>
              <w:t>☐</w:t>
            </w:r>
          </w:p>
        </w:tc>
        <w:tc>
          <w:tcPr>
            <w:tcW w:w="9661" w:type="dxa"/>
            <w:tcBorders/>
            <w:shd w:fill="auto" w:val="clear"/>
            <w:vAlign w:val="center"/>
          </w:tcPr>
          <w:p>
            <w:pPr>
              <w:pStyle w:val="TableContents"/>
              <w:spacing w:before="0" w:after="0"/>
              <w:jc w:val="left"/>
              <w:rPr>
                <w:rFonts w:ascii="inherit" w:hAnsi="inherit"/>
                <w:b/>
                <w:sz w:val="20"/>
              </w:rPr>
            </w:pPr>
            <w:r>
              <w:rPr>
                <w:rFonts w:ascii="inherit" w:hAnsi="inherit"/>
                <w:b/>
                <w:sz w:val="20"/>
              </w:rPr>
              <w:t>TRANSITION REPORT PURSUANT TO SECTION 13 OR 15(d) OF THE SECURITIES EXCHANGE ACT OF 1934</w:t>
            </w:r>
          </w:p>
        </w:tc>
      </w:tr>
    </w:tbl>
    <w:p>
      <w:pPr>
        <w:pStyle w:val="TextBody"/>
        <w:spacing w:lineRule="auto" w:line="288" w:before="0" w:after="0"/>
        <w:jc w:val="center"/>
        <w:rPr>
          <w:sz w:val="17"/>
        </w:rPr>
      </w:pPr>
      <w:r>
        <w:rPr>
          <w:rFonts w:ascii="inherit" w:hAnsi="inherit"/>
          <w:b/>
          <w:sz w:val="17"/>
        </w:rPr>
        <w:t xml:space="preserve">For the transition period from </w:t>
      </w:r>
      <w:r>
        <w:rPr>
          <w:sz w:val="17"/>
          <w:u w:val="single"/>
        </w:rPr>
        <w:t>                    </w:t>
      </w:r>
      <w:r>
        <w:rPr>
          <w:sz w:val="17"/>
        </w:rPr>
        <w:t xml:space="preserve"> </w:t>
      </w:r>
      <w:r>
        <w:rPr>
          <w:rFonts w:ascii="inherit" w:hAnsi="inherit"/>
          <w:b/>
          <w:sz w:val="17"/>
        </w:rPr>
        <w:t xml:space="preserve">to </w:t>
      </w:r>
      <w:r>
        <w:rPr>
          <w:sz w:val="17"/>
          <w:u w:val="single"/>
        </w:rPr>
        <w:t>                        </w:t>
      </w:r>
    </w:p>
    <w:p>
      <w:pPr>
        <w:pStyle w:val="TextBody"/>
        <w:spacing w:lineRule="auto" w:line="288" w:before="0" w:after="0"/>
        <w:jc w:val="center"/>
        <w:rPr>
          <w:rFonts w:ascii="inherit" w:hAnsi="inherit"/>
          <w:b/>
          <w:sz w:val="17"/>
        </w:rPr>
      </w:pPr>
      <w:r>
        <w:rPr>
          <w:rFonts w:ascii="inherit" w:hAnsi="inherit"/>
          <w:b/>
          <w:sz w:val="17"/>
        </w:rPr>
        <w:t>Commission File No. 0-19424</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b/>
          <w:sz w:val="37"/>
        </w:rPr>
      </w:pPr>
      <w:r>
        <w:rPr>
          <w:rFonts w:ascii="inherit" w:hAnsi="inherit"/>
          <w:b/>
          <w:sz w:val="37"/>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tbl>
      <w:tblPr>
        <w:tblW w:w="5930" w:type="dxa"/>
        <w:jc w:val="left"/>
        <w:tblInd w:w="0" w:type="dxa"/>
        <w:tblCellMar>
          <w:top w:w="0" w:type="dxa"/>
          <w:left w:w="0" w:type="dxa"/>
          <w:bottom w:w="0" w:type="dxa"/>
          <w:right w:w="0" w:type="dxa"/>
        </w:tblCellMar>
      </w:tblPr>
      <w:tblGrid>
        <w:gridCol w:w="2965"/>
        <w:gridCol w:w="2965"/>
      </w:tblGrid>
      <w:tr>
        <w:trPr/>
        <w:tc>
          <w:tcPr>
            <w:tcW w:w="5930" w:type="dxa"/>
            <w:gridSpan w:val="2"/>
            <w:tcBorders/>
            <w:shd w:fill="auto" w:val="clear"/>
            <w:vAlign w:val="center"/>
          </w:tcPr>
          <w:p>
            <w:pPr>
              <w:pStyle w:val="TableContents"/>
              <w:spacing w:before="0" w:after="283"/>
              <w:rPr>
                <w:sz w:val="4"/>
                <w:szCs w:val="4"/>
              </w:rPr>
            </w:pPr>
            <w:r>
              <w:rPr>
                <w:sz w:val="4"/>
                <w:szCs w:val="4"/>
              </w:rPr>
            </w:r>
          </w:p>
        </w:tc>
      </w:tr>
      <w:tr>
        <w:trPr/>
        <w:tc>
          <w:tcPr>
            <w:tcW w:w="2965" w:type="dxa"/>
            <w:tcBorders/>
            <w:shd w:fill="auto" w:val="clear"/>
            <w:vAlign w:val="center"/>
          </w:tcPr>
          <w:p>
            <w:pPr>
              <w:pStyle w:val="TableContents"/>
              <w:spacing w:before="0" w:after="283"/>
              <w:rPr>
                <w:sz w:val="4"/>
                <w:szCs w:val="4"/>
              </w:rPr>
            </w:pPr>
            <w:r>
              <w:rPr>
                <w:sz w:val="4"/>
                <w:szCs w:val="4"/>
              </w:rPr>
            </w:r>
          </w:p>
        </w:tc>
        <w:tc>
          <w:tcPr>
            <w:tcW w:w="29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 of</w:t>
            </w:r>
          </w:p>
          <w:p>
            <w:pPr>
              <w:pStyle w:val="TableContents"/>
              <w:spacing w:before="0" w:after="0"/>
              <w:ind w:left="0" w:right="0" w:firstLine="30"/>
              <w:jc w:val="center"/>
              <w:rPr>
                <w:rFonts w:ascii="inherit" w:hAnsi="inherit"/>
                <w:b/>
                <w:sz w:val="13"/>
              </w:rPr>
            </w:pPr>
            <w:r>
              <w:rPr>
                <w:rFonts w:ascii="inherit" w:hAnsi="inherit"/>
                <w:b/>
                <w:sz w:val="13"/>
              </w:rPr>
              <w:t>incorporation or organization)</w:t>
            </w:r>
          </w:p>
        </w:tc>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ind w:left="0" w:right="0" w:firstLine="30"/>
              <w:jc w:val="center"/>
              <w:rPr>
                <w:rFonts w:ascii="inherit" w:hAnsi="inherit"/>
                <w:b/>
                <w:sz w:val="13"/>
              </w:rPr>
            </w:pPr>
            <w:r>
              <w:rPr>
                <w:rFonts w:ascii="inherit" w:hAnsi="inherit"/>
                <w:b/>
                <w:sz w:val="13"/>
              </w:rPr>
              <w:t>Identification No.)</w:t>
            </w:r>
          </w:p>
        </w:tc>
      </w:tr>
      <w:tr>
        <w:trPr/>
        <w:tc>
          <w:tcPr>
            <w:tcW w:w="2965" w:type="dxa"/>
            <w:tcBorders/>
            <w:shd w:fill="auto" w:val="clear"/>
            <w:vAlign w:val="center"/>
          </w:tcPr>
          <w:p>
            <w:pPr>
              <w:pStyle w:val="TableContents"/>
              <w:spacing w:before="0" w:after="0"/>
              <w:ind w:left="0" w:right="0" w:firstLine="30"/>
              <w:rPr/>
            </w:pPr>
            <w:r>
              <w:rPr/>
              <w:t> </w:t>
            </w:r>
          </w:p>
        </w:tc>
        <w:tc>
          <w:tcPr>
            <w:tcW w:w="2965" w:type="dxa"/>
            <w:tcBorders/>
            <w:shd w:fill="auto" w:val="clear"/>
            <w:vAlign w:val="center"/>
          </w:tcPr>
          <w:p>
            <w:pPr>
              <w:pStyle w:val="TableContents"/>
              <w:spacing w:before="0" w:after="0"/>
              <w:ind w:left="0" w:right="0" w:firstLine="30"/>
              <w:rPr/>
            </w:pPr>
            <w:r>
              <w:rPr/>
              <w:t> </w:t>
            </w:r>
          </w:p>
        </w:tc>
      </w:tr>
      <w:tr>
        <w:trPr/>
        <w:tc>
          <w:tcPr>
            <w:tcW w:w="2965" w:type="dxa"/>
            <w:tcBorders/>
            <w:shd w:fill="auto" w:val="clear"/>
            <w:vAlign w:val="center"/>
          </w:tcPr>
          <w:p>
            <w:pPr>
              <w:pStyle w:val="TableContents"/>
              <w:spacing w:before="0" w:after="0"/>
              <w:jc w:val="center"/>
              <w:rPr>
                <w:rFonts w:ascii="inherit" w:hAnsi="inherit"/>
                <w:b/>
                <w:sz w:val="17"/>
              </w:rPr>
            </w:pPr>
            <w:r>
              <w:rPr>
                <w:rFonts w:ascii="inherit" w:hAnsi="inherit"/>
                <w:b/>
                <w:sz w:val="17"/>
              </w:rPr>
              <w:t>1901 Capital Parkway</w:t>
            </w:r>
          </w:p>
          <w:p>
            <w:pPr>
              <w:pStyle w:val="TableContents"/>
              <w:spacing w:before="0" w:after="0"/>
              <w:ind w:left="0" w:right="0" w:firstLine="30"/>
              <w:jc w:val="center"/>
              <w:rPr>
                <w:rFonts w:ascii="inherit" w:hAnsi="inherit"/>
                <w:b/>
                <w:sz w:val="17"/>
              </w:rPr>
            </w:pPr>
            <w:r>
              <w:rPr>
                <w:rFonts w:ascii="inherit" w:hAnsi="inherit"/>
                <w:b/>
                <w:sz w:val="17"/>
              </w:rPr>
              <w:t>Austin, Texas</w:t>
            </w:r>
          </w:p>
        </w:tc>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78746</w:t>
            </w:r>
          </w:p>
        </w:tc>
      </w:tr>
      <w:tr>
        <w:trPr/>
        <w:tc>
          <w:tcPr>
            <w:tcW w:w="296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(Address of principal executive offices)</w:t>
            </w:r>
          </w:p>
        </w:tc>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(Zip Code)</w:t>
            </w:r>
          </w:p>
        </w:tc>
      </w:tr>
    </w:tbl>
    <w:p>
      <w:pPr>
        <w:pStyle w:val="TextBody"/>
        <w:spacing w:lineRule="auto" w:line="288" w:before="0" w:after="0"/>
        <w:jc w:val="center"/>
        <w:rPr>
          <w:rFonts w:ascii="inherit" w:hAnsi="inherit"/>
          <w:b/>
          <w:sz w:val="17"/>
        </w:rPr>
      </w:pPr>
      <w:r>
        <w:rPr>
          <w:rFonts w:ascii="inherit" w:hAnsi="inherit"/>
          <w:b/>
          <w:sz w:val="17"/>
        </w:rPr>
        <w:t>(512) 314-3400</w:t>
      </w:r>
    </w:p>
    <w:p>
      <w:pPr>
        <w:pStyle w:val="TextBody"/>
        <w:spacing w:lineRule="auto" w:line="288" w:before="0" w:after="0"/>
        <w:jc w:val="center"/>
        <w:rPr>
          <w:rFonts w:ascii="inherit" w:hAnsi="inherit"/>
          <w:b/>
          <w:sz w:val="13"/>
        </w:rPr>
      </w:pPr>
      <w:r>
        <w:rPr>
          <w:rFonts w:ascii="inherit" w:hAnsi="inherit"/>
          <w:b/>
          <w:sz w:val="13"/>
        </w:rPr>
        <w:t>Registrant’s telephone number, including area code:</w:t>
      </w:r>
    </w:p>
    <w:tbl>
      <w:tblPr>
        <w:tblW w:w="321" w:type="dxa"/>
        <w:jc w:val="center"/>
        <w:tblInd w:w="0" w:type="dxa"/>
        <w:tblCellMar>
          <w:top w:w="0" w:type="dxa"/>
          <w:left w:w="0" w:type="dxa"/>
          <w:bottom w:w="0" w:type="dxa"/>
          <w:right w:w="0" w:type="dxa"/>
        </w:tblCellMar>
      </w:tblPr>
      <w:tblGrid>
        <w:gridCol w:w="106"/>
        <w:gridCol w:w="106"/>
        <w:gridCol w:w="109"/>
      </w:tblGrid>
      <w:tr>
        <w:trPr/>
        <w:tc>
          <w:tcPr>
            <w:tcW w:w="321" w:type="dxa"/>
            <w:gridSpan w:val="3"/>
            <w:tcBorders/>
            <w:shd w:fill="auto" w:val="clear"/>
            <w:vAlign w:val="center"/>
          </w:tcPr>
          <w:p>
            <w:pPr>
              <w:pStyle w:val="TableContents"/>
              <w:spacing w:before="0" w:after="283"/>
              <w:rPr>
                <w:sz w:val="4"/>
                <w:szCs w:val="4"/>
              </w:rPr>
            </w:pPr>
            <w:r>
              <w:rPr>
                <w:sz w:val="4"/>
                <w:szCs w:val="4"/>
              </w:rPr>
            </w:r>
          </w:p>
        </w:tc>
      </w:tr>
      <w:tr>
        <w:trPr/>
        <w:tc>
          <w:tcPr>
            <w:tcW w:w="10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6" w:type="dxa"/>
            <w:tcBorders/>
            <w:shd w:fill="auto" w:val="clear"/>
            <w:vAlign w:val="center"/>
          </w:tcPr>
          <w:p>
            <w:pPr>
              <w:pStyle w:val="TableContents"/>
              <w:spacing w:before="0" w:after="0"/>
              <w:ind w:left="0" w:right="0" w:firstLine="30"/>
              <w:rPr/>
            </w:pPr>
            <w:r>
              <w:rPr/>
              <w:t> </w:t>
            </w:r>
          </w:p>
        </w:tc>
        <w:tc>
          <w:tcPr>
            <w:tcW w:w="10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rPr>
          <w:sz w:val="20"/>
        </w:rPr>
      </w:pPr>
      <w:r>
        <w:rPr>
          <w:rFonts w:ascii="inherit" w:hAnsi="inherit"/>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x</w:t>
      </w:r>
      <w:r>
        <w:rPr>
          <w:sz w:val="20"/>
        </w:rPr>
        <w:t>    </w:t>
      </w:r>
      <w:r>
        <w:rPr>
          <w:rFonts w:ascii="inherit" w:hAnsi="inherit"/>
          <w:sz w:val="17"/>
        </w:rPr>
        <w:t>No  </w:t>
      </w:r>
      <w:r>
        <w:rPr>
          <w:sz w:val="20"/>
        </w:rPr>
        <w:t>☐</w:t>
      </w:r>
    </w:p>
    <w:p>
      <w:pPr>
        <w:pStyle w:val="TextBody"/>
        <w:spacing w:lineRule="auto" w:line="288" w:before="0" w:after="0"/>
        <w:rPr>
          <w:sz w:val="20"/>
        </w:rPr>
      </w:pPr>
      <w:r>
        <w:rPr>
          <w:rFonts w:ascii="inherit" w:hAnsi="inherit"/>
          <w:sz w:val="17"/>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x</w:t>
      </w:r>
      <w:r>
        <w:rPr>
          <w:sz w:val="20"/>
        </w:rPr>
        <w:t>    </w:t>
      </w:r>
      <w:r>
        <w:rPr>
          <w:rFonts w:ascii="inherit" w:hAnsi="inherit"/>
          <w:sz w:val="17"/>
        </w:rPr>
        <w:t>No  </w:t>
      </w:r>
      <w:r>
        <w:rPr>
          <w:sz w:val="20"/>
        </w:rPr>
        <w:t>☐</w:t>
      </w:r>
    </w:p>
    <w:p>
      <w:pPr>
        <w:pStyle w:val="TextBody"/>
        <w:spacing w:lineRule="auto" w:line="288" w:before="0" w:after="0"/>
        <w:rPr>
          <w:rFonts w:ascii="inherit" w:hAnsi="inherit"/>
          <w:sz w:val="17"/>
        </w:rPr>
      </w:pPr>
      <w:r>
        <w:rPr>
          <w:rFonts w:ascii="inherit" w:hAnsi="inherit"/>
          <w:sz w:val="17"/>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tbl>
      <w:tblPr>
        <w:tblW w:w="10205" w:type="dxa"/>
        <w:jc w:val="left"/>
        <w:tblInd w:w="0" w:type="dxa"/>
        <w:tblCellMar>
          <w:top w:w="0" w:type="dxa"/>
          <w:left w:w="0" w:type="dxa"/>
          <w:bottom w:w="0" w:type="dxa"/>
          <w:right w:w="0" w:type="dxa"/>
        </w:tblCellMar>
      </w:tblPr>
      <w:tblGrid>
        <w:gridCol w:w="2261"/>
        <w:gridCol w:w="4154"/>
        <w:gridCol w:w="3379"/>
        <w:gridCol w:w="411"/>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2261" w:type="dxa"/>
            <w:tcBorders/>
            <w:shd w:fill="auto" w:val="clear"/>
            <w:vAlign w:val="center"/>
          </w:tcPr>
          <w:p>
            <w:pPr>
              <w:pStyle w:val="TableContents"/>
              <w:spacing w:before="0" w:after="283"/>
              <w:rPr>
                <w:sz w:val="4"/>
                <w:szCs w:val="4"/>
              </w:rPr>
            </w:pPr>
            <w:r>
              <w:rPr>
                <w:sz w:val="4"/>
                <w:szCs w:val="4"/>
              </w:rPr>
            </w:r>
          </w:p>
        </w:tc>
        <w:tc>
          <w:tcPr>
            <w:tcW w:w="4154" w:type="dxa"/>
            <w:tcBorders/>
            <w:shd w:fill="auto" w:val="clear"/>
            <w:vAlign w:val="center"/>
          </w:tcPr>
          <w:p>
            <w:pPr>
              <w:pStyle w:val="TableContents"/>
              <w:spacing w:before="0" w:after="283"/>
              <w:rPr>
                <w:sz w:val="4"/>
                <w:szCs w:val="4"/>
              </w:rPr>
            </w:pPr>
            <w:r>
              <w:rPr>
                <w:sz w:val="4"/>
                <w:szCs w:val="4"/>
              </w:rPr>
            </w:r>
          </w:p>
        </w:tc>
        <w:tc>
          <w:tcPr>
            <w:tcW w:w="337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Large accelerated filer</w:t>
            </w:r>
          </w:p>
        </w:tc>
        <w:tc>
          <w:tcPr>
            <w:tcW w:w="4154"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c>
          <w:tcPr>
            <w:tcW w:w="3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Accelerated filer</w:t>
            </w:r>
          </w:p>
        </w:tc>
        <w:tc>
          <w:tcPr>
            <w:tcW w:w="411" w:type="dxa"/>
            <w:tcBorders/>
            <w:shd w:fill="auto" w:val="clear"/>
            <w:vAlign w:val="center"/>
          </w:tcPr>
          <w:p>
            <w:pPr>
              <w:pStyle w:val="TableContents"/>
              <w:spacing w:before="0" w:after="0"/>
              <w:ind w:left="0" w:right="0" w:firstLine="30"/>
              <w:jc w:val="left"/>
              <w:rPr/>
            </w:pPr>
            <w:r>
              <w:rPr/>
              <w:t>☐</w:t>
            </w:r>
          </w:p>
        </w:tc>
      </w:tr>
      <w:tr>
        <w:trPr/>
        <w:tc>
          <w:tcPr>
            <w:tcW w:w="2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Non-accelerated filer</w:t>
            </w:r>
          </w:p>
        </w:tc>
        <w:tc>
          <w:tcPr>
            <w:tcW w:w="4154" w:type="dxa"/>
            <w:tcBorders/>
            <w:shd w:fill="auto" w:val="clear"/>
            <w:vAlign w:val="center"/>
          </w:tcPr>
          <w:p>
            <w:pPr>
              <w:pStyle w:val="TableContents"/>
              <w:spacing w:before="0" w:after="0"/>
              <w:ind w:left="0" w:right="0" w:firstLine="30"/>
              <w:rPr/>
            </w:pPr>
            <w:r>
              <w:rPr/>
              <w:t>☐  </w:t>
            </w:r>
            <w:r>
              <w:rPr>
                <w:rFonts w:ascii="inherit" w:hAnsi="inherit"/>
                <w:sz w:val="17"/>
              </w:rPr>
              <w:t>(Do not check if a smaller reporting company)</w:t>
            </w:r>
          </w:p>
        </w:tc>
        <w:tc>
          <w:tcPr>
            <w:tcW w:w="3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Smaller reporting company</w:t>
            </w:r>
          </w:p>
        </w:tc>
        <w:tc>
          <w:tcPr>
            <w:tcW w:w="411" w:type="dxa"/>
            <w:tcBorders/>
            <w:shd w:fill="auto" w:val="clear"/>
            <w:vAlign w:val="center"/>
          </w:tcPr>
          <w:p>
            <w:pPr>
              <w:pStyle w:val="TableContents"/>
              <w:spacing w:before="0" w:after="0"/>
              <w:jc w:val="left"/>
              <w:rPr/>
            </w:pPr>
            <w:r>
              <w:rPr/>
              <w:t>☐</w:t>
            </w:r>
          </w:p>
        </w:tc>
      </w:tr>
    </w:tbl>
    <w:p>
      <w:pPr>
        <w:pStyle w:val="TextBody"/>
        <w:spacing w:lineRule="auto" w:line="288" w:before="0" w:after="0"/>
        <w:rPr>
          <w:sz w:val="20"/>
        </w:rPr>
      </w:pPr>
      <w:r>
        <w:rPr>
          <w:rFonts w:ascii="inherit" w:hAnsi="inherit"/>
          <w:sz w:val="17"/>
        </w:rPr>
        <w:t>Indicate by check mark whether the registrant is a shell company (as defined in Rule 12b-2 of the Exchange Act).    Yes  </w:t>
      </w:r>
      <w:r>
        <w:rPr>
          <w:sz w:val="20"/>
        </w:rPr>
        <w:t>☐    </w:t>
      </w:r>
      <w:r>
        <w:rPr>
          <w:rFonts w:ascii="inherit" w:hAnsi="inherit"/>
          <w:sz w:val="17"/>
        </w:rPr>
        <w:t>No  </w:t>
      </w:r>
      <w:r>
        <w:rPr>
          <w:rFonts w:ascii="Wingdings" w:hAnsi="Wingdings"/>
          <w:sz w:val="20"/>
        </w:rPr>
        <w:t>x</w:t>
      </w:r>
    </w:p>
    <w:p>
      <w:pPr>
        <w:pStyle w:val="TextBody"/>
        <w:spacing w:lineRule="auto" w:line="288" w:before="0" w:after="0"/>
        <w:jc w:val="center"/>
        <w:rPr>
          <w:rFonts w:ascii="inherit" w:hAnsi="inherit"/>
          <w:sz w:val="17"/>
        </w:rPr>
      </w:pPr>
      <w:r>
        <w:rPr>
          <w:rFonts w:ascii="inherit" w:hAnsi="inherit"/>
          <w:sz w:val="17"/>
        </w:rPr>
        <w:t>APPLICABLE ONLY TO CORPORATE ISSUERS:</w:t>
      </w:r>
    </w:p>
    <w:p>
      <w:pPr>
        <w:pStyle w:val="TextBody"/>
        <w:spacing w:lineRule="auto" w:line="288" w:before="0" w:after="0"/>
        <w:rPr>
          <w:rFonts w:ascii="inherit" w:hAnsi="inherit"/>
          <w:sz w:val="17"/>
        </w:rPr>
      </w:pPr>
      <w:r>
        <w:rPr>
          <w:rFonts w:ascii="inherit" w:hAnsi="inherit"/>
          <w:sz w:val="17"/>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spacing w:lineRule="auto" w:line="288" w:before="0" w:after="0"/>
        <w:rPr>
          <w:sz w:val="17"/>
        </w:rPr>
      </w:pPr>
      <w:r>
        <w:rPr>
          <w:rFonts w:ascii="inherit" w:hAnsi="inherit"/>
          <w:sz w:val="17"/>
        </w:rPr>
        <w:t xml:space="preserve">As of </w:t>
      </w:r>
      <w:r>
        <w:rPr>
          <w:rFonts w:ascii="inherit" w:hAnsi="inherit"/>
          <w:strike w:val="false"/>
          <w:dstrike w:val="false"/>
          <w:color w:val="000000"/>
          <w:sz w:val="17"/>
          <w:u w:val="none"/>
          <w:effect w:val="none"/>
        </w:rPr>
        <w:t>June 30, 2013</w:t>
      </w:r>
      <w:r>
        <w:rPr>
          <w:rFonts w:ascii="inherit" w:hAnsi="inherit"/>
          <w:sz w:val="17"/>
        </w:rPr>
        <w:t>, 51,230,843 shares of the registrant’s Class A Non-voting Common Stock, par value $.01 per share, and 2,970,171 shares of the registrant’s Class B Voting Common Stock, par value $.01 per share, were outstanding.</w:t>
      </w:r>
    </w:p>
    <w:p>
      <w:pPr>
        <w:pStyle w:val="TextBody"/>
        <w:rPr/>
      </w:pPr>
      <w:r>
        <w:rPr/>
      </w:r>
      <w:r>
        <w:br w:type="page"/>
      </w:r>
    </w:p>
    <w:p>
      <w:pPr>
        <w:pStyle w:val="TextBody"/>
        <w:spacing w:lineRule="auto" w:line="288" w:before="0" w:after="0"/>
        <w:rPr/>
      </w:pPr>
      <w:hyperlink w:anchor="s6341541F7667DB742175CD29235C3997">
        <w:bookmarkStart w:id="3" w:name="s6341541F7667DB742175CD29235C3997"/>
        <w:bookmarkEnd w:id="3"/>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sz w:val="17"/>
        </w:rPr>
      </w:pPr>
      <w:r>
        <w:rPr>
          <w:rFonts w:ascii="inherit" w:hAnsi="inherit"/>
          <w:b/>
          <w:sz w:val="17"/>
        </w:rPr>
        <w:t>EZCORP, I</w:t>
      </w:r>
      <w:r>
        <w:rPr>
          <w:rFonts w:ascii="inherit" w:hAnsi="inherit"/>
          <w:b/>
          <w:sz w:val="13"/>
        </w:rPr>
        <w:t>NC</w:t>
      </w:r>
      <w:r>
        <w:rPr>
          <w:rFonts w:ascii="inherit" w:hAnsi="inherit"/>
          <w:b/>
          <w:sz w:val="17"/>
        </w:rPr>
        <w:t>.</w:t>
      </w:r>
    </w:p>
    <w:p>
      <w:pPr>
        <w:pStyle w:val="TextBody"/>
        <w:spacing w:lineRule="auto" w:line="288" w:before="0" w:after="0"/>
        <w:jc w:val="center"/>
        <w:rPr>
          <w:rFonts w:ascii="inherit" w:hAnsi="inherit"/>
          <w:b/>
          <w:sz w:val="17"/>
        </w:rPr>
      </w:pPr>
      <w:r>
        <w:rPr>
          <w:rFonts w:ascii="inherit" w:hAnsi="inherit"/>
          <w:b/>
          <w:sz w:val="17"/>
        </w:rPr>
        <w:t>INDEX TO FORM 10-Q</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9042"/>
        <w:gridCol w:w="1163"/>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9042"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42" w:type="dxa"/>
            <w:tcBorders/>
            <w:shd w:fill="auto" w:val="clear"/>
            <w:vAlign w:val="center"/>
          </w:tcPr>
          <w:p>
            <w:pPr>
              <w:pStyle w:val="TableContents"/>
              <w:spacing w:before="0" w:after="0"/>
              <w:ind w:left="0" w:right="0" w:firstLine="30"/>
              <w:rPr/>
            </w:pPr>
            <w:hyperlink w:anchor="sE83F31A8833016B6C47ECD29237D7179">
              <w:r>
                <w:rPr>
                  <w:rStyle w:val="InternetLink"/>
                  <w:rFonts w:ascii="inherit" w:hAnsi="inherit"/>
                  <w:color w:val="0000FF"/>
                  <w:sz w:val="17"/>
                  <w:u w:val="single"/>
                </w:rPr>
                <w:t>PART I. FINANCIAL INFORMATION</w:t>
              </w:r>
            </w:hyperlink>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4D8D9EAB84997800BCD2CD2923B07455">
              <w:r>
                <w:rPr>
                  <w:rStyle w:val="InternetLink"/>
                  <w:rFonts w:ascii="inherit" w:hAnsi="inherit"/>
                  <w:i/>
                  <w:color w:val="0000FF"/>
                  <w:sz w:val="17"/>
                  <w:u w:val="single"/>
                </w:rPr>
                <w:t>Item 1. Financial Statements and Supplementary Data (Unaudited)</w:t>
              </w:r>
            </w:hyperlink>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EB0C4F0CFA280B2C17CACD28FA3967EA">
              <w:r>
                <w:rPr>
                  <w:rStyle w:val="InternetLink"/>
                  <w:rFonts w:ascii="inherit" w:hAnsi="inherit"/>
                  <w:color w:val="0000FF"/>
                  <w:sz w:val="17"/>
                  <w:u w:val="single"/>
                </w:rPr>
                <w:t>Condensed Consolidated Balance Sheets as of June 30, 2013, June 30, 2012 and September 30, 2012</w:t>
              </w:r>
            </w:hyperlink>
          </w:p>
        </w:tc>
        <w:tc>
          <w:tcPr>
            <w:tcW w:w="1163" w:type="dxa"/>
            <w:tcBorders/>
            <w:shd w:fill="auto" w:val="clear"/>
            <w:vAlign w:val="center"/>
          </w:tcPr>
          <w:p>
            <w:pPr>
              <w:pStyle w:val="TableContents"/>
              <w:spacing w:before="0" w:after="0"/>
              <w:ind w:left="0" w:right="0" w:firstLine="30"/>
              <w:jc w:val="right"/>
              <w:rPr/>
            </w:pPr>
            <w:hyperlink w:anchor="sEB0C4F0CFA280B2C17CACD28FA3967EA">
              <w:r>
                <w:rPr>
                  <w:rStyle w:val="InternetLink"/>
                  <w:rFonts w:ascii="Times New Roman" w:hAnsi="Times New Roman"/>
                  <w:color w:val="0000FF"/>
                  <w:sz w:val="17"/>
                  <w:u w:val="single"/>
                </w:rPr>
                <w:t>1</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jc w:val="left"/>
              <w:rPr/>
            </w:pPr>
            <w:hyperlink w:anchor="s399332163ADD26B0FEB4CD28FA5CAE7E">
              <w:r>
                <w:rPr>
                  <w:rStyle w:val="InternetLink"/>
                  <w:rFonts w:ascii="inherit" w:hAnsi="inherit"/>
                  <w:b w:val="false"/>
                  <w:i w:val="false"/>
                  <w:caps w:val="false"/>
                  <w:smallCaps w:val="false"/>
                  <w:color w:val="0000FF"/>
                  <w:sz w:val="17"/>
                  <w:u w:val="single"/>
                </w:rPr>
                <w:t>Condensed Consolidated Statements of Operations for the Three Months and Nine Months Ended June 30, 2013 and 201</w:t>
              </w:r>
            </w:hyperlink>
            <w:r>
              <w:rPr>
                <w:rFonts w:ascii="inherit" w:hAnsi="inherit"/>
                <w:color w:val="0000FF"/>
                <w:sz w:val="17"/>
                <w:u w:val="single"/>
              </w:rPr>
              <w:t>2</w:t>
            </w:r>
          </w:p>
        </w:tc>
        <w:tc>
          <w:tcPr>
            <w:tcW w:w="1163" w:type="dxa"/>
            <w:tcBorders/>
            <w:shd w:fill="auto" w:val="clear"/>
            <w:vAlign w:val="center"/>
          </w:tcPr>
          <w:p>
            <w:pPr>
              <w:pStyle w:val="TableContents"/>
              <w:spacing w:before="0" w:after="0"/>
              <w:ind w:left="0" w:right="0" w:firstLine="30"/>
              <w:jc w:val="right"/>
              <w:rPr/>
            </w:pPr>
            <w:hyperlink w:anchor="s399332163ADD26B0FEB4CD28FA5CAE7E">
              <w:r>
                <w:rPr>
                  <w:rStyle w:val="InternetLink"/>
                  <w:rFonts w:ascii="Times New Roman" w:hAnsi="Times New Roman"/>
                  <w:color w:val="0000FF"/>
                  <w:sz w:val="17"/>
                  <w:u w:val="single"/>
                </w:rPr>
                <w:t>2</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jc w:val="left"/>
              <w:rPr/>
            </w:pPr>
            <w:hyperlink w:anchor="s5E654D330C378FD18673CD28FB033D69">
              <w:r>
                <w:rPr>
                  <w:rStyle w:val="InternetLink"/>
                  <w:rFonts w:ascii="inherit" w:hAnsi="inherit"/>
                  <w:b w:val="false"/>
                  <w:i w:val="false"/>
                  <w:caps w:val="false"/>
                  <w:smallCaps w:val="false"/>
                  <w:color w:val="0000FF"/>
                  <w:sz w:val="17"/>
                  <w:u w:val="single"/>
                </w:rPr>
                <w:t>Condensed Consolidated Statements of Comprehensive Income for the Three Months and Nine Months Ended June 30, 2013 and 201</w:t>
              </w:r>
            </w:hyperlink>
            <w:r>
              <w:rPr>
                <w:rFonts w:ascii="inherit" w:hAnsi="inherit"/>
                <w:color w:val="0000FF"/>
                <w:sz w:val="17"/>
                <w:u w:val="single"/>
              </w:rPr>
              <w:t>2</w:t>
            </w:r>
          </w:p>
        </w:tc>
        <w:tc>
          <w:tcPr>
            <w:tcW w:w="1163" w:type="dxa"/>
            <w:tcBorders/>
            <w:shd w:fill="auto" w:val="clear"/>
            <w:vAlign w:val="center"/>
          </w:tcPr>
          <w:p>
            <w:pPr>
              <w:pStyle w:val="TableContents"/>
              <w:spacing w:before="0" w:after="0"/>
              <w:ind w:left="0" w:right="0" w:firstLine="30"/>
              <w:jc w:val="right"/>
              <w:rPr/>
            </w:pPr>
            <w:hyperlink w:anchor="s5E654D330C378FD18673CD28FB033D69">
              <w:r>
                <w:rPr>
                  <w:rStyle w:val="InternetLink"/>
                  <w:rFonts w:ascii="Times New Roman" w:hAnsi="Times New Roman"/>
                  <w:color w:val="0000FF"/>
                  <w:sz w:val="17"/>
                  <w:u w:val="single"/>
                </w:rPr>
                <w:t>3</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jc w:val="left"/>
              <w:rPr/>
            </w:pPr>
            <w:hyperlink w:anchor="sFA0B078B7353151C4685CD28FA95B308">
              <w:r>
                <w:rPr>
                  <w:rStyle w:val="InternetLink"/>
                  <w:rFonts w:ascii="inherit" w:hAnsi="inherit"/>
                  <w:b w:val="false"/>
                  <w:i w:val="false"/>
                  <w:caps w:val="false"/>
                  <w:smallCaps w:val="false"/>
                  <w:color w:val="0000FF"/>
                  <w:sz w:val="17"/>
                  <w:u w:val="single"/>
                </w:rPr>
                <w:t>Condensed Consolidated Statements of Cash Flows for the Nine Months Ended June 30, 2013 and 201</w:t>
              </w:r>
            </w:hyperlink>
            <w:r>
              <w:rPr>
                <w:rFonts w:ascii="inherit" w:hAnsi="inherit"/>
                <w:color w:val="0000FF"/>
                <w:sz w:val="17"/>
                <w:u w:val="single"/>
              </w:rPr>
              <w:t>2</w:t>
            </w:r>
          </w:p>
        </w:tc>
        <w:tc>
          <w:tcPr>
            <w:tcW w:w="1163" w:type="dxa"/>
            <w:tcBorders/>
            <w:shd w:fill="auto" w:val="clear"/>
            <w:vAlign w:val="center"/>
          </w:tcPr>
          <w:p>
            <w:pPr>
              <w:pStyle w:val="TableContents"/>
              <w:spacing w:before="0" w:after="0"/>
              <w:ind w:left="0" w:right="0" w:firstLine="30"/>
              <w:jc w:val="right"/>
              <w:rPr/>
            </w:pPr>
            <w:hyperlink w:anchor="sFA0B078B7353151C4685CD28FA95B308">
              <w:r>
                <w:rPr>
                  <w:rStyle w:val="InternetLink"/>
                  <w:rFonts w:ascii="Times New Roman" w:hAnsi="Times New Roman"/>
                  <w:color w:val="0000FF"/>
                  <w:sz w:val="17"/>
                  <w:u w:val="single"/>
                </w:rPr>
                <w:t>4</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006917721E6041AE7953CD28FBE2FD32">
              <w:r>
                <w:rPr>
                  <w:rStyle w:val="InternetLink"/>
                </w:rPr>
                <w:t>Condensed Consolidated Statements of Stockholders’ Equity for the Nine Months Ended June 30, 2013 and 201</w:t>
              </w:r>
            </w:hyperlink>
            <w:r>
              <w:rPr>
                <w:rFonts w:ascii="inherit" w:hAnsi="inherit"/>
                <w:color w:val="0000FF"/>
                <w:sz w:val="17"/>
                <w:u w:val="single"/>
              </w:rPr>
              <w:t>2</w:t>
            </w:r>
          </w:p>
        </w:tc>
        <w:tc>
          <w:tcPr>
            <w:tcW w:w="1163" w:type="dxa"/>
            <w:tcBorders/>
            <w:shd w:fill="auto" w:val="clear"/>
            <w:vAlign w:val="center"/>
          </w:tcPr>
          <w:p>
            <w:pPr>
              <w:pStyle w:val="TableContents"/>
              <w:spacing w:before="0" w:after="0"/>
              <w:ind w:left="0" w:right="0" w:firstLine="30"/>
              <w:jc w:val="right"/>
              <w:rPr/>
            </w:pPr>
            <w:hyperlink w:anchor="s006917721E6041AE7953CD28FBE2FD32">
              <w:r>
                <w:rPr>
                  <w:rStyle w:val="InternetLink"/>
                  <w:rFonts w:ascii="Times New Roman" w:hAnsi="Times New Roman"/>
                  <w:color w:val="0000FF"/>
                  <w:sz w:val="17"/>
                  <w:u w:val="single"/>
                </w:rPr>
                <w:t>5</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1EDD17A4DD2164860691CD2926D0F5FC">
              <w:r>
                <w:rPr>
                  <w:rStyle w:val="InternetLink"/>
                  <w:rFonts w:ascii="inherit" w:hAnsi="inherit"/>
                  <w:color w:val="0000FF"/>
                  <w:sz w:val="17"/>
                  <w:u w:val="single"/>
                </w:rPr>
                <w:t>Notes to Interim Condensed Consolidated Financial Statements</w:t>
              </w:r>
            </w:hyperlink>
          </w:p>
        </w:tc>
        <w:tc>
          <w:tcPr>
            <w:tcW w:w="1163" w:type="dxa"/>
            <w:tcBorders/>
            <w:shd w:fill="auto" w:val="clear"/>
            <w:vAlign w:val="center"/>
          </w:tcPr>
          <w:p>
            <w:pPr>
              <w:pStyle w:val="TableContents"/>
              <w:spacing w:before="0" w:after="0"/>
              <w:ind w:left="0" w:right="0" w:firstLine="30"/>
              <w:jc w:val="right"/>
              <w:rPr/>
            </w:pPr>
            <w:hyperlink w:anchor="s1EDD17A4DD2164860691CD2926D0F5FC">
              <w:r>
                <w:rPr>
                  <w:rStyle w:val="InternetLink"/>
                  <w:rFonts w:ascii="Times New Roman" w:hAnsi="Times New Roman"/>
                  <w:color w:val="0000FF"/>
                  <w:sz w:val="17"/>
                  <w:u w:val="single"/>
                </w:rPr>
                <w:t>6</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8A8141E4A2F1E0BD2D0CCD292B4F085B">
              <w:r>
                <w:rPr>
                  <w:rStyle w:val="InternetLink"/>
                  <w:rFonts w:ascii="inherit" w:hAnsi="inherit"/>
                  <w:i/>
                  <w:color w:val="0000FF"/>
                  <w:sz w:val="17"/>
                  <w:u w:val="single"/>
                </w:rPr>
                <w:t>Item 2. Management’s Discussion and Analysis of Financial Condition and Results of Operations</w:t>
              </w:r>
            </w:hyperlink>
          </w:p>
        </w:tc>
        <w:tc>
          <w:tcPr>
            <w:tcW w:w="1163" w:type="dxa"/>
            <w:tcBorders/>
            <w:shd w:fill="auto" w:val="clear"/>
            <w:vAlign w:val="center"/>
          </w:tcPr>
          <w:p>
            <w:pPr>
              <w:pStyle w:val="TableContents"/>
              <w:spacing w:before="0" w:after="0"/>
              <w:ind w:left="0" w:right="0" w:firstLine="30"/>
              <w:jc w:val="right"/>
              <w:rPr/>
            </w:pPr>
            <w:hyperlink w:anchor="s8A8141E4A2F1E0BD2D0CCD292B4F085B">
              <w:r>
                <w:rPr>
                  <w:rStyle w:val="InternetLink"/>
                  <w:rFonts w:ascii="Times New Roman" w:hAnsi="Times New Roman"/>
                  <w:color w:val="0000FF"/>
                  <w:sz w:val="17"/>
                  <w:u w:val="single"/>
                </w:rPr>
                <w:t>49</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3724E22F2CFC82F6A863CD292DE90F52">
              <w:r>
                <w:rPr>
                  <w:rStyle w:val="InternetLink"/>
                  <w:rFonts w:ascii="inherit" w:hAnsi="inherit"/>
                  <w:i/>
                  <w:color w:val="0000FF"/>
                  <w:sz w:val="17"/>
                  <w:u w:val="single"/>
                </w:rPr>
                <w:t>Item 3. Quantitative and Qualitative Disclosures about Market Risk</w:t>
              </w:r>
            </w:hyperlink>
          </w:p>
        </w:tc>
        <w:tc>
          <w:tcPr>
            <w:tcW w:w="1163" w:type="dxa"/>
            <w:tcBorders/>
            <w:shd w:fill="auto" w:val="clear"/>
            <w:vAlign w:val="center"/>
          </w:tcPr>
          <w:p>
            <w:pPr>
              <w:pStyle w:val="TableContents"/>
              <w:spacing w:before="0" w:after="0"/>
              <w:ind w:left="0" w:right="0" w:firstLine="30"/>
              <w:jc w:val="right"/>
              <w:rPr/>
            </w:pPr>
            <w:hyperlink w:anchor="s3724E22F2CFC82F6A863CD292DE90F52">
              <w:r>
                <w:rPr>
                  <w:rStyle w:val="InternetLink"/>
                  <w:rFonts w:ascii="Times New Roman" w:hAnsi="Times New Roman"/>
                  <w:color w:val="0000FF"/>
                  <w:sz w:val="17"/>
                  <w:u w:val="single"/>
                </w:rPr>
                <w:t>74</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BC795A81A71AC2024C94CD292E1B61F4">
              <w:r>
                <w:rPr>
                  <w:rStyle w:val="InternetLink"/>
                  <w:rFonts w:ascii="inherit" w:hAnsi="inherit"/>
                  <w:i/>
                  <w:color w:val="0000FF"/>
                  <w:sz w:val="17"/>
                  <w:u w:val="single"/>
                </w:rPr>
                <w:t>Item 4. Controls and Procedures</w:t>
              </w:r>
            </w:hyperlink>
          </w:p>
        </w:tc>
        <w:tc>
          <w:tcPr>
            <w:tcW w:w="1163" w:type="dxa"/>
            <w:tcBorders/>
            <w:shd w:fill="auto" w:val="clear"/>
            <w:vAlign w:val="center"/>
          </w:tcPr>
          <w:p>
            <w:pPr>
              <w:pStyle w:val="TableContents"/>
              <w:spacing w:before="0" w:after="0"/>
              <w:ind w:left="0" w:right="0" w:firstLine="30"/>
              <w:jc w:val="right"/>
              <w:rPr/>
            </w:pPr>
            <w:hyperlink w:anchor="sBC795A81A71AC2024C94CD292E1B61F4">
              <w:r>
                <w:rPr>
                  <w:rStyle w:val="InternetLink"/>
                  <w:rFonts w:ascii="Times New Roman" w:hAnsi="Times New Roman"/>
                  <w:color w:val="0000FF"/>
                  <w:sz w:val="17"/>
                  <w:u w:val="single"/>
                </w:rPr>
                <w:t>75</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hyperlink w:anchor="s49D8E8C9D23174D2E137CD292E3B47AA">
              <w:r>
                <w:rPr>
                  <w:rStyle w:val="InternetLink"/>
                  <w:rFonts w:ascii="inherit" w:hAnsi="inherit"/>
                  <w:color w:val="0000FF"/>
                  <w:sz w:val="17"/>
                  <w:u w:val="single"/>
                </w:rPr>
                <w:t>PART II. OTHER INFORMATION</w:t>
              </w:r>
            </w:hyperlink>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C2A876B06A6D6C266AECCD292E6E2AF7">
              <w:r>
                <w:rPr>
                  <w:rStyle w:val="InternetLink"/>
                  <w:rFonts w:ascii="inherit" w:hAnsi="inherit"/>
                  <w:i/>
                  <w:color w:val="0000FF"/>
                  <w:sz w:val="17"/>
                  <w:u w:val="single"/>
                </w:rPr>
                <w:t>Item 1. Legal Proceedings</w:t>
              </w:r>
            </w:hyperlink>
          </w:p>
        </w:tc>
        <w:tc>
          <w:tcPr>
            <w:tcW w:w="1163" w:type="dxa"/>
            <w:tcBorders/>
            <w:shd w:fill="auto" w:val="clear"/>
            <w:vAlign w:val="center"/>
          </w:tcPr>
          <w:p>
            <w:pPr>
              <w:pStyle w:val="TableContents"/>
              <w:spacing w:before="0" w:after="0"/>
              <w:ind w:left="0" w:right="0" w:firstLine="30"/>
              <w:jc w:val="right"/>
              <w:rPr/>
            </w:pPr>
            <w:hyperlink w:anchor="sC2A876B06A6D6C266AECCD292E6E2AF7">
              <w:r>
                <w:rPr>
                  <w:rStyle w:val="InternetLink"/>
                  <w:rFonts w:ascii="Times New Roman" w:hAnsi="Times New Roman"/>
                  <w:color w:val="0000FF"/>
                  <w:sz w:val="17"/>
                  <w:u w:val="single"/>
                </w:rPr>
                <w:t>76</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9523B8BB35EA62CF04F7CD292E91F449">
              <w:r>
                <w:rPr>
                  <w:rStyle w:val="InternetLink"/>
                  <w:rFonts w:ascii="inherit" w:hAnsi="inherit"/>
                  <w:i/>
                  <w:color w:val="0000FF"/>
                  <w:sz w:val="17"/>
                  <w:u w:val="single"/>
                </w:rPr>
                <w:t>Item 1A. Risk Factors</w:t>
              </w:r>
            </w:hyperlink>
          </w:p>
        </w:tc>
        <w:tc>
          <w:tcPr>
            <w:tcW w:w="1163" w:type="dxa"/>
            <w:tcBorders/>
            <w:shd w:fill="auto" w:val="clear"/>
            <w:vAlign w:val="center"/>
          </w:tcPr>
          <w:p>
            <w:pPr>
              <w:pStyle w:val="TableContents"/>
              <w:spacing w:before="0" w:after="0"/>
              <w:ind w:left="0" w:right="0" w:firstLine="30"/>
              <w:jc w:val="right"/>
              <w:rPr/>
            </w:pPr>
            <w:hyperlink w:anchor="s9523B8BB35EA62CF04F7CD292E91F449">
              <w:r>
                <w:rPr>
                  <w:rStyle w:val="InternetLink"/>
                  <w:rFonts w:ascii="Times New Roman" w:hAnsi="Times New Roman"/>
                  <w:color w:val="0000FF"/>
                  <w:sz w:val="17"/>
                  <w:u w:val="single"/>
                </w:rPr>
                <w:t>76</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203162E012C2CC6DC6E7CD292EC2FD60">
              <w:r>
                <w:rPr>
                  <w:rStyle w:val="InternetLink"/>
                  <w:rFonts w:ascii="inherit" w:hAnsi="inherit"/>
                  <w:i/>
                  <w:color w:val="0000FF"/>
                  <w:sz w:val="17"/>
                  <w:u w:val="single"/>
                </w:rPr>
                <w:t>Item 6. Exhibits</w:t>
              </w:r>
            </w:hyperlink>
          </w:p>
        </w:tc>
        <w:tc>
          <w:tcPr>
            <w:tcW w:w="1163" w:type="dxa"/>
            <w:tcBorders/>
            <w:shd w:fill="auto" w:val="clear"/>
            <w:vAlign w:val="center"/>
          </w:tcPr>
          <w:p>
            <w:pPr>
              <w:pStyle w:val="TableContents"/>
              <w:spacing w:before="0" w:after="0"/>
              <w:ind w:left="0" w:right="0" w:firstLine="30"/>
              <w:jc w:val="right"/>
              <w:rPr/>
            </w:pPr>
            <w:hyperlink w:anchor="s203162E012C2CC6DC6E7CD292EC2FD60">
              <w:r>
                <w:rPr>
                  <w:rStyle w:val="InternetLink"/>
                  <w:rFonts w:ascii="Times New Roman" w:hAnsi="Times New Roman"/>
                  <w:color w:val="0000FF"/>
                  <w:sz w:val="17"/>
                  <w:u w:val="single"/>
                </w:rPr>
                <w:t>77</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hyperlink w:anchor="sEE817FE57990B867D129CD292EE5F2A8">
              <w:r>
                <w:rPr>
                  <w:rStyle w:val="InternetLink"/>
                  <w:rFonts w:ascii="inherit" w:hAnsi="inherit"/>
                  <w:color w:val="0000FF"/>
                  <w:sz w:val="17"/>
                  <w:u w:val="single"/>
                </w:rPr>
                <w:t>SIGNATURES</w:t>
              </w:r>
            </w:hyperlink>
          </w:p>
        </w:tc>
        <w:tc>
          <w:tcPr>
            <w:tcW w:w="1163" w:type="dxa"/>
            <w:tcBorders/>
            <w:shd w:fill="auto" w:val="clear"/>
            <w:vAlign w:val="center"/>
          </w:tcPr>
          <w:p>
            <w:pPr>
              <w:pStyle w:val="TableContents"/>
              <w:spacing w:before="0" w:after="0"/>
              <w:ind w:left="0" w:right="0" w:firstLine="30"/>
              <w:jc w:val="right"/>
              <w:rPr/>
            </w:pPr>
            <w:hyperlink w:anchor="sEE817FE57990B867D129CD292EE5F2A8">
              <w:r>
                <w:rPr>
                  <w:rStyle w:val="InternetLink"/>
                  <w:rFonts w:ascii="Times New Roman" w:hAnsi="Times New Roman"/>
                  <w:color w:val="0000FF"/>
                  <w:sz w:val="17"/>
                  <w:u w:val="single"/>
                </w:rPr>
                <w:t>78</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hyperlink w:anchor="s86A05101F0A4124C2B34CD292F16C1DC">
              <w:r>
                <w:rPr>
                  <w:rStyle w:val="InternetLink"/>
                  <w:rFonts w:ascii="inherit" w:hAnsi="inherit"/>
                  <w:color w:val="0000FF"/>
                  <w:sz w:val="17"/>
                  <w:u w:val="single"/>
                </w:rPr>
                <w:t>EXHIBIT INDEX</w:t>
              </w:r>
            </w:hyperlink>
          </w:p>
        </w:tc>
        <w:tc>
          <w:tcPr>
            <w:tcW w:w="1163" w:type="dxa"/>
            <w:tcBorders/>
            <w:shd w:fill="auto" w:val="clear"/>
            <w:vAlign w:val="center"/>
          </w:tcPr>
          <w:p>
            <w:pPr>
              <w:pStyle w:val="TableContents"/>
              <w:spacing w:before="0" w:after="0"/>
              <w:jc w:val="right"/>
              <w:rPr/>
            </w:pPr>
            <w:hyperlink w:anchor="s86A05101F0A4124C2B34CD292F16C1DC">
              <w:r>
                <w:rPr>
                  <w:rStyle w:val="InternetLink"/>
                  <w:rFonts w:ascii="Times New Roman" w:hAnsi="Times New Roman"/>
                  <w:color w:val="0000FF"/>
                  <w:sz w:val="17"/>
                  <w:u w:val="single"/>
                </w:rPr>
                <w:t>79</w:t>
              </w:r>
            </w:hyperlink>
          </w:p>
        </w:tc>
      </w:tr>
    </w:tbl>
    <w:p>
      <w:pPr>
        <w:pStyle w:val="TextBody"/>
        <w:rPr/>
      </w:pPr>
      <w:r>
        <w:rPr/>
      </w:r>
      <w:r>
        <w:br w:type="page"/>
      </w:r>
    </w:p>
    <w:p>
      <w:pPr>
        <w:pStyle w:val="TextBody"/>
        <w:spacing w:lineRule="auto" w:line="288" w:before="0" w:after="0"/>
        <w:rPr/>
      </w:pPr>
      <w:hyperlink w:anchor="s6341541F7667DB742175CD29235C3997">
        <w:bookmarkStart w:id="4" w:name="sE83F31A8833016B6C47ECD29237D7179"/>
        <w:bookmarkEnd w:id="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40" w:before="0" w:after="0"/>
        <w:rPr>
          <w:rFonts w:ascii="inherit" w:hAnsi="inherit"/>
          <w:sz w:val="2"/>
        </w:rPr>
      </w:pPr>
      <w:r>
        <w:rPr>
          <w:rFonts w:ascii="inherit" w:hAnsi="inherit"/>
          <w:sz w:val="2"/>
        </w:rPr>
      </w:r>
    </w:p>
    <w:p>
      <w:pPr>
        <w:pStyle w:val="TextBody"/>
        <w:spacing w:lineRule="auto" w:line="288" w:before="0" w:after="0"/>
        <w:rPr>
          <w:rFonts w:ascii="inherit" w:hAnsi="inherit"/>
          <w:b/>
          <w:sz w:val="17"/>
        </w:rPr>
      </w:pPr>
      <w:bookmarkStart w:id="5" w:name="s4D8D9EAB84997800BCD2CD2923B07455"/>
      <w:bookmarkEnd w:id="5"/>
      <w:r>
        <w:rPr>
          <w:rFonts w:ascii="inherit" w:hAnsi="inherit"/>
          <w:b/>
          <w:sz w:val="17"/>
        </w:rPr>
        <w:t>PART I — FINANCIAL INFORMATION</w:t>
      </w:r>
    </w:p>
    <w:p>
      <w:pPr>
        <w:pStyle w:val="TextBody"/>
        <w:spacing w:lineRule="auto" w:line="288" w:before="0" w:after="0"/>
        <w:rPr>
          <w:rFonts w:ascii="inherit" w:hAnsi="inherit"/>
          <w:b/>
          <w:sz w:val="17"/>
        </w:rPr>
      </w:pPr>
      <w:r>
        <w:rPr>
          <w:rFonts w:ascii="inherit" w:hAnsi="inherit"/>
          <w:b/>
          <w:sz w:val="17"/>
        </w:rPr>
        <w:t>Item 1. Financial Statements and Supplementary Data (unaudited)</w:t>
      </w:r>
    </w:p>
    <w:p>
      <w:pPr>
        <w:pStyle w:val="TextBody"/>
        <w:spacing w:lineRule="auto" w:line="288" w:before="0" w:after="0"/>
        <w:rPr>
          <w:rFonts w:ascii="inherit" w:hAnsi="inherit"/>
          <w:sz w:val="13"/>
        </w:rPr>
      </w:pPr>
      <w:r>
        <w:rPr>
          <w:rFonts w:ascii="inherit" w:hAnsi="inherit"/>
          <w:sz w:val="13"/>
        </w:rPr>
      </w:r>
    </w:p>
    <w:p>
      <w:pPr>
        <w:pStyle w:val="Normal"/>
        <w:spacing w:before="0" w:after="0"/>
        <w:ind w:left="0" w:right="0" w:hanging="0"/>
        <w:rPr>
          <w:sz w:val="4"/>
          <w:szCs w:val="4"/>
        </w:rPr>
      </w:pPr>
      <w:r>
        <w:rPr>
          <w:sz w:val="4"/>
          <w:szCs w:val="4"/>
        </w:rPr>
      </w:r>
      <w:bookmarkStart w:id="6" w:name="sEB0C4F0CFA280B2C17CACD28FA3967EA"/>
      <w:bookmarkStart w:id="7" w:name="sEB0C4F0CFA280B2C17CACD28FA3967EA"/>
      <w:bookmarkEnd w:id="7"/>
    </w:p>
    <w:tbl>
      <w:tblPr>
        <w:tblW w:w="10205" w:type="dxa"/>
        <w:jc w:val="left"/>
        <w:tblInd w:w="0" w:type="dxa"/>
        <w:tblCellMar>
          <w:top w:w="0" w:type="dxa"/>
          <w:left w:w="0" w:type="dxa"/>
          <w:bottom w:w="0" w:type="dxa"/>
          <w:right w:w="0" w:type="dxa"/>
        </w:tblCellMar>
      </w:tblPr>
      <w:tblGrid>
        <w:gridCol w:w="4820"/>
        <w:gridCol w:w="158"/>
        <w:gridCol w:w="1133"/>
        <w:gridCol w:w="158"/>
        <w:gridCol w:w="139"/>
        <w:gridCol w:w="158"/>
        <w:gridCol w:w="1133"/>
        <w:gridCol w:w="158"/>
        <w:gridCol w:w="139"/>
        <w:gridCol w:w="158"/>
        <w:gridCol w:w="1133"/>
        <w:gridCol w:w="918"/>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 xml:space="preserve">EZCORP, Inc. </w:t>
            </w:r>
          </w:p>
          <w:p>
            <w:pPr>
              <w:pStyle w:val="TableContents"/>
              <w:spacing w:lineRule="auto" w:line="288" w:before="0" w:after="0"/>
              <w:jc w:val="center"/>
              <w:rPr>
                <w:rFonts w:ascii="inherit" w:hAnsi="inherit"/>
                <w:b/>
                <w:sz w:val="15"/>
              </w:rPr>
            </w:pPr>
            <w:r>
              <w:rPr>
                <w:rFonts w:ascii="inherit" w:hAnsi="inherit"/>
                <w:b/>
                <w:sz w:val="15"/>
              </w:rPr>
              <w:t>CONDENSED CONSOLIDATED BALANCE SHEETS</w:t>
            </w:r>
          </w:p>
        </w:tc>
      </w:tr>
      <w:tr>
        <w:trPr/>
        <w:tc>
          <w:tcPr>
            <w:tcW w:w="482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20" w:type="dxa"/>
            <w:tcBorders/>
            <w:shd w:fill="auto" w:val="clear"/>
            <w:vAlign w:val="center"/>
          </w:tcPr>
          <w:p>
            <w:pPr>
              <w:pStyle w:val="TableContents"/>
              <w:spacing w:before="0" w:after="0"/>
              <w:ind w:left="0" w:right="0" w:firstLine="30"/>
              <w:rPr/>
            </w:pPr>
            <w:r>
              <w:rPr/>
              <w:t> </w:t>
            </w:r>
          </w:p>
        </w:tc>
        <w:tc>
          <w:tcPr>
            <w:tcW w:w="14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2013</w:t>
            </w:r>
          </w:p>
        </w:tc>
        <w:tc>
          <w:tcPr>
            <w:tcW w:w="139" w:type="dxa"/>
            <w:tcBorders/>
            <w:shd w:fill="auto" w:val="clear"/>
            <w:vAlign w:val="center"/>
          </w:tcPr>
          <w:p>
            <w:pPr>
              <w:pStyle w:val="TableContents"/>
              <w:spacing w:before="0" w:after="0"/>
              <w:ind w:left="0" w:right="0" w:firstLine="30"/>
              <w:rPr/>
            </w:pPr>
            <w:r>
              <w:rPr/>
              <w:t> </w:t>
            </w:r>
          </w:p>
        </w:tc>
        <w:tc>
          <w:tcPr>
            <w:tcW w:w="14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2012</w:t>
            </w:r>
          </w:p>
        </w:tc>
        <w:tc>
          <w:tcPr>
            <w:tcW w:w="139" w:type="dxa"/>
            <w:tcBorders/>
            <w:shd w:fill="auto" w:val="clear"/>
            <w:vAlign w:val="center"/>
          </w:tcPr>
          <w:p>
            <w:pPr>
              <w:pStyle w:val="TableContents"/>
              <w:spacing w:before="0" w:after="0"/>
              <w:ind w:left="0" w:right="0" w:firstLine="30"/>
              <w:rPr/>
            </w:pPr>
            <w:r>
              <w:rPr/>
              <w:t> </w:t>
            </w:r>
          </w:p>
        </w:tc>
        <w:tc>
          <w:tcPr>
            <w:tcW w:w="22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br/>
              <w:t>2012</w:t>
            </w:r>
          </w:p>
        </w:tc>
      </w:tr>
      <w:tr>
        <w:trPr/>
        <w:tc>
          <w:tcPr>
            <w:tcW w:w="4820" w:type="dxa"/>
            <w:tcBorders/>
            <w:shd w:fill="auto" w:val="clear"/>
            <w:vAlign w:val="center"/>
          </w:tcPr>
          <w:p>
            <w:pPr>
              <w:pStyle w:val="TableContents"/>
              <w:spacing w:before="0" w:after="0"/>
              <w:ind w:left="0" w:right="0" w:firstLine="30"/>
              <w:jc w:val="left"/>
              <w:rPr/>
            </w:pPr>
            <w:r>
              <w:rPr/>
              <w:t> </w:t>
            </w:r>
          </w:p>
        </w:tc>
        <w:tc>
          <w:tcPr>
            <w:tcW w:w="538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820" w:type="dxa"/>
            <w:tcBorders/>
            <w:shd w:fill="auto" w:val="clear"/>
            <w:vAlign w:val="center"/>
          </w:tcPr>
          <w:p>
            <w:pPr>
              <w:pStyle w:val="TableContents"/>
              <w:spacing w:before="0" w:after="0"/>
              <w:ind w:left="0" w:right="0" w:firstLine="30"/>
              <w:rPr/>
            </w:pPr>
            <w:r>
              <w:rPr/>
              <w:t> </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2209" w:type="dxa"/>
            <w:gridSpan w:val="3"/>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Assets:</w:t>
            </w:r>
          </w:p>
        </w:tc>
        <w:tc>
          <w:tcPr>
            <w:tcW w:w="1449" w:type="dxa"/>
            <w:gridSpan w:val="3"/>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ind w:left="0" w:right="0" w:firstLine="30"/>
              <w:rPr/>
            </w:pPr>
            <w:r>
              <w:rPr/>
              <w:t> </w:t>
            </w:r>
          </w:p>
        </w:tc>
        <w:tc>
          <w:tcPr>
            <w:tcW w:w="1449" w:type="dxa"/>
            <w:gridSpan w:val="3"/>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ind w:left="0" w:right="0" w:firstLine="30"/>
              <w:rPr/>
            </w:pPr>
            <w:r>
              <w:rPr/>
              <w:t> </w:t>
            </w:r>
          </w:p>
        </w:tc>
        <w:tc>
          <w:tcPr>
            <w:tcW w:w="2209" w:type="dxa"/>
            <w:gridSpan w:val="3"/>
            <w:tcBorders/>
            <w:shd w:fill="CCEEFF" w:val="clear"/>
            <w:vAlign w:val="center"/>
          </w:tcPr>
          <w:p>
            <w:pPr>
              <w:pStyle w:val="TableContents"/>
              <w:spacing w:before="0" w:after="0"/>
              <w:ind w:left="0" w:right="0" w:firstLine="42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assets:</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2209" w:type="dxa"/>
            <w:gridSpan w:val="3"/>
            <w:tcBorders/>
            <w:shd w:fill="auto" w:val="clear"/>
            <w:vAlign w:val="center"/>
          </w:tcPr>
          <w:p>
            <w:pPr>
              <w:pStyle w:val="TableContents"/>
              <w:spacing w:before="0" w:after="0"/>
              <w:ind w:left="0" w:right="0" w:firstLine="66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shd w:fill="CCEEFF" w:val="clear"/>
            <w:vAlign w:val="center"/>
          </w:tcPr>
          <w:p>
            <w:pPr>
              <w:pStyle w:val="TableContents"/>
              <w:spacing w:before="0" w:after="0"/>
              <w:jc w:val="right"/>
              <w:rPr>
                <w:rFonts w:ascii="inherit" w:hAnsi="inherit"/>
                <w:sz w:val="13"/>
              </w:rPr>
            </w:pPr>
            <w:r>
              <w:rPr>
                <w:rFonts w:ascii="inherit" w:hAnsi="inherit"/>
                <w:sz w:val="13"/>
              </w:rPr>
              <w:t>45,955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shd w:fill="CCEEFF" w:val="clear"/>
            <w:vAlign w:val="center"/>
          </w:tcPr>
          <w:p>
            <w:pPr>
              <w:pStyle w:val="TableContents"/>
              <w:spacing w:before="0" w:after="0"/>
              <w:jc w:val="right"/>
              <w:rPr>
                <w:rFonts w:ascii="inherit" w:hAnsi="inherit"/>
                <w:sz w:val="13"/>
              </w:rPr>
            </w:pPr>
            <w:r>
              <w:rPr>
                <w:rFonts w:ascii="inherit" w:hAnsi="inherit"/>
                <w:sz w:val="13"/>
              </w:rPr>
              <w:t>50,774</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shd w:fill="CCEEFF" w:val="clear"/>
            <w:vAlign w:val="center"/>
          </w:tcPr>
          <w:p>
            <w:pPr>
              <w:pStyle w:val="TableContents"/>
              <w:spacing w:before="0" w:after="0"/>
              <w:jc w:val="right"/>
              <w:rPr>
                <w:rFonts w:ascii="inherit" w:hAnsi="inherit"/>
                <w:sz w:val="13"/>
              </w:rPr>
            </w:pPr>
            <w:r>
              <w:rPr>
                <w:rFonts w:ascii="inherit" w:hAnsi="inherit"/>
                <w:sz w:val="13"/>
              </w:rPr>
              <w:t>48,477</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Restricted cash</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3,132</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1,051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1,145</w:t>
            </w:r>
          </w:p>
        </w:tc>
        <w:tc>
          <w:tcPr>
            <w:tcW w:w="918"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loans</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154,095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147,477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157,648</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loans, net</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42,717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28,764</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34,152</w:t>
            </w:r>
          </w:p>
        </w:tc>
        <w:tc>
          <w:tcPr>
            <w:tcW w:w="918"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 receivable, net</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28,590</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26,092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29,401</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 receivable, net</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35,610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25,729</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30,416</w:t>
            </w:r>
          </w:p>
        </w:tc>
        <w:tc>
          <w:tcPr>
            <w:tcW w:w="918"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122,503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94,421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109,214</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15,716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18,226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14,984</w:t>
            </w:r>
          </w:p>
        </w:tc>
        <w:tc>
          <w:tcPr>
            <w:tcW w:w="918"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receivable</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12,937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9,383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10,511</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and other assets</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37,377</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40,268</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45,451</w:t>
            </w:r>
          </w:p>
        </w:tc>
        <w:tc>
          <w:tcPr>
            <w:tcW w:w="918"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assets</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498,632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442,185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481,399</w:t>
            </w:r>
          </w:p>
        </w:tc>
        <w:tc>
          <w:tcPr>
            <w:tcW w:w="91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146,707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125,309</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126,066</w:t>
            </w:r>
          </w:p>
        </w:tc>
        <w:tc>
          <w:tcPr>
            <w:tcW w:w="91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Property and equipment, net</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110,312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100,242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108,131</w:t>
            </w:r>
          </w:p>
        </w:tc>
        <w:tc>
          <w:tcPr>
            <w:tcW w:w="91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Restricted cash, non-current</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2,182</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4,337</w:t>
            </w:r>
          </w:p>
        </w:tc>
        <w:tc>
          <w:tcPr>
            <w:tcW w:w="91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Goodwill</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426,148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366,286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374,663</w:t>
            </w:r>
          </w:p>
        </w:tc>
        <w:tc>
          <w:tcPr>
            <w:tcW w:w="91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Intangible assets, net</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64,533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37,166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45,185</w:t>
            </w:r>
          </w:p>
        </w:tc>
        <w:tc>
          <w:tcPr>
            <w:tcW w:w="91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Non-current consumer loans, net</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82,631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54,479</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61,997</w:t>
            </w:r>
          </w:p>
        </w:tc>
        <w:tc>
          <w:tcPr>
            <w:tcW w:w="91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assets, net</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23,056</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10,108</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16,229</w:t>
            </w:r>
          </w:p>
        </w:tc>
        <w:tc>
          <w:tcPr>
            <w:tcW w:w="918"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assets (1)</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1,354,201</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1,135,775</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1,218,007</w:t>
            </w:r>
          </w:p>
        </w:tc>
        <w:tc>
          <w:tcPr>
            <w:tcW w:w="91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Liabilities and stockholders’ equity:</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2209" w:type="dxa"/>
            <w:gridSpan w:val="3"/>
            <w:tcBorders/>
            <w:shd w:fill="auto" w:val="clear"/>
            <w:vAlign w:val="center"/>
          </w:tcPr>
          <w:p>
            <w:pPr>
              <w:pStyle w:val="TableContents"/>
              <w:spacing w:before="0" w:after="0"/>
              <w:ind w:left="0" w:right="0" w:firstLine="42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liabilities:</w:t>
            </w:r>
          </w:p>
        </w:tc>
        <w:tc>
          <w:tcPr>
            <w:tcW w:w="1449" w:type="dxa"/>
            <w:gridSpan w:val="3"/>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ind w:left="0" w:right="0" w:firstLine="30"/>
              <w:rPr/>
            </w:pPr>
            <w:r>
              <w:rPr/>
              <w:t> </w:t>
            </w:r>
          </w:p>
        </w:tc>
        <w:tc>
          <w:tcPr>
            <w:tcW w:w="1449" w:type="dxa"/>
            <w:gridSpan w:val="3"/>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ind w:left="0" w:right="0" w:firstLine="30"/>
              <w:rPr/>
            </w:pPr>
            <w:r>
              <w:rPr/>
              <w:t> </w:t>
            </w:r>
          </w:p>
        </w:tc>
        <w:tc>
          <w:tcPr>
            <w:tcW w:w="2209" w:type="dxa"/>
            <w:gridSpan w:val="3"/>
            <w:tcBorders/>
            <w:shd w:fill="CCEEFF" w:val="clear"/>
            <w:vAlign w:val="center"/>
          </w:tcPr>
          <w:p>
            <w:pPr>
              <w:pStyle w:val="TableContents"/>
              <w:spacing w:before="0" w:after="0"/>
              <w:ind w:left="0" w:right="0" w:firstLine="66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maturities of long-term debt</w:t>
            </w:r>
          </w:p>
        </w:tc>
        <w:tc>
          <w:tcPr>
            <w:tcW w:w="15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shd w:fill="auto" w:val="clear"/>
            <w:vAlign w:val="center"/>
          </w:tcPr>
          <w:p>
            <w:pPr>
              <w:pStyle w:val="TableContents"/>
              <w:spacing w:before="0" w:after="0"/>
              <w:jc w:val="right"/>
              <w:rPr>
                <w:rFonts w:ascii="inherit" w:hAnsi="inherit"/>
                <w:sz w:val="13"/>
              </w:rPr>
            </w:pPr>
            <w:r>
              <w:rPr>
                <w:rFonts w:ascii="inherit" w:hAnsi="inherit"/>
                <w:sz w:val="13"/>
              </w:rPr>
              <w:t>33,525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shd w:fill="auto" w:val="clear"/>
            <w:vAlign w:val="center"/>
          </w:tcPr>
          <w:p>
            <w:pPr>
              <w:pStyle w:val="TableContents"/>
              <w:spacing w:before="0" w:after="0"/>
              <w:jc w:val="right"/>
              <w:rPr>
                <w:rFonts w:ascii="inherit" w:hAnsi="inherit"/>
                <w:sz w:val="13"/>
              </w:rPr>
            </w:pPr>
            <w:r>
              <w:rPr>
                <w:rFonts w:ascii="inherit" w:hAnsi="inherit"/>
                <w:sz w:val="13"/>
              </w:rPr>
              <w:t>31,126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shd w:fill="auto" w:val="clear"/>
            <w:vAlign w:val="center"/>
          </w:tcPr>
          <w:p>
            <w:pPr>
              <w:pStyle w:val="TableContents"/>
              <w:spacing w:before="0" w:after="0"/>
              <w:jc w:val="right"/>
              <w:rPr>
                <w:rFonts w:ascii="inherit" w:hAnsi="inherit"/>
                <w:sz w:val="13"/>
              </w:rPr>
            </w:pPr>
            <w:r>
              <w:rPr>
                <w:rFonts w:ascii="inherit" w:hAnsi="inherit"/>
                <w:sz w:val="13"/>
              </w:rPr>
              <w:t>21,085</w:t>
            </w:r>
          </w:p>
        </w:tc>
        <w:tc>
          <w:tcPr>
            <w:tcW w:w="918"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capital lease obligations</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594</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other accrued expenses</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68,960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54,487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64,104</w:t>
            </w:r>
          </w:p>
        </w:tc>
        <w:tc>
          <w:tcPr>
            <w:tcW w:w="918"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current liabilities</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22,640</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14,848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14,821</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7,912</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6,740</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7,238</w:t>
            </w:r>
          </w:p>
        </w:tc>
        <w:tc>
          <w:tcPr>
            <w:tcW w:w="918"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liabilities</w:t>
            </w:r>
          </w:p>
        </w:tc>
        <w:tc>
          <w:tcPr>
            <w:tcW w:w="129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133,570</w:t>
            </w:r>
          </w:p>
        </w:tc>
        <w:tc>
          <w:tcPr>
            <w:tcW w:w="15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107,596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107,842</w:t>
            </w:r>
          </w:p>
        </w:tc>
        <w:tc>
          <w:tcPr>
            <w:tcW w:w="91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less current maturities</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198,374</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175,740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198,836</w:t>
            </w:r>
          </w:p>
        </w:tc>
        <w:tc>
          <w:tcPr>
            <w:tcW w:w="91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Long-term capital lease obligations</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764</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995</w:t>
            </w:r>
          </w:p>
        </w:tc>
        <w:tc>
          <w:tcPr>
            <w:tcW w:w="91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liability</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8,948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7,788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7,922</w:t>
            </w:r>
          </w:p>
        </w:tc>
        <w:tc>
          <w:tcPr>
            <w:tcW w:w="91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2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16,451</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13,250</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13,903</w:t>
            </w:r>
          </w:p>
        </w:tc>
        <w:tc>
          <w:tcPr>
            <w:tcW w:w="918" w:type="dxa"/>
            <w:tcBorders>
              <w:bottom w:val="single" w:sz="2" w:space="0" w:color="000000"/>
            </w:tcBorders>
            <w:shd w:fill="CCEEFF"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(2)</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357,864</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305,138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329,498</w:t>
            </w:r>
          </w:p>
        </w:tc>
        <w:tc>
          <w:tcPr>
            <w:tcW w:w="91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Commitments and contingencies</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91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Temporary equity:</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2209" w:type="dxa"/>
            <w:gridSpan w:val="3"/>
            <w:tcBorders/>
            <w:shd w:fill="auto" w:val="clear"/>
            <w:vAlign w:val="center"/>
          </w:tcPr>
          <w:p>
            <w:pPr>
              <w:pStyle w:val="TableContents"/>
              <w:spacing w:before="0" w:after="0"/>
              <w:ind w:left="0" w:right="0" w:firstLine="66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Redeemable noncontrolling interest</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56,837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44,864</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53,681</w:t>
            </w:r>
          </w:p>
        </w:tc>
        <w:tc>
          <w:tcPr>
            <w:tcW w:w="91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Stockholders’ equity:</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49"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2209" w:type="dxa"/>
            <w:gridSpan w:val="3"/>
            <w:tcBorders/>
            <w:shd w:fill="auto" w:val="clear"/>
            <w:vAlign w:val="center"/>
          </w:tcPr>
          <w:p>
            <w:pPr>
              <w:pStyle w:val="TableContents"/>
              <w:spacing w:before="0" w:after="0"/>
              <w:ind w:left="0" w:right="0" w:firstLine="66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$.01 per share; authorized 54 million shares; issued and outstanding: 51,230,843 at June 30, 2013, 48,223,698 at June 30, 2012; and 48,255,536 at September 30, 2012</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482</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Class B Voting Common Stock, convertible, par value $.01 per share; 3 million shares authorized; issued and outstanding: 2,970,171</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918"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Additional paid-in capital</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317,258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266,653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268,626</w:t>
            </w:r>
          </w:p>
        </w:tc>
        <w:tc>
          <w:tcPr>
            <w:tcW w:w="918"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Retained earnings</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624,620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527,231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565,803</w:t>
            </w:r>
          </w:p>
        </w:tc>
        <w:tc>
          <w:tcPr>
            <w:tcW w:w="918"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Accumulated other comprehensive loss</w:t>
            </w:r>
          </w:p>
        </w:tc>
        <w:tc>
          <w:tcPr>
            <w:tcW w:w="12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(2,920</w:t>
            </w:r>
          </w:p>
        </w:tc>
        <w:tc>
          <w:tcPr>
            <w:tcW w:w="15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(8,623</w:t>
            </w:r>
          </w:p>
        </w:tc>
        <w:tc>
          <w:tcPr>
            <w:tcW w:w="15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shd w:fill="CCEEFF"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(113</w:t>
            </w:r>
          </w:p>
        </w:tc>
        <w:tc>
          <w:tcPr>
            <w:tcW w:w="918"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48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EZCORP, Inc. stockholders’ equity</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939,500</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785,773</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834,828</w:t>
            </w:r>
          </w:p>
        </w:tc>
        <w:tc>
          <w:tcPr>
            <w:tcW w:w="918"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and stockholders’ equity</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1,354,201</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1,135,775</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1,218,007</w:t>
            </w:r>
          </w:p>
        </w:tc>
        <w:tc>
          <w:tcPr>
            <w:tcW w:w="918"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3"/>
          <w:u w:val="single"/>
        </w:rPr>
      </w:pPr>
      <w:r>
        <w:rPr>
          <w:rFonts w:ascii="inherit" w:hAnsi="inherit"/>
          <w:b/>
          <w:sz w:val="13"/>
          <w:u w:val="single"/>
        </w:rPr>
        <w:t>Assets and Liabilities of Grupo Finmart Securitization Trust</w:t>
      </w:r>
    </w:p>
    <w:p>
      <w:pPr>
        <w:pStyle w:val="TextBody"/>
        <w:spacing w:lineRule="auto" w:line="288" w:before="0" w:after="0"/>
        <w:jc w:val="left"/>
        <w:rPr>
          <w:sz w:val="13"/>
        </w:rPr>
      </w:pPr>
      <w:r>
        <w:rPr>
          <w:rFonts w:ascii="inherit" w:hAnsi="inherit"/>
          <w:sz w:val="13"/>
        </w:rPr>
        <w:t xml:space="preserve">(1) Our consolidated assets as of </w:t>
      </w:r>
      <w:r>
        <w:rPr>
          <w:rFonts w:ascii="inherit" w:hAnsi="inherit"/>
          <w:strike w:val="false"/>
          <w:dstrike w:val="false"/>
          <w:color w:val="000000"/>
          <w:sz w:val="13"/>
          <w:u w:val="none"/>
          <w:effect w:val="none"/>
        </w:rPr>
        <w:t>June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September 30, 2012</w:t>
      </w:r>
      <w:r>
        <w:rPr>
          <w:sz w:val="13"/>
        </w:rPr>
        <w:t xml:space="preserve"> </w:t>
      </w:r>
      <w:r>
        <w:rPr>
          <w:rFonts w:ascii="inherit" w:hAnsi="inherit"/>
          <w:sz w:val="13"/>
        </w:rPr>
        <w:t xml:space="preserve">include the following assets of Grupo Finmart's securitization trust that can only be used to settle its liabilities: Restricted cash, non-current, </w:t>
      </w:r>
      <w:r>
        <w:rPr>
          <w:rFonts w:ascii="inherit" w:hAnsi="inherit"/>
          <w:strike w:val="false"/>
          <w:dstrike w:val="false"/>
          <w:color w:val="000000"/>
          <w:sz w:val="13"/>
          <w:u w:val="none"/>
          <w:effect w:val="none"/>
        </w:rPr>
        <w:t>$2.2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June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$4.3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Consumer loans, net, $</w:t>
      </w:r>
      <w:r>
        <w:rPr>
          <w:rFonts w:ascii="inherit" w:hAnsi="inherit"/>
          <w:strike w:val="false"/>
          <w:dstrike w:val="false"/>
          <w:color w:val="000000"/>
          <w:sz w:val="13"/>
          <w:u w:val="none"/>
          <w:effect w:val="none"/>
        </w:rPr>
        <w:t>34.3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June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$33.6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xml:space="preserve">; Consumer loan fees receivable, net, </w:t>
      </w:r>
      <w:r>
        <w:rPr>
          <w:rFonts w:ascii="inherit" w:hAnsi="inherit"/>
          <w:strike w:val="false"/>
          <w:dstrike w:val="false"/>
          <w:color w:val="000000"/>
          <w:sz w:val="13"/>
          <w:u w:val="none"/>
          <w:effect w:val="none"/>
        </w:rPr>
        <w:t>$7.4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June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$7.7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xml:space="preserve">; Intangible assets, net, </w:t>
      </w:r>
      <w:r>
        <w:rPr>
          <w:rFonts w:ascii="inherit" w:hAnsi="inherit"/>
          <w:strike w:val="false"/>
          <w:dstrike w:val="false"/>
          <w:color w:val="000000"/>
          <w:sz w:val="13"/>
          <w:u w:val="none"/>
          <w:effect w:val="none"/>
        </w:rPr>
        <w:t>$2.2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June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$2.6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xml:space="preserve">; and total assets, </w:t>
      </w:r>
      <w:r>
        <w:rPr>
          <w:rFonts w:ascii="inherit" w:hAnsi="inherit"/>
          <w:strike w:val="false"/>
          <w:dstrike w:val="false"/>
          <w:color w:val="000000"/>
          <w:sz w:val="13"/>
          <w:u w:val="none"/>
          <w:effect w:val="none"/>
        </w:rPr>
        <w:t>$46.1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June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$48.2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xml:space="preserve">. </w:t>
      </w:r>
    </w:p>
    <w:p>
      <w:pPr>
        <w:pStyle w:val="TextBody"/>
        <w:spacing w:lineRule="auto" w:line="240" w:before="0" w:after="0"/>
        <w:jc w:val="left"/>
        <w:rPr>
          <w:sz w:val="13"/>
        </w:rPr>
      </w:pPr>
      <w:r>
        <w:rPr>
          <w:rFonts w:ascii="inherit" w:hAnsi="inherit"/>
          <w:sz w:val="13"/>
        </w:rPr>
        <w:t xml:space="preserve">(2) Our consolidated liabilities as of </w:t>
      </w:r>
      <w:r>
        <w:rPr>
          <w:rFonts w:ascii="inherit" w:hAnsi="inherit"/>
          <w:strike w:val="false"/>
          <w:dstrike w:val="false"/>
          <w:color w:val="000000"/>
          <w:sz w:val="13"/>
          <w:u w:val="none"/>
          <w:effect w:val="none"/>
        </w:rPr>
        <w:t>June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September 30, 2012</w:t>
      </w:r>
      <w:r>
        <w:rPr>
          <w:sz w:val="13"/>
        </w:rPr>
        <w:t xml:space="preserve"> </w:t>
      </w:r>
      <w:r>
        <w:rPr>
          <w:rFonts w:ascii="inherit" w:hAnsi="inherit"/>
          <w:sz w:val="13"/>
        </w:rPr>
        <w:t xml:space="preserve">include </w:t>
      </w:r>
      <w:r>
        <w:rPr>
          <w:rFonts w:ascii="inherit" w:hAnsi="inherit"/>
          <w:strike w:val="false"/>
          <w:dstrike w:val="false"/>
          <w:color w:val="000000"/>
          <w:sz w:val="13"/>
          <w:u w:val="none"/>
          <w:effect w:val="none"/>
        </w:rPr>
        <w:t>$32.3 million</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$32.7 million</w:t>
      </w:r>
      <w:r>
        <w:rPr>
          <w:rFonts w:ascii="inherit" w:hAnsi="inherit"/>
          <w:sz w:val="13"/>
        </w:rPr>
        <w:t>, respectively, of long-term debt for which the creditors of Grupo Finmart's securitization trust do not have recourse to EZCORP, Inc.</w:t>
      </w:r>
    </w:p>
    <w:p>
      <w:pPr>
        <w:pStyle w:val="TextBody"/>
        <w:spacing w:lineRule="auto" w:line="288" w:before="0" w:after="0"/>
        <w:jc w:val="left"/>
        <w:rPr>
          <w:rFonts w:ascii="inherit" w:hAnsi="inherit"/>
          <w:i/>
          <w:sz w:val="12"/>
        </w:rPr>
      </w:pPr>
      <w:r>
        <w:rPr>
          <w:rFonts w:ascii="inherit" w:hAnsi="inherit"/>
          <w:i/>
          <w:sz w:val="12"/>
        </w:rPr>
        <w:t>See accompanying notes to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pPr>
      <w:hyperlink w:anchor="s6341541F7667DB742175CD29235C3997">
        <w:bookmarkStart w:id="8" w:name="s399332163ADD26B0FEB4CD28FA5CAE7E"/>
        <w:bookmarkEnd w:id="8"/>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328"/>
        <w:gridCol w:w="155"/>
        <w:gridCol w:w="852"/>
        <w:gridCol w:w="155"/>
        <w:gridCol w:w="137"/>
        <w:gridCol w:w="155"/>
        <w:gridCol w:w="852"/>
        <w:gridCol w:w="155"/>
        <w:gridCol w:w="137"/>
        <w:gridCol w:w="155"/>
        <w:gridCol w:w="936"/>
        <w:gridCol w:w="155"/>
        <w:gridCol w:w="137"/>
        <w:gridCol w:w="155"/>
        <w:gridCol w:w="936"/>
        <w:gridCol w:w="805"/>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OPERATIONS</w:t>
            </w:r>
          </w:p>
        </w:tc>
      </w:tr>
      <w:tr>
        <w:trPr/>
        <w:tc>
          <w:tcPr>
            <w:tcW w:w="43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28" w:type="dxa"/>
            <w:tcBorders/>
            <w:shd w:fill="auto" w:val="clear"/>
            <w:vAlign w:val="center"/>
          </w:tcPr>
          <w:p>
            <w:pPr>
              <w:pStyle w:val="TableContents"/>
              <w:spacing w:before="0" w:after="0"/>
              <w:ind w:left="0" w:right="0" w:firstLine="30"/>
              <w:rPr/>
            </w:pPr>
            <w:r>
              <w:rPr/>
              <w:t> </w:t>
            </w:r>
          </w:p>
        </w:tc>
        <w:tc>
          <w:tcPr>
            <w:tcW w:w="246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137" w:type="dxa"/>
            <w:tcBorders/>
            <w:shd w:fill="auto" w:val="clear"/>
            <w:vAlign w:val="center"/>
          </w:tcPr>
          <w:p>
            <w:pPr>
              <w:pStyle w:val="TableContents"/>
              <w:spacing w:before="0" w:after="0"/>
              <w:ind w:left="0" w:right="0" w:firstLine="30"/>
              <w:rPr/>
            </w:pPr>
            <w:r>
              <w:rPr/>
              <w:t> </w:t>
            </w:r>
          </w:p>
        </w:tc>
        <w:tc>
          <w:tcPr>
            <w:tcW w:w="32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w:t>
              <w:br/>
              <w:t>June 30,</w:t>
            </w:r>
          </w:p>
        </w:tc>
      </w:tr>
      <w:tr>
        <w:trPr/>
        <w:tc>
          <w:tcPr>
            <w:tcW w:w="4328" w:type="dxa"/>
            <w:tcBorders/>
            <w:shd w:fill="auto" w:val="clear"/>
            <w:vAlign w:val="center"/>
          </w:tcPr>
          <w:p>
            <w:pPr>
              <w:pStyle w:val="TableContents"/>
              <w:spacing w:before="0" w:after="0"/>
              <w:ind w:left="0" w:right="0" w:firstLine="30"/>
              <w:jc w:val="left"/>
              <w:rPr/>
            </w:pPr>
            <w:r>
              <w:rPr/>
              <w:t> </w:t>
            </w:r>
          </w:p>
        </w:tc>
        <w:tc>
          <w:tcPr>
            <w:tcW w:w="116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7" w:type="dxa"/>
            <w:tcBorders/>
            <w:shd w:fill="auto" w:val="clear"/>
            <w:vAlign w:val="center"/>
          </w:tcPr>
          <w:p>
            <w:pPr>
              <w:pStyle w:val="TableContents"/>
              <w:spacing w:before="0" w:after="0"/>
              <w:ind w:left="0" w:right="0" w:firstLine="30"/>
              <w:rPr/>
            </w:pPr>
            <w:r>
              <w:rPr/>
              <w:t> </w:t>
            </w:r>
          </w:p>
        </w:tc>
        <w:tc>
          <w:tcPr>
            <w:tcW w:w="11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7" w:type="dxa"/>
            <w:tcBorders/>
            <w:shd w:fill="auto" w:val="clear"/>
            <w:vAlign w:val="center"/>
          </w:tcPr>
          <w:p>
            <w:pPr>
              <w:pStyle w:val="TableContents"/>
              <w:spacing w:before="0" w:after="0"/>
              <w:ind w:left="0" w:right="0" w:firstLine="30"/>
              <w:rPr/>
            </w:pPr>
            <w:r>
              <w:rPr/>
              <w:t> </w:t>
            </w:r>
          </w:p>
        </w:tc>
        <w:tc>
          <w:tcPr>
            <w:tcW w:w="12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7" w:type="dxa"/>
            <w:tcBorders/>
            <w:shd w:fill="auto" w:val="clear"/>
            <w:vAlign w:val="center"/>
          </w:tcPr>
          <w:p>
            <w:pPr>
              <w:pStyle w:val="TableContents"/>
              <w:spacing w:before="0" w:after="0"/>
              <w:ind w:left="0" w:right="0" w:firstLine="30"/>
              <w:rPr/>
            </w:pPr>
            <w:r>
              <w:rPr/>
              <w:t> </w:t>
            </w:r>
          </w:p>
        </w:tc>
        <w:tc>
          <w:tcPr>
            <w:tcW w:w="189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328" w:type="dxa"/>
            <w:tcBorders/>
            <w:shd w:fill="auto" w:val="clear"/>
            <w:vAlign w:val="center"/>
          </w:tcPr>
          <w:p>
            <w:pPr>
              <w:pStyle w:val="TableContents"/>
              <w:spacing w:before="0" w:after="0"/>
              <w:ind w:left="0" w:right="0" w:firstLine="30"/>
              <w:jc w:val="left"/>
              <w:rPr/>
            </w:pPr>
            <w:r>
              <w:rPr/>
              <w:t> </w:t>
            </w:r>
          </w:p>
        </w:tc>
        <w:tc>
          <w:tcPr>
            <w:tcW w:w="5877"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Revenues:</w:t>
            </w:r>
          </w:p>
        </w:tc>
        <w:tc>
          <w:tcPr>
            <w:tcW w:w="1162"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62"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896" w:type="dxa"/>
            <w:gridSpan w:val="3"/>
            <w:tcBorders/>
            <w:shd w:fill="CCEEFF" w:val="clear"/>
            <w:vAlign w:val="center"/>
          </w:tcPr>
          <w:p>
            <w:pPr>
              <w:pStyle w:val="TableContents"/>
              <w:spacing w:before="0" w:after="0"/>
              <w:ind w:left="0" w:right="0" w:firstLine="420"/>
              <w:rPr/>
            </w:pPr>
            <w:r>
              <w:rPr/>
              <w:t> </w:t>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Merchandise sales</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shd w:fill="auto" w:val="clear"/>
            <w:vAlign w:val="center"/>
          </w:tcPr>
          <w:p>
            <w:pPr>
              <w:pStyle w:val="TableContents"/>
              <w:spacing w:before="0" w:after="0"/>
              <w:jc w:val="right"/>
              <w:rPr>
                <w:rFonts w:ascii="inherit" w:hAnsi="inherit"/>
                <w:sz w:val="13"/>
              </w:rPr>
            </w:pPr>
            <w:r>
              <w:rPr>
                <w:rFonts w:ascii="inherit" w:hAnsi="inherit"/>
                <w:sz w:val="13"/>
              </w:rPr>
              <w:t>86,576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shd w:fill="auto" w:val="clear"/>
            <w:vAlign w:val="center"/>
          </w:tcPr>
          <w:p>
            <w:pPr>
              <w:pStyle w:val="TableContents"/>
              <w:spacing w:before="0" w:after="0"/>
              <w:jc w:val="right"/>
              <w:rPr>
                <w:rFonts w:ascii="inherit" w:hAnsi="inherit"/>
                <w:sz w:val="13"/>
              </w:rPr>
            </w:pPr>
            <w:r>
              <w:rPr>
                <w:rFonts w:ascii="inherit" w:hAnsi="inherit"/>
                <w:sz w:val="13"/>
              </w:rPr>
              <w:t>75,286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shd w:fill="auto" w:val="clear"/>
            <w:vAlign w:val="center"/>
          </w:tcPr>
          <w:p>
            <w:pPr>
              <w:pStyle w:val="TableContents"/>
              <w:spacing w:before="0" w:after="0"/>
              <w:jc w:val="right"/>
              <w:rPr>
                <w:rFonts w:ascii="inherit" w:hAnsi="inherit"/>
                <w:sz w:val="13"/>
              </w:rPr>
            </w:pPr>
            <w:r>
              <w:rPr>
                <w:rFonts w:ascii="inherit" w:hAnsi="inherit"/>
                <w:sz w:val="13"/>
              </w:rPr>
              <w:t>281,262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shd w:fill="auto" w:val="clear"/>
            <w:vAlign w:val="center"/>
          </w:tcPr>
          <w:p>
            <w:pPr>
              <w:pStyle w:val="TableContents"/>
              <w:spacing w:before="0" w:after="0"/>
              <w:jc w:val="right"/>
              <w:rPr>
                <w:rFonts w:ascii="inherit" w:hAnsi="inherit"/>
                <w:sz w:val="13"/>
              </w:rPr>
            </w:pPr>
            <w:r>
              <w:rPr>
                <w:rFonts w:ascii="inherit" w:hAnsi="inherit"/>
                <w:sz w:val="13"/>
              </w:rPr>
              <w:t>256,271</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sales</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26,288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40,530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113,579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147,066</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60,397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55,656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187,812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170,880</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59,234</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51,753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183,119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143,594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revenues</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2,671</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1,348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10,169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3,351</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revenues</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235,166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224,573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775,941</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721,162</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Merchandise cost of goods sold</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51,050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43,842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164,711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147,621</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cost of goods sold</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20,377</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27,116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80,993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92,807</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bad debt</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12,518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10,689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34,496</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27,269</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revenues</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151,221</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142,926</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495,741</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453,465</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expenses:</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96" w:type="dxa"/>
            <w:gridSpan w:val="3"/>
            <w:tcBorders/>
            <w:shd w:fill="auto" w:val="clear"/>
            <w:vAlign w:val="center"/>
          </w:tcPr>
          <w:p>
            <w:pPr>
              <w:pStyle w:val="TableContents"/>
              <w:spacing w:before="0" w:after="0"/>
              <w:ind w:left="0" w:right="0" w:firstLine="30"/>
              <w:rPr/>
            </w:pPr>
            <w:r>
              <w:rPr/>
              <w:t> </w:t>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Operations</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104,230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85,200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309,346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248,014</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Administrative</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12,644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9,857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34,918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33,509</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Depreciation and amortization</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8,968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7,019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24,629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18,965</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Loss on sale or disposal of assets</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178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313</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220</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108</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operating expenses</w:t>
            </w:r>
          </w:p>
        </w:tc>
        <w:tc>
          <w:tcPr>
            <w:tcW w:w="10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126,020</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102,389</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369,113</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300,596</w:t>
            </w:r>
          </w:p>
        </w:tc>
        <w:tc>
          <w:tcPr>
            <w:tcW w:w="80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income</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25,201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40,537</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126,628</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152,869</w:t>
            </w:r>
          </w:p>
        </w:tc>
        <w:tc>
          <w:tcPr>
            <w:tcW w:w="80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Interest income</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(471</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(133</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(787</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(486</w:t>
            </w:r>
          </w:p>
        </w:tc>
        <w:tc>
          <w:tcPr>
            <w:tcW w:w="80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328"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Interest expense</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4,108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1,030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11,814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4,180</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Equity in net income of unconsolidated affiliates</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(4,328</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(4,197</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(13,491</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(12,935</w:t>
            </w:r>
          </w:p>
        </w:tc>
        <w:tc>
          <w:tcPr>
            <w:tcW w:w="80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328"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Other expense (income)</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96</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160</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(157</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from continuing operations before income taxes</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25,796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43,677</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129,092</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162,267</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expense</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9,139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12,718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42,084</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52,664</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Income from continuing operations, net of tax</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16,657</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30,959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87,008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109,603</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Loss from discontinued operations, net of tax</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(21,497</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(1,248</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(24,813</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(3,167</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(loss) income</w:t>
            </w:r>
          </w:p>
        </w:tc>
        <w:tc>
          <w:tcPr>
            <w:tcW w:w="10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(4,840</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29,711</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62,195</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106,436</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from continuing operations attributable to redeemable noncontrolling interest</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1,041</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1,188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3,378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1,300</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 xml:space="preserve">Net (loss) income attributable to EZCORP, Inc.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(5,881</w:t>
            </w:r>
          </w:p>
        </w:tc>
        <w:tc>
          <w:tcPr>
            <w:tcW w:w="15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28,523</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58,817</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105,136</w:t>
            </w:r>
          </w:p>
        </w:tc>
        <w:tc>
          <w:tcPr>
            <w:tcW w:w="80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rPr/>
            </w:pPr>
            <w:r>
              <w:rPr/>
              <w:t> </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96" w:type="dxa"/>
            <w:gridSpan w:val="3"/>
            <w:tcBorders/>
            <w:shd w:fill="auto" w:val="clear"/>
            <w:vAlign w:val="center"/>
          </w:tcPr>
          <w:p>
            <w:pPr>
              <w:pStyle w:val="TableContents"/>
              <w:spacing w:before="0" w:after="0"/>
              <w:ind w:left="0" w:right="0" w:firstLine="30"/>
              <w:rPr/>
            </w:pPr>
            <w:r>
              <w:rPr/>
              <w:t> </w:t>
            </w:r>
          </w:p>
        </w:tc>
      </w:tr>
      <w:tr>
        <w:trPr/>
        <w:tc>
          <w:tcPr>
            <w:tcW w:w="4328"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Basic (loss) earnings per share attributable to EZCORP, Inc.:</w:t>
            </w:r>
          </w:p>
        </w:tc>
        <w:tc>
          <w:tcPr>
            <w:tcW w:w="1162"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62"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896" w:type="dxa"/>
            <w:gridSpan w:val="3"/>
            <w:tcBorders/>
            <w:shd w:fill="CCEEFF" w:val="clear"/>
            <w:vAlign w:val="center"/>
          </w:tcPr>
          <w:p>
            <w:pPr>
              <w:pStyle w:val="TableContents"/>
              <w:spacing w:before="0" w:after="0"/>
              <w:ind w:left="0" w:right="0" w:firstLine="420"/>
              <w:rPr/>
            </w:pPr>
            <w:r>
              <w:rPr/>
              <w:t> </w:t>
            </w:r>
          </w:p>
        </w:tc>
      </w:tr>
      <w:tr>
        <w:trPr/>
        <w:tc>
          <w:tcPr>
            <w:tcW w:w="4328"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 xml:space="preserve">Continuing operations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shd w:fill="auto" w:val="clear"/>
            <w:vAlign w:val="center"/>
          </w:tcPr>
          <w:p>
            <w:pPr>
              <w:pStyle w:val="TableContents"/>
              <w:spacing w:before="0" w:after="0"/>
              <w:jc w:val="right"/>
              <w:rPr>
                <w:rFonts w:ascii="inherit" w:hAnsi="inherit"/>
                <w:sz w:val="13"/>
              </w:rPr>
            </w:pPr>
            <w:r>
              <w:rPr>
                <w:rFonts w:ascii="inherit" w:hAnsi="inherit"/>
                <w:sz w:val="13"/>
              </w:rPr>
              <w:t>0.29</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shd w:fill="auto" w:val="clear"/>
            <w:vAlign w:val="center"/>
          </w:tcPr>
          <w:p>
            <w:pPr>
              <w:pStyle w:val="TableContents"/>
              <w:spacing w:before="0" w:after="0"/>
              <w:jc w:val="right"/>
              <w:rPr>
                <w:rFonts w:ascii="inherit" w:hAnsi="inherit"/>
                <w:sz w:val="13"/>
              </w:rPr>
            </w:pPr>
            <w:r>
              <w:rPr>
                <w:rFonts w:ascii="inherit" w:hAnsi="inherit"/>
                <w:sz w:val="13"/>
              </w:rPr>
              <w:t>0.58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shd w:fill="auto" w:val="clear"/>
            <w:vAlign w:val="center"/>
          </w:tcPr>
          <w:p>
            <w:pPr>
              <w:pStyle w:val="TableContents"/>
              <w:spacing w:before="0" w:after="0"/>
              <w:jc w:val="right"/>
              <w:rPr>
                <w:rFonts w:ascii="inherit" w:hAnsi="inherit"/>
                <w:sz w:val="13"/>
              </w:rPr>
            </w:pPr>
            <w:r>
              <w:rPr>
                <w:rFonts w:ascii="inherit" w:hAnsi="inherit"/>
                <w:sz w:val="13"/>
              </w:rPr>
              <w:t>1.56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shd w:fill="auto" w:val="clear"/>
            <w:vAlign w:val="center"/>
          </w:tcPr>
          <w:p>
            <w:pPr>
              <w:pStyle w:val="TableContents"/>
              <w:spacing w:before="0" w:after="0"/>
              <w:jc w:val="right"/>
              <w:rPr>
                <w:rFonts w:ascii="inherit" w:hAnsi="inherit"/>
                <w:sz w:val="13"/>
              </w:rPr>
            </w:pPr>
            <w:r>
              <w:rPr>
                <w:rFonts w:ascii="inherit" w:hAnsi="inherit"/>
                <w:sz w:val="13"/>
              </w:rPr>
              <w:t>2.13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5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(0.40</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(0.02</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5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(0.46</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(0.06</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328"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Basic (loss) earnings per share</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(0.11</w:t>
            </w:r>
          </w:p>
        </w:tc>
        <w:tc>
          <w:tcPr>
            <w:tcW w:w="15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0.56</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1.10</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2.07</w:t>
            </w:r>
          </w:p>
        </w:tc>
        <w:tc>
          <w:tcPr>
            <w:tcW w:w="80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rPr/>
            </w:pPr>
            <w:r>
              <w:rPr/>
              <w:t> </w:t>
            </w:r>
          </w:p>
        </w:tc>
        <w:tc>
          <w:tcPr>
            <w:tcW w:w="1162"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62"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896" w:type="dxa"/>
            <w:gridSpan w:val="3"/>
            <w:tcBorders/>
            <w:shd w:fill="CCEEFF" w:val="clear"/>
            <w:vAlign w:val="center"/>
          </w:tcPr>
          <w:p>
            <w:pPr>
              <w:pStyle w:val="TableContents"/>
              <w:spacing w:before="0" w:after="0"/>
              <w:ind w:left="0" w:right="0" w:firstLine="30"/>
              <w:rPr/>
            </w:pPr>
            <w:r>
              <w:rPr/>
              <w:t> </w:t>
            </w:r>
          </w:p>
        </w:tc>
      </w:tr>
      <w:tr>
        <w:trPr/>
        <w:tc>
          <w:tcPr>
            <w:tcW w:w="4328"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Diluted (loss) earnings per share attributable to EZCORP, Inc.:</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96" w:type="dxa"/>
            <w:gridSpan w:val="3"/>
            <w:tcBorders/>
            <w:shd w:fill="auto" w:val="clear"/>
            <w:vAlign w:val="center"/>
          </w:tcPr>
          <w:p>
            <w:pPr>
              <w:pStyle w:val="TableContents"/>
              <w:spacing w:before="0" w:after="0"/>
              <w:ind w:left="0" w:right="0" w:firstLine="420"/>
              <w:rPr/>
            </w:pPr>
            <w:r>
              <w:rPr/>
              <w:t> </w:t>
            </w:r>
          </w:p>
        </w:tc>
      </w:tr>
      <w:tr>
        <w:trPr/>
        <w:tc>
          <w:tcPr>
            <w:tcW w:w="4328"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Continuing operations</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shd w:fill="CCEEFF" w:val="clear"/>
            <w:vAlign w:val="center"/>
          </w:tcPr>
          <w:p>
            <w:pPr>
              <w:pStyle w:val="TableContents"/>
              <w:spacing w:before="0" w:after="0"/>
              <w:jc w:val="right"/>
              <w:rPr>
                <w:rFonts w:ascii="inherit" w:hAnsi="inherit"/>
                <w:sz w:val="13"/>
              </w:rPr>
            </w:pPr>
            <w:r>
              <w:rPr>
                <w:rFonts w:ascii="inherit" w:hAnsi="inherit"/>
                <w:sz w:val="13"/>
              </w:rPr>
              <w:t>0.29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shd w:fill="CCEEFF" w:val="clear"/>
            <w:vAlign w:val="center"/>
          </w:tcPr>
          <w:p>
            <w:pPr>
              <w:pStyle w:val="TableContents"/>
              <w:spacing w:before="0" w:after="0"/>
              <w:jc w:val="right"/>
              <w:rPr>
                <w:rFonts w:ascii="inherit" w:hAnsi="inherit"/>
                <w:sz w:val="13"/>
              </w:rPr>
            </w:pPr>
            <w:r>
              <w:rPr>
                <w:rFonts w:ascii="inherit" w:hAnsi="inherit"/>
                <w:sz w:val="13"/>
              </w:rPr>
              <w:t>0.58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shd w:fill="CCEEFF" w:val="clear"/>
            <w:vAlign w:val="center"/>
          </w:tcPr>
          <w:p>
            <w:pPr>
              <w:pStyle w:val="TableContents"/>
              <w:spacing w:before="0" w:after="0"/>
              <w:jc w:val="right"/>
              <w:rPr>
                <w:rFonts w:ascii="inherit" w:hAnsi="inherit"/>
                <w:sz w:val="13"/>
              </w:rPr>
            </w:pPr>
            <w:r>
              <w:rPr>
                <w:rFonts w:ascii="inherit" w:hAnsi="inherit"/>
                <w:sz w:val="13"/>
              </w:rPr>
              <w:t>1.56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shd w:fill="CCEEFF" w:val="clear"/>
            <w:vAlign w:val="center"/>
          </w:tcPr>
          <w:p>
            <w:pPr>
              <w:pStyle w:val="TableContents"/>
              <w:spacing w:before="0" w:after="0"/>
              <w:jc w:val="right"/>
              <w:rPr>
                <w:rFonts w:ascii="inherit" w:hAnsi="inherit"/>
                <w:sz w:val="13"/>
              </w:rPr>
            </w:pPr>
            <w:r>
              <w:rPr>
                <w:rFonts w:ascii="inherit" w:hAnsi="inherit"/>
                <w:sz w:val="13"/>
              </w:rPr>
              <w:t>2.12</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5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(0.40</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(0.02</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(0.46</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(0.06</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328"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Diluted (loss) earnings per share</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(0.11</w:t>
            </w:r>
          </w:p>
        </w:tc>
        <w:tc>
          <w:tcPr>
            <w:tcW w:w="15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0.56</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1.10</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2.06</w:t>
            </w:r>
          </w:p>
        </w:tc>
        <w:tc>
          <w:tcPr>
            <w:tcW w:w="80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rPr/>
            </w:pPr>
            <w:r>
              <w:rPr/>
              <w:t> </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96" w:type="dxa"/>
            <w:gridSpan w:val="3"/>
            <w:tcBorders/>
            <w:shd w:fill="auto" w:val="clear"/>
            <w:vAlign w:val="center"/>
          </w:tcPr>
          <w:p>
            <w:pPr>
              <w:pStyle w:val="TableContents"/>
              <w:spacing w:before="0" w:after="0"/>
              <w:ind w:left="0" w:right="0" w:firstLine="30"/>
              <w:rPr/>
            </w:pPr>
            <w:r>
              <w:rPr/>
              <w:t> </w:t>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Weighted average shares outstanding:</w:t>
            </w:r>
          </w:p>
        </w:tc>
        <w:tc>
          <w:tcPr>
            <w:tcW w:w="1162"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62"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896" w:type="dxa"/>
            <w:gridSpan w:val="3"/>
            <w:tcBorders/>
            <w:shd w:fill="CCEEFF" w:val="clear"/>
            <w:vAlign w:val="center"/>
          </w:tcPr>
          <w:p>
            <w:pPr>
              <w:pStyle w:val="TableContents"/>
              <w:spacing w:before="0" w:after="0"/>
              <w:ind w:left="0" w:right="0" w:firstLine="420"/>
              <w:rPr/>
            </w:pPr>
            <w:r>
              <w:rPr/>
              <w:t> </w:t>
            </w:r>
          </w:p>
        </w:tc>
      </w:tr>
      <w:tr>
        <w:trPr/>
        <w:tc>
          <w:tcPr>
            <w:tcW w:w="432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Basic</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54,196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51,162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53,465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50,769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Diluted</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54,255</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0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51,340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53,540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51,042</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rPr/>
            </w:pPr>
            <w:r>
              <w:rPr/>
              <w:t> </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62"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896" w:type="dxa"/>
            <w:gridSpan w:val="3"/>
            <w:tcBorders/>
            <w:shd w:fill="auto" w:val="clear"/>
            <w:vAlign w:val="center"/>
          </w:tcPr>
          <w:p>
            <w:pPr>
              <w:pStyle w:val="TableContents"/>
              <w:spacing w:before="0" w:after="0"/>
              <w:ind w:left="0" w:right="0" w:firstLine="420"/>
              <w:rPr/>
            </w:pPr>
            <w:r>
              <w:rPr/>
              <w:t> </w:t>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from continuing operations attributable to EZCORP, Inc.</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shd w:fill="CCEEFF" w:val="clear"/>
            <w:vAlign w:val="center"/>
          </w:tcPr>
          <w:p>
            <w:pPr>
              <w:pStyle w:val="TableContents"/>
              <w:spacing w:before="0" w:after="0"/>
              <w:jc w:val="right"/>
              <w:rPr>
                <w:rFonts w:ascii="inherit" w:hAnsi="inherit"/>
                <w:sz w:val="13"/>
              </w:rPr>
            </w:pPr>
            <w:r>
              <w:rPr>
                <w:rFonts w:ascii="inherit" w:hAnsi="inherit"/>
                <w:sz w:val="13"/>
              </w:rPr>
              <w:t>15,616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shd w:fill="CCEEFF" w:val="clear"/>
            <w:vAlign w:val="center"/>
          </w:tcPr>
          <w:p>
            <w:pPr>
              <w:pStyle w:val="TableContents"/>
              <w:spacing w:before="0" w:after="0"/>
              <w:jc w:val="right"/>
              <w:rPr>
                <w:rFonts w:ascii="inherit" w:hAnsi="inherit"/>
                <w:sz w:val="13"/>
              </w:rPr>
            </w:pPr>
            <w:r>
              <w:rPr>
                <w:rFonts w:ascii="inherit" w:hAnsi="inherit"/>
                <w:sz w:val="13"/>
              </w:rPr>
              <w:t>29,771</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shd w:fill="CCEEFF" w:val="clear"/>
            <w:vAlign w:val="center"/>
          </w:tcPr>
          <w:p>
            <w:pPr>
              <w:pStyle w:val="TableContents"/>
              <w:spacing w:before="0" w:after="0"/>
              <w:jc w:val="right"/>
              <w:rPr>
                <w:rFonts w:ascii="inherit" w:hAnsi="inherit"/>
                <w:sz w:val="13"/>
              </w:rPr>
            </w:pPr>
            <w:r>
              <w:rPr>
                <w:rFonts w:ascii="inherit" w:hAnsi="inherit"/>
                <w:sz w:val="13"/>
              </w:rPr>
              <w:t>83,630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shd w:fill="CCEEFF" w:val="clear"/>
            <w:vAlign w:val="center"/>
          </w:tcPr>
          <w:p>
            <w:pPr>
              <w:pStyle w:val="TableContents"/>
              <w:spacing w:before="0" w:after="0"/>
              <w:jc w:val="right"/>
              <w:rPr>
                <w:rFonts w:ascii="inherit" w:hAnsi="inherit"/>
                <w:sz w:val="13"/>
              </w:rPr>
            </w:pPr>
            <w:r>
              <w:rPr>
                <w:rFonts w:ascii="inherit" w:hAnsi="inherit"/>
                <w:sz w:val="13"/>
              </w:rPr>
              <w:t>108,303</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28"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Loss from discontinued operations attributable to EZCORP, Inc.</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(21,497</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(1,248</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(24,813</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(3,167</w:t>
            </w:r>
          </w:p>
        </w:tc>
        <w:tc>
          <w:tcPr>
            <w:tcW w:w="80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32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(loss) income attributable to EZCORP, Inc.</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(5,881</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28,523</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58,817</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105,136</w:t>
            </w:r>
          </w:p>
        </w:tc>
        <w:tc>
          <w:tcPr>
            <w:tcW w:w="80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5"/>
        </w:rPr>
      </w:pPr>
      <w:r>
        <w:rPr>
          <w:rFonts w:ascii="inherit" w:hAnsi="inherit"/>
          <w:i/>
          <w:sz w:val="15"/>
        </w:rPr>
        <w:t>See accompanying notes to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6341541F7667DB742175CD29235C3997">
        <w:bookmarkStart w:id="9" w:name="s5E654D330C378FD18673CD28FB033D69"/>
        <w:bookmarkEnd w:id="9"/>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090"/>
        <w:gridCol w:w="156"/>
        <w:gridCol w:w="1032"/>
        <w:gridCol w:w="156"/>
        <w:gridCol w:w="138"/>
        <w:gridCol w:w="156"/>
        <w:gridCol w:w="978"/>
        <w:gridCol w:w="156"/>
        <w:gridCol w:w="138"/>
        <w:gridCol w:w="156"/>
        <w:gridCol w:w="978"/>
        <w:gridCol w:w="156"/>
        <w:gridCol w:w="138"/>
        <w:gridCol w:w="156"/>
        <w:gridCol w:w="1059"/>
        <w:gridCol w:w="562"/>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COMPREHENSIVE INCOME</w:t>
            </w:r>
          </w:p>
        </w:tc>
      </w:tr>
      <w:tr>
        <w:trPr/>
        <w:tc>
          <w:tcPr>
            <w:tcW w:w="409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90" w:type="dxa"/>
            <w:tcBorders/>
            <w:shd w:fill="auto" w:val="clear"/>
            <w:vAlign w:val="center"/>
          </w:tcPr>
          <w:p>
            <w:pPr>
              <w:pStyle w:val="TableContents"/>
              <w:spacing w:before="0" w:after="0"/>
              <w:ind w:left="0" w:right="0" w:firstLine="30"/>
              <w:rPr/>
            </w:pPr>
            <w:r>
              <w:rPr/>
              <w:t> </w:t>
            </w:r>
          </w:p>
        </w:tc>
        <w:tc>
          <w:tcPr>
            <w:tcW w:w="277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38" w:type="dxa"/>
            <w:tcBorders/>
            <w:shd w:fill="auto" w:val="clear"/>
            <w:vAlign w:val="center"/>
          </w:tcPr>
          <w:p>
            <w:pPr>
              <w:pStyle w:val="TableContents"/>
              <w:spacing w:before="0" w:after="0"/>
              <w:ind w:left="0" w:right="0" w:firstLine="30"/>
              <w:rPr/>
            </w:pPr>
            <w:r>
              <w:rPr/>
              <w:t> </w:t>
            </w:r>
          </w:p>
        </w:tc>
        <w:tc>
          <w:tcPr>
            <w:tcW w:w="320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4090" w:type="dxa"/>
            <w:tcBorders/>
            <w:shd w:fill="auto" w:val="clear"/>
            <w:vAlign w:val="center"/>
          </w:tcPr>
          <w:p>
            <w:pPr>
              <w:pStyle w:val="TableContents"/>
              <w:spacing w:before="0" w:after="0"/>
              <w:ind w:left="0" w:right="0" w:firstLine="30"/>
              <w:jc w:val="left"/>
              <w:rPr/>
            </w:pPr>
            <w:r>
              <w:rPr/>
              <w:t> </w:t>
            </w:r>
          </w:p>
        </w:tc>
        <w:tc>
          <w:tcPr>
            <w:tcW w:w="13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8" w:type="dxa"/>
            <w:tcBorders/>
            <w:shd w:fill="auto" w:val="clear"/>
            <w:vAlign w:val="center"/>
          </w:tcPr>
          <w:p>
            <w:pPr>
              <w:pStyle w:val="TableContents"/>
              <w:spacing w:before="0" w:after="0"/>
              <w:ind w:left="0" w:right="0" w:firstLine="30"/>
              <w:rPr/>
            </w:pPr>
            <w:r>
              <w:rPr/>
              <w:t> </w:t>
            </w:r>
          </w:p>
        </w:tc>
        <w:tc>
          <w:tcPr>
            <w:tcW w:w="12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8" w:type="dxa"/>
            <w:tcBorders/>
            <w:shd w:fill="auto" w:val="clear"/>
            <w:vAlign w:val="center"/>
          </w:tcPr>
          <w:p>
            <w:pPr>
              <w:pStyle w:val="TableContents"/>
              <w:spacing w:before="0" w:after="0"/>
              <w:ind w:left="0" w:right="0" w:firstLine="30"/>
              <w:rPr/>
            </w:pPr>
            <w:r>
              <w:rPr/>
              <w:t> </w:t>
            </w:r>
          </w:p>
        </w:tc>
        <w:tc>
          <w:tcPr>
            <w:tcW w:w="12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8" w:type="dxa"/>
            <w:tcBorders/>
            <w:shd w:fill="auto" w:val="clear"/>
            <w:vAlign w:val="center"/>
          </w:tcPr>
          <w:p>
            <w:pPr>
              <w:pStyle w:val="TableContents"/>
              <w:spacing w:before="0" w:after="0"/>
              <w:ind w:left="0" w:right="0" w:firstLine="30"/>
              <w:rPr/>
            </w:pPr>
            <w:r>
              <w:rPr/>
              <w:t> </w:t>
            </w:r>
          </w:p>
        </w:tc>
        <w:tc>
          <w:tcPr>
            <w:tcW w:w="17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090" w:type="dxa"/>
            <w:tcBorders/>
            <w:shd w:fill="auto" w:val="clear"/>
            <w:vAlign w:val="center"/>
          </w:tcPr>
          <w:p>
            <w:pPr>
              <w:pStyle w:val="TableContents"/>
              <w:spacing w:before="0" w:after="0"/>
              <w:ind w:left="0" w:right="0" w:firstLine="30"/>
              <w:jc w:val="left"/>
              <w:rPr/>
            </w:pPr>
            <w:r>
              <w:rPr/>
              <w:t> </w:t>
            </w:r>
          </w:p>
        </w:tc>
        <w:tc>
          <w:tcPr>
            <w:tcW w:w="611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0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(loss) income</w:t>
            </w:r>
          </w:p>
        </w:tc>
        <w:tc>
          <w:tcPr>
            <w:tcW w:w="156"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032" w:type="dxa"/>
            <w:tcBorders/>
            <w:shd w:fill="CCEEFF" w:val="clear"/>
            <w:vAlign w:val="center"/>
          </w:tcPr>
          <w:p>
            <w:pPr>
              <w:pStyle w:val="TableContents"/>
              <w:spacing w:before="0" w:after="0"/>
              <w:jc w:val="right"/>
              <w:rPr>
                <w:rFonts w:ascii="inherit" w:hAnsi="inherit"/>
                <w:sz w:val="13"/>
              </w:rPr>
            </w:pPr>
            <w:r>
              <w:rPr>
                <w:rFonts w:ascii="inherit" w:hAnsi="inherit"/>
                <w:sz w:val="13"/>
              </w:rPr>
              <w:t>(4,840</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78" w:type="dxa"/>
            <w:tcBorders/>
            <w:shd w:fill="CCEEFF" w:val="clear"/>
            <w:vAlign w:val="center"/>
          </w:tcPr>
          <w:p>
            <w:pPr>
              <w:pStyle w:val="TableContents"/>
              <w:spacing w:before="0" w:after="0"/>
              <w:jc w:val="right"/>
              <w:rPr>
                <w:rFonts w:ascii="inherit" w:hAnsi="inherit"/>
                <w:sz w:val="13"/>
              </w:rPr>
            </w:pPr>
            <w:r>
              <w:rPr>
                <w:rFonts w:ascii="inherit" w:hAnsi="inherit"/>
                <w:sz w:val="13"/>
              </w:rPr>
              <w:t>29,711</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78" w:type="dxa"/>
            <w:tcBorders/>
            <w:shd w:fill="CCEEFF" w:val="clear"/>
            <w:vAlign w:val="center"/>
          </w:tcPr>
          <w:p>
            <w:pPr>
              <w:pStyle w:val="TableContents"/>
              <w:spacing w:before="0" w:after="0"/>
              <w:jc w:val="right"/>
              <w:rPr>
                <w:rFonts w:ascii="inherit" w:hAnsi="inherit"/>
                <w:sz w:val="13"/>
              </w:rPr>
            </w:pPr>
            <w:r>
              <w:rPr>
                <w:rFonts w:ascii="inherit" w:hAnsi="inherit"/>
                <w:sz w:val="13"/>
              </w:rPr>
              <w:t>62,195</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059" w:type="dxa"/>
            <w:tcBorders/>
            <w:shd w:fill="CCEEFF" w:val="clear"/>
            <w:vAlign w:val="center"/>
          </w:tcPr>
          <w:p>
            <w:pPr>
              <w:pStyle w:val="TableContents"/>
              <w:spacing w:before="0" w:after="0"/>
              <w:jc w:val="right"/>
              <w:rPr>
                <w:rFonts w:ascii="inherit" w:hAnsi="inherit"/>
                <w:sz w:val="13"/>
              </w:rPr>
            </w:pPr>
            <w:r>
              <w:rPr>
                <w:rFonts w:ascii="inherit" w:hAnsi="inherit"/>
                <w:sz w:val="13"/>
              </w:rPr>
              <w:t>106,436</w:t>
            </w:r>
          </w:p>
        </w:tc>
        <w:tc>
          <w:tcPr>
            <w:tcW w:w="5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344"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290"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290"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777" w:type="dxa"/>
            <w:gridSpan w:val="3"/>
            <w:tcBorders/>
            <w:shd w:fill="auto" w:val="clear"/>
            <w:vAlign w:val="center"/>
          </w:tcPr>
          <w:p>
            <w:pPr>
              <w:pStyle w:val="TableContents"/>
              <w:spacing w:before="0" w:after="0"/>
              <w:ind w:left="0" w:right="0" w:firstLine="420"/>
              <w:rPr/>
            </w:pPr>
            <w:r>
              <w:rPr/>
              <w:t> </w:t>
            </w:r>
          </w:p>
        </w:tc>
      </w:tr>
      <w:tr>
        <w:trPr/>
        <w:tc>
          <w:tcPr>
            <w:tcW w:w="40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loss</w:t>
            </w:r>
          </w:p>
        </w:tc>
        <w:tc>
          <w:tcPr>
            <w:tcW w:w="118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(15,529</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(8,513</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(950</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2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(10,887</w:t>
            </w:r>
          </w:p>
        </w:tc>
        <w:tc>
          <w:tcPr>
            <w:tcW w:w="562"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09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Effective portion of cash flow hedge</w:t>
            </w:r>
          </w:p>
        </w:tc>
        <w:tc>
          <w:tcPr>
            <w:tcW w:w="118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15" w:type="dxa"/>
            <w:gridSpan w:val="2"/>
            <w:tcBorders/>
            <w:shd w:fill="auto" w:val="clear"/>
            <w:vAlign w:val="center"/>
          </w:tcPr>
          <w:p>
            <w:pPr>
              <w:pStyle w:val="TableContents"/>
              <w:spacing w:before="0" w:after="0"/>
              <w:jc w:val="right"/>
              <w:rPr/>
            </w:pPr>
            <w:r>
              <w:rPr/>
              <w:t>—</w:t>
            </w:r>
          </w:p>
        </w:tc>
        <w:tc>
          <w:tcPr>
            <w:tcW w:w="56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holding loss arising during period</w:t>
            </w:r>
          </w:p>
        </w:tc>
        <w:tc>
          <w:tcPr>
            <w:tcW w:w="118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(1,457</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(1,721</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2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(846</w:t>
            </w:r>
          </w:p>
        </w:tc>
        <w:tc>
          <w:tcPr>
            <w:tcW w:w="562"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0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1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1,189</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(948</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(1,848</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2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1,563</w:t>
            </w:r>
          </w:p>
        </w:tc>
        <w:tc>
          <w:tcPr>
            <w:tcW w:w="5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loss, net of tax</w:t>
            </w:r>
          </w:p>
        </w:tc>
        <w:tc>
          <w:tcPr>
            <w:tcW w:w="118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(15,297</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(9,569</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(4,019</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2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(10,170</w:t>
            </w:r>
          </w:p>
        </w:tc>
        <w:tc>
          <w:tcPr>
            <w:tcW w:w="5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0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(loss) income</w:t>
            </w:r>
          </w:p>
        </w:tc>
        <w:tc>
          <w:tcPr>
            <w:tcW w:w="1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(20,137</w:t>
            </w:r>
          </w:p>
        </w:tc>
        <w:tc>
          <w:tcPr>
            <w:tcW w:w="1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7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20,142</w:t>
            </w:r>
          </w:p>
        </w:tc>
        <w:tc>
          <w:tcPr>
            <w:tcW w:w="1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7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58,176</w:t>
            </w:r>
          </w:p>
        </w:tc>
        <w:tc>
          <w:tcPr>
            <w:tcW w:w="1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96,266</w:t>
            </w:r>
          </w:p>
        </w:tc>
        <w:tc>
          <w:tcPr>
            <w:tcW w:w="562"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344"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1290"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1290"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1777" w:type="dxa"/>
            <w:gridSpan w:val="3"/>
            <w:tcBorders/>
            <w:shd w:fill="CCEEFF" w:val="clear"/>
            <w:vAlign w:val="center"/>
          </w:tcPr>
          <w:p>
            <w:pPr>
              <w:pStyle w:val="TableContents"/>
              <w:spacing w:before="0" w:after="0"/>
              <w:ind w:left="0" w:right="0" w:firstLine="540"/>
              <w:rPr/>
            </w:pPr>
            <w:r>
              <w:rPr/>
              <w:t> </w:t>
            </w:r>
          </w:p>
        </w:tc>
      </w:tr>
      <w:tr>
        <w:trPr/>
        <w:tc>
          <w:tcPr>
            <w:tcW w:w="40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18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1,041</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1,188</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3,378</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1,300</w:t>
            </w:r>
          </w:p>
        </w:tc>
        <w:tc>
          <w:tcPr>
            <w:tcW w:w="562"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0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loss</w:t>
            </w:r>
          </w:p>
        </w:tc>
        <w:tc>
          <w:tcPr>
            <w:tcW w:w="118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(3,321</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(2,789</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(1,212</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2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(2,293</w:t>
            </w:r>
          </w:p>
        </w:tc>
        <w:tc>
          <w:tcPr>
            <w:tcW w:w="5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0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(loss) income attributable to redeemable noncontrolling interest</w:t>
            </w:r>
          </w:p>
        </w:tc>
        <w:tc>
          <w:tcPr>
            <w:tcW w:w="11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(2,280</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(1,601</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2,166</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(993</w:t>
            </w:r>
          </w:p>
        </w:tc>
        <w:tc>
          <w:tcPr>
            <w:tcW w:w="5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0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Comprehensive (loss) income attributable to EZCORP, Inc.</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3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(17,857</w:t>
            </w:r>
          </w:p>
        </w:tc>
        <w:tc>
          <w:tcPr>
            <w:tcW w:w="156"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7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21,743</w:t>
            </w:r>
          </w:p>
        </w:tc>
        <w:tc>
          <w:tcPr>
            <w:tcW w:w="15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7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56,010</w:t>
            </w:r>
          </w:p>
        </w:tc>
        <w:tc>
          <w:tcPr>
            <w:tcW w:w="15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97,259</w:t>
            </w:r>
          </w:p>
        </w:tc>
        <w:tc>
          <w:tcPr>
            <w:tcW w:w="56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5"/>
        </w:rPr>
      </w:pPr>
      <w:r>
        <w:rPr>
          <w:rFonts w:ascii="inherit" w:hAnsi="inherit"/>
          <w:i/>
          <w:sz w:val="15"/>
        </w:rPr>
        <w:t>See accompanying notes to interim condensed consolidated financial statements.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6341541F7667DB742175CD29235C3997">
        <w:bookmarkStart w:id="10" w:name="sFA0B078B7353151C4685CD28FA95B308"/>
        <w:bookmarkEnd w:id="10"/>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790"/>
        <w:gridCol w:w="167"/>
        <w:gridCol w:w="1201"/>
        <w:gridCol w:w="167"/>
        <w:gridCol w:w="148"/>
        <w:gridCol w:w="167"/>
        <w:gridCol w:w="1201"/>
        <w:gridCol w:w="1364"/>
      </w:tblGrid>
      <w:tr>
        <w:trPr/>
        <w:tc>
          <w:tcPr>
            <w:tcW w:w="10205" w:type="dxa"/>
            <w:gridSpan w:val="8"/>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CASH FLOWS</w:t>
            </w:r>
          </w:p>
        </w:tc>
      </w:tr>
      <w:tr>
        <w:trPr/>
        <w:tc>
          <w:tcPr>
            <w:tcW w:w="57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5790" w:type="dxa"/>
            <w:tcBorders/>
            <w:shd w:fill="auto" w:val="clear"/>
            <w:vAlign w:val="center"/>
          </w:tcPr>
          <w:p>
            <w:pPr>
              <w:pStyle w:val="TableContents"/>
              <w:spacing w:before="0" w:after="0"/>
              <w:ind w:left="0" w:right="0" w:firstLine="30"/>
              <w:jc w:val="left"/>
              <w:rPr/>
            </w:pPr>
            <w:r>
              <w:rPr/>
              <w:t> </w:t>
            </w:r>
          </w:p>
        </w:tc>
        <w:tc>
          <w:tcPr>
            <w:tcW w:w="15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42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62,195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106,436</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Adjustments to reconcile net income to net cash provided by operating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78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Depreciation and amortization</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25,732</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19,891</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loss provision</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19,982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12,136</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income taxes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(644</w:t>
            </w:r>
          </w:p>
        </w:tc>
        <w:tc>
          <w:tcPr>
            <w:tcW w:w="1364"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Other adjustments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73</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pPr>
            <w:r>
              <w:rPr/>
              <w:t>—</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Loss on sale or disposal of assets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6,060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138</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5,202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5,191</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from investments in unconsolidated affiliates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(13,491</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(12,935</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Changes in operating assets and liabilities, net of business acquisitions: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78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Service charges and fees receivable, net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(4,203</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1,150</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(874</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other current assets, and other assets, net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(13,119</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(4,845</w:t>
            </w:r>
          </w:p>
        </w:tc>
        <w:tc>
          <w:tcPr>
            <w:tcW w:w="1364"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accrued expenses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7,330</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(12,100</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588</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(182</w:t>
            </w:r>
          </w:p>
        </w:tc>
        <w:tc>
          <w:tcPr>
            <w:tcW w:w="1364"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439</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722</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(321</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(1,582</w:t>
            </w:r>
          </w:p>
        </w:tc>
        <w:tc>
          <w:tcPr>
            <w:tcW w:w="1364"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taxes receivable/payable</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(5,664</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(8,370</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Dividends from unconsolidated affiliates</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8,418</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5,560</w:t>
            </w:r>
          </w:p>
        </w:tc>
        <w:tc>
          <w:tcPr>
            <w:tcW w:w="1364"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99,415</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109,692</w:t>
            </w:r>
          </w:p>
        </w:tc>
        <w:tc>
          <w:tcPr>
            <w:tcW w:w="13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1535"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shd w:fill="auto" w:val="clear"/>
            <w:vAlign w:val="center"/>
          </w:tcPr>
          <w:p>
            <w:pPr>
              <w:pStyle w:val="TableContents"/>
              <w:spacing w:before="0" w:after="0"/>
              <w:ind w:left="0" w:right="0" w:firstLine="420"/>
              <w:rPr/>
            </w:pPr>
            <w:r>
              <w:rPr/>
              <w:t> </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Loans made</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(682,184</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(571,683</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Loans repaid</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451,182</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382,854</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Recovery of pawn loan principal through sale of forfeited collateral</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181,461</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179,681</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Additions to property and equipment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(33,351</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(33,193</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Acquisitions, net of cash acquired</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(14,940</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(125,249</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(11,018</w:t>
            </w:r>
          </w:p>
        </w:tc>
        <w:tc>
          <w:tcPr>
            <w:tcW w:w="1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4"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used in investing activities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(108,850</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(167,590</w:t>
            </w:r>
          </w:p>
        </w:tc>
        <w:tc>
          <w:tcPr>
            <w:tcW w:w="136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1535"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shd w:fill="auto" w:val="clear"/>
            <w:vAlign w:val="center"/>
          </w:tcPr>
          <w:p>
            <w:pPr>
              <w:pStyle w:val="TableContents"/>
              <w:spacing w:before="0" w:after="0"/>
              <w:ind w:left="0" w:right="0" w:firstLine="420"/>
              <w:rPr/>
            </w:pPr>
            <w:r>
              <w:rPr/>
              <w:t> </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exercise of stock options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647</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321</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1,582</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(3,596</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(1,153</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 in restricted cash</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96</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(1,085</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revolving line of credit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403,131</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594,809</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Payments on revolving line of credit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(385,964</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(502,575</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bank borrowings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21,637</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343</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Payments on bank borrowings and capital lease obligations</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(28,001</w:t>
            </w:r>
          </w:p>
        </w:tc>
        <w:tc>
          <w:tcPr>
            <w:tcW w:w="1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(8,164</w:t>
            </w:r>
          </w:p>
        </w:tc>
        <w:tc>
          <w:tcPr>
            <w:tcW w:w="1364"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cash provided by used in financing activities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7,669</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84,404</w:t>
            </w:r>
          </w:p>
        </w:tc>
        <w:tc>
          <w:tcPr>
            <w:tcW w:w="13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Effect of exchange rate changes on cash and cash equivalents</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(756</w:t>
            </w:r>
          </w:p>
        </w:tc>
        <w:tc>
          <w:tcPr>
            <w:tcW w:w="1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299</w:t>
            </w:r>
          </w:p>
        </w:tc>
        <w:tc>
          <w:tcPr>
            <w:tcW w:w="136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increase (decrease) in cash and cash equivalents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(2,522</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26,805</w:t>
            </w:r>
          </w:p>
        </w:tc>
        <w:tc>
          <w:tcPr>
            <w:tcW w:w="13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Cash and cash equivalents at beginning of period</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48,477</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136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Cash and cash equivalents at end of period</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45,955</w:t>
            </w:r>
          </w:p>
        </w:tc>
        <w:tc>
          <w:tcPr>
            <w:tcW w:w="16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50,774</w:t>
            </w:r>
          </w:p>
        </w:tc>
        <w:tc>
          <w:tcPr>
            <w:tcW w:w="136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Non-cash Investing and Financing Activities:</w:t>
            </w:r>
          </w:p>
        </w:tc>
        <w:tc>
          <w:tcPr>
            <w:tcW w:w="1535"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shd w:fill="auto" w:val="clear"/>
            <w:vAlign w:val="center"/>
          </w:tcPr>
          <w:p>
            <w:pPr>
              <w:pStyle w:val="TableContents"/>
              <w:spacing w:before="0" w:after="0"/>
              <w:ind w:left="0" w:right="0" w:firstLine="420"/>
              <w:rPr/>
            </w:pPr>
            <w:r>
              <w:rPr/>
              <w:t> </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loans forfeited and transferred to inventory</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192,150</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177,490</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due to acquisitions</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38,705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17,984</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consideration</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25,872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916</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Contingent consideration</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248</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23,000</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Accrued additions to property and equipment</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107</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177</w:t>
            </w:r>
          </w:p>
        </w:tc>
        <w:tc>
          <w:tcPr>
            <w:tcW w:w="136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5"/>
        </w:rPr>
      </w:pPr>
      <w:r>
        <w:rPr>
          <w:rFonts w:ascii="inherit" w:hAnsi="inherit"/>
          <w:i/>
          <w:sz w:val="15"/>
        </w:rPr>
        <w:t>See accompanying notes to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6341541F7667DB742175CD29235C3997">
        <w:bookmarkStart w:id="11" w:name="s006917721E6041AE7953CD28FBE2FD32"/>
        <w:bookmarkEnd w:id="11"/>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744"/>
        <w:gridCol w:w="697"/>
        <w:gridCol w:w="64"/>
        <w:gridCol w:w="120"/>
        <w:gridCol w:w="218"/>
        <w:gridCol w:w="664"/>
        <w:gridCol w:w="87"/>
        <w:gridCol w:w="120"/>
        <w:gridCol w:w="138"/>
        <w:gridCol w:w="817"/>
        <w:gridCol w:w="138"/>
        <w:gridCol w:w="120"/>
        <w:gridCol w:w="138"/>
        <w:gridCol w:w="817"/>
        <w:gridCol w:w="64"/>
        <w:gridCol w:w="120"/>
        <w:gridCol w:w="208"/>
        <w:gridCol w:w="1087"/>
        <w:gridCol w:w="210"/>
        <w:gridCol w:w="120"/>
        <w:gridCol w:w="138"/>
        <w:gridCol w:w="853"/>
        <w:gridCol w:w="523"/>
      </w:tblGrid>
      <w:tr>
        <w:trPr/>
        <w:tc>
          <w:tcPr>
            <w:tcW w:w="10205" w:type="dxa"/>
            <w:gridSpan w:val="23"/>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STOCKHOLDERS' EQUITY</w:t>
            </w:r>
          </w:p>
        </w:tc>
      </w:tr>
      <w:tr>
        <w:trPr/>
        <w:tc>
          <w:tcPr>
            <w:tcW w:w="274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44" w:type="dxa"/>
            <w:tcBorders/>
            <w:shd w:fill="auto" w:val="clear"/>
            <w:vAlign w:val="center"/>
          </w:tcPr>
          <w:p>
            <w:pPr>
              <w:pStyle w:val="TableContents"/>
              <w:spacing w:before="0" w:after="0"/>
              <w:ind w:left="0" w:right="0" w:firstLine="30"/>
              <w:jc w:val="left"/>
              <w:rPr/>
            </w:pPr>
            <w:r>
              <w:rPr/>
              <w:t> </w:t>
            </w:r>
          </w:p>
        </w:tc>
        <w:tc>
          <w:tcPr>
            <w:tcW w:w="185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120" w:type="dxa"/>
            <w:tcBorders/>
            <w:shd w:fill="auto" w:val="clear"/>
            <w:vAlign w:val="center"/>
          </w:tcPr>
          <w:p>
            <w:pPr>
              <w:pStyle w:val="TableContents"/>
              <w:spacing w:before="0" w:after="0"/>
              <w:ind w:left="0" w:right="0" w:firstLine="30"/>
              <w:rPr/>
            </w:pPr>
            <w:r>
              <w:rPr/>
              <w:t> </w:t>
            </w:r>
          </w:p>
        </w:tc>
        <w:tc>
          <w:tcPr>
            <w:tcW w:w="1093"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Additional</w:t>
            </w:r>
          </w:p>
          <w:p>
            <w:pPr>
              <w:pStyle w:val="TableContents"/>
              <w:spacing w:before="0" w:after="0"/>
              <w:jc w:val="center"/>
              <w:rPr>
                <w:rFonts w:ascii="inherit" w:hAnsi="inherit"/>
                <w:b/>
                <w:sz w:val="13"/>
              </w:rPr>
            </w:pPr>
            <w:r>
              <w:rPr>
                <w:rFonts w:ascii="inherit" w:hAnsi="inherit"/>
                <w:b/>
                <w:sz w:val="13"/>
              </w:rPr>
              <w:t>Paid-in</w:t>
            </w:r>
          </w:p>
          <w:p>
            <w:pPr>
              <w:pStyle w:val="TableContents"/>
              <w:spacing w:before="0" w:after="0"/>
              <w:ind w:left="0" w:right="0" w:firstLine="30"/>
              <w:jc w:val="center"/>
              <w:rPr>
                <w:rFonts w:ascii="inherit" w:hAnsi="inherit"/>
                <w:b/>
                <w:sz w:val="13"/>
              </w:rPr>
            </w:pPr>
            <w:r>
              <w:rPr>
                <w:rFonts w:ascii="inherit" w:hAnsi="inherit"/>
                <w:b/>
                <w:sz w:val="13"/>
              </w:rPr>
              <w:t>Capital</w:t>
            </w:r>
          </w:p>
        </w:tc>
        <w:tc>
          <w:tcPr>
            <w:tcW w:w="120" w:type="dxa"/>
            <w:vMerge w:val="restart"/>
            <w:tcBorders/>
            <w:shd w:fill="auto" w:val="clear"/>
            <w:vAlign w:val="center"/>
          </w:tcPr>
          <w:p>
            <w:pPr>
              <w:pStyle w:val="TableContents"/>
              <w:spacing w:before="0" w:after="0"/>
              <w:ind w:left="0" w:right="0" w:firstLine="30"/>
              <w:rPr/>
            </w:pPr>
            <w:r>
              <w:rPr/>
              <w:t> </w:t>
            </w:r>
          </w:p>
        </w:tc>
        <w:tc>
          <w:tcPr>
            <w:tcW w:w="1019"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Retained</w:t>
            </w:r>
          </w:p>
          <w:p>
            <w:pPr>
              <w:pStyle w:val="TableContents"/>
              <w:spacing w:before="0" w:after="0"/>
              <w:ind w:left="0" w:right="0" w:firstLine="30"/>
              <w:jc w:val="center"/>
              <w:rPr>
                <w:rFonts w:ascii="inherit" w:hAnsi="inherit"/>
                <w:b/>
                <w:sz w:val="13"/>
              </w:rPr>
            </w:pPr>
            <w:r>
              <w:rPr>
                <w:rFonts w:ascii="inherit" w:hAnsi="inherit"/>
                <w:b/>
                <w:sz w:val="13"/>
              </w:rPr>
              <w:t>Earnings</w:t>
            </w:r>
          </w:p>
        </w:tc>
        <w:tc>
          <w:tcPr>
            <w:tcW w:w="120" w:type="dxa"/>
            <w:vMerge w:val="restart"/>
            <w:tcBorders/>
            <w:shd w:fill="auto" w:val="clear"/>
            <w:vAlign w:val="center"/>
          </w:tcPr>
          <w:p>
            <w:pPr>
              <w:pStyle w:val="TableContents"/>
              <w:spacing w:before="0" w:after="0"/>
              <w:ind w:left="0" w:right="0" w:firstLine="30"/>
              <w:rPr/>
            </w:pPr>
            <w:r>
              <w:rPr/>
              <w:t> </w:t>
            </w:r>
          </w:p>
        </w:tc>
        <w:tc>
          <w:tcPr>
            <w:tcW w:w="150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Comprehensive Income (Loss)</w:t>
            </w:r>
          </w:p>
        </w:tc>
        <w:tc>
          <w:tcPr>
            <w:tcW w:w="120" w:type="dxa"/>
            <w:vMerge w:val="restart"/>
            <w:tcBorders/>
            <w:shd w:fill="auto" w:val="clear"/>
            <w:vAlign w:val="center"/>
          </w:tcPr>
          <w:p>
            <w:pPr>
              <w:pStyle w:val="TableContents"/>
              <w:spacing w:before="0" w:after="0"/>
              <w:ind w:left="0" w:right="0" w:firstLine="30"/>
              <w:rPr/>
            </w:pPr>
            <w:r>
              <w:rPr/>
              <w:t> </w:t>
            </w:r>
          </w:p>
        </w:tc>
        <w:tc>
          <w:tcPr>
            <w:tcW w:w="1514"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EZCORP, Inc.</w:t>
            </w:r>
          </w:p>
          <w:p>
            <w:pPr>
              <w:pStyle w:val="TableContents"/>
              <w:spacing w:before="0" w:after="0"/>
              <w:jc w:val="center"/>
              <w:rPr>
                <w:rFonts w:ascii="inherit" w:hAnsi="inherit"/>
                <w:b/>
                <w:sz w:val="13"/>
              </w:rPr>
            </w:pPr>
            <w:r>
              <w:rPr>
                <w:rFonts w:ascii="inherit" w:hAnsi="inherit"/>
                <w:b/>
                <w:sz w:val="13"/>
              </w:rPr>
              <w:t>Stockholders’</w:t>
            </w:r>
          </w:p>
          <w:p>
            <w:pPr>
              <w:pStyle w:val="TableContents"/>
              <w:spacing w:before="0" w:after="0"/>
              <w:ind w:left="0" w:right="0" w:firstLine="30"/>
              <w:jc w:val="center"/>
              <w:rPr>
                <w:rFonts w:ascii="inherit" w:hAnsi="inherit"/>
                <w:b/>
                <w:sz w:val="13"/>
              </w:rPr>
            </w:pPr>
            <w:r>
              <w:rPr>
                <w:rFonts w:ascii="inherit" w:hAnsi="inherit"/>
                <w:b/>
                <w:sz w:val="13"/>
              </w:rPr>
              <w:t>Equity</w:t>
            </w:r>
          </w:p>
        </w:tc>
      </w:tr>
      <w:tr>
        <w:trPr/>
        <w:tc>
          <w:tcPr>
            <w:tcW w:w="2744" w:type="dxa"/>
            <w:tcBorders/>
            <w:shd w:fill="auto" w:val="clear"/>
            <w:vAlign w:val="center"/>
          </w:tcPr>
          <w:p>
            <w:pPr>
              <w:pStyle w:val="TableContents"/>
              <w:spacing w:before="0" w:after="0"/>
              <w:ind w:left="0" w:right="0" w:firstLine="30"/>
              <w:jc w:val="left"/>
              <w:rPr/>
            </w:pPr>
            <w:r>
              <w:rPr/>
              <w:t> </w:t>
            </w:r>
          </w:p>
        </w:tc>
        <w:tc>
          <w:tcPr>
            <w:tcW w:w="76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120" w:type="dxa"/>
            <w:tcBorders/>
            <w:shd w:fill="auto" w:val="clear"/>
            <w:vAlign w:val="center"/>
          </w:tcPr>
          <w:p>
            <w:pPr>
              <w:pStyle w:val="TableContents"/>
              <w:spacing w:before="0" w:after="0"/>
              <w:ind w:left="0" w:right="0" w:firstLine="30"/>
              <w:rPr/>
            </w:pPr>
            <w:r>
              <w:rPr/>
              <w:t> </w:t>
            </w:r>
          </w:p>
        </w:tc>
        <w:tc>
          <w:tcPr>
            <w:tcW w:w="9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 Value</w:t>
            </w:r>
          </w:p>
        </w:tc>
        <w:tc>
          <w:tcPr>
            <w:tcW w:w="120" w:type="dxa"/>
            <w:tcBorders/>
            <w:shd w:fill="auto" w:val="clear"/>
            <w:vAlign w:val="center"/>
          </w:tcPr>
          <w:p>
            <w:pPr>
              <w:pStyle w:val="TableContents"/>
              <w:spacing w:before="0" w:after="0"/>
              <w:ind w:left="0" w:right="0" w:firstLine="30"/>
              <w:rPr/>
            </w:pPr>
            <w:r>
              <w:rPr/>
              <w:t> </w:t>
            </w:r>
          </w:p>
        </w:tc>
        <w:tc>
          <w:tcPr>
            <w:tcW w:w="1093" w:type="dxa"/>
            <w:gridSpan w:val="3"/>
            <w:vMerge w:val="continue"/>
            <w:tcBorders>
              <w:bottom w:val="single" w:sz="2" w:space="0" w:color="000000"/>
            </w:tcBorders>
            <w:shd w:fill="auto" w:val="clear"/>
            <w:tcMar>
              <w:bottom w:w="30"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019" w:type="dxa"/>
            <w:gridSpan w:val="3"/>
            <w:vMerge w:val="continue"/>
            <w:tcBorders>
              <w:bottom w:val="single" w:sz="2" w:space="0" w:color="000000"/>
            </w:tcBorders>
            <w:shd w:fill="auto" w:val="clear"/>
            <w:tcMar>
              <w:bottom w:w="30"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505" w:type="dxa"/>
            <w:gridSpan w:val="3"/>
            <w:vMerge w:val="continue"/>
            <w:tcBorders>
              <w:bottom w:val="single" w:sz="2" w:space="0" w:color="000000"/>
            </w:tcBorders>
            <w:shd w:fill="auto" w:val="clear"/>
            <w:tcMar>
              <w:bottom w:w="30"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514"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744" w:type="dxa"/>
            <w:tcBorders/>
            <w:shd w:fill="auto" w:val="clear"/>
            <w:vAlign w:val="center"/>
          </w:tcPr>
          <w:p>
            <w:pPr>
              <w:pStyle w:val="TableContents"/>
              <w:spacing w:before="0" w:after="0"/>
              <w:ind w:left="0" w:right="0" w:firstLine="30"/>
              <w:jc w:val="left"/>
              <w:rPr/>
            </w:pPr>
            <w:r>
              <w:rPr/>
              <w:t> </w:t>
            </w:r>
          </w:p>
        </w:tc>
        <w:tc>
          <w:tcPr>
            <w:tcW w:w="7461" w:type="dxa"/>
            <w:gridSpan w:val="2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Balances at September 30, 2011</w:t>
            </w:r>
          </w:p>
        </w:tc>
        <w:tc>
          <w:tcPr>
            <w:tcW w:w="69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50,199</w:t>
            </w:r>
          </w:p>
        </w:tc>
        <w:tc>
          <w:tcPr>
            <w:tcW w:w="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21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6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501</w:t>
            </w:r>
          </w:p>
        </w:tc>
        <w:tc>
          <w:tcPr>
            <w:tcW w:w="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242,398</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422,095</w:t>
            </w:r>
          </w:p>
        </w:tc>
        <w:tc>
          <w:tcPr>
            <w:tcW w:w="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20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108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(746</w:t>
            </w:r>
          </w:p>
        </w:tc>
        <w:tc>
          <w:tcPr>
            <w:tcW w:w="2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5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664,248</w:t>
            </w:r>
          </w:p>
        </w:tc>
        <w:tc>
          <w:tcPr>
            <w:tcW w:w="523" w:type="dxa"/>
            <w:tcBorders>
              <w:top w:val="single" w:sz="2" w:space="0" w:color="000000"/>
            </w:tcBorders>
            <w:shd w:fill="CCEEFF"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5,191</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5,191</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Stock options exercised</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201</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647</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Issuance of common stock due to acquisitions</w:t>
            </w:r>
          </w:p>
        </w:tc>
        <w:tc>
          <w:tcPr>
            <w:tcW w:w="697" w:type="dxa"/>
            <w:tcBorders/>
            <w:shd w:fill="auto" w:val="clear"/>
            <w:vAlign w:val="center"/>
          </w:tcPr>
          <w:p>
            <w:pPr>
              <w:pStyle w:val="TableContents"/>
              <w:spacing w:before="0" w:after="0"/>
              <w:jc w:val="right"/>
              <w:rPr>
                <w:rFonts w:ascii="inherit" w:hAnsi="inherit"/>
                <w:sz w:val="13"/>
              </w:rPr>
            </w:pPr>
            <w:r>
              <w:rPr>
                <w:rFonts w:ascii="inherit" w:hAnsi="inherit"/>
                <w:sz w:val="13"/>
              </w:rPr>
              <w:t>635</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17,992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17,999</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Release of restricted stock</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159</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1,580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1,580</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Taxes paid related to net share settlement of equity awards</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(1,153</w:t>
            </w:r>
          </w:p>
        </w:tc>
        <w:tc>
          <w:tcPr>
            <w:tcW w:w="13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(1,153</w:t>
            </w:r>
          </w:p>
        </w:tc>
        <w:tc>
          <w:tcPr>
            <w:tcW w:w="523"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Unrealized loss on available-for-sale securities</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(550</w:t>
            </w:r>
          </w:p>
        </w:tc>
        <w:tc>
          <w:tcPr>
            <w:tcW w:w="21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(550</w:t>
            </w:r>
          </w:p>
        </w:tc>
        <w:tc>
          <w:tcPr>
            <w:tcW w:w="523"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adjustment</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(7,327</w:t>
            </w:r>
          </w:p>
        </w:tc>
        <w:tc>
          <w:tcPr>
            <w:tcW w:w="21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(7,327</w:t>
            </w:r>
          </w:p>
        </w:tc>
        <w:tc>
          <w:tcPr>
            <w:tcW w:w="523"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697"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6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105,136</w:t>
            </w:r>
          </w:p>
        </w:tc>
        <w:tc>
          <w:tcPr>
            <w:tcW w:w="6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105,136</w:t>
            </w:r>
          </w:p>
        </w:tc>
        <w:tc>
          <w:tcPr>
            <w:tcW w:w="52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Balances at June 30, 2012</w:t>
            </w:r>
          </w:p>
        </w:tc>
        <w:tc>
          <w:tcPr>
            <w:tcW w:w="69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51,194</w:t>
            </w:r>
          </w:p>
        </w:tc>
        <w:tc>
          <w:tcPr>
            <w:tcW w:w="6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512</w:t>
            </w:r>
          </w:p>
        </w:tc>
        <w:tc>
          <w:tcPr>
            <w:tcW w:w="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266,653</w:t>
            </w:r>
          </w:p>
        </w:tc>
        <w:tc>
          <w:tcPr>
            <w:tcW w:w="1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527,231</w:t>
            </w:r>
          </w:p>
        </w:tc>
        <w:tc>
          <w:tcPr>
            <w:tcW w:w="6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0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8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(8,623</w:t>
            </w:r>
          </w:p>
        </w:tc>
        <w:tc>
          <w:tcPr>
            <w:tcW w:w="21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785,773</w:t>
            </w:r>
          </w:p>
        </w:tc>
        <w:tc>
          <w:tcPr>
            <w:tcW w:w="52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rPr/>
            </w:pPr>
            <w:r>
              <w:rPr/>
              <w:t> </w:t>
            </w:r>
          </w:p>
        </w:tc>
        <w:tc>
          <w:tcPr>
            <w:tcW w:w="761" w:type="dxa"/>
            <w:gridSpan w:val="2"/>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969"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093"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019"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505"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514" w:type="dxa"/>
            <w:gridSpan w:val="3"/>
            <w:tcBorders/>
            <w:shd w:fill="auto" w:val="clear"/>
            <w:vAlign w:val="center"/>
          </w:tcPr>
          <w:p>
            <w:pPr>
              <w:pStyle w:val="TableContents"/>
              <w:spacing w:before="0" w:after="0"/>
              <w:ind w:left="0" w:right="0" w:firstLine="30"/>
              <w:rPr/>
            </w:pPr>
            <w:r>
              <w:rPr/>
              <w:t> </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Balances at September 30, 2012</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51,226</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1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64" w:type="dxa"/>
            <w:tcBorders/>
            <w:shd w:fill="CCEEFF" w:val="clear"/>
            <w:vAlign w:val="center"/>
          </w:tcPr>
          <w:p>
            <w:pPr>
              <w:pStyle w:val="TableContents"/>
              <w:spacing w:before="0" w:after="0"/>
              <w:jc w:val="right"/>
              <w:rPr>
                <w:rFonts w:ascii="inherit" w:hAnsi="inherit"/>
                <w:sz w:val="13"/>
              </w:rPr>
            </w:pPr>
            <w:r>
              <w:rPr>
                <w:rFonts w:ascii="inherit" w:hAnsi="inherit"/>
                <w:sz w:val="13"/>
              </w:rPr>
              <w:t>512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shd w:fill="CCEEFF" w:val="clear"/>
            <w:vAlign w:val="center"/>
          </w:tcPr>
          <w:p>
            <w:pPr>
              <w:pStyle w:val="TableContents"/>
              <w:spacing w:before="0" w:after="0"/>
              <w:jc w:val="right"/>
              <w:rPr>
                <w:rFonts w:ascii="inherit" w:hAnsi="inherit"/>
                <w:sz w:val="13"/>
              </w:rPr>
            </w:pPr>
            <w:r>
              <w:rPr>
                <w:rFonts w:ascii="inherit" w:hAnsi="inherit"/>
                <w:sz w:val="13"/>
              </w:rPr>
              <w:t>268,626</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shd w:fill="CCEEFF" w:val="clear"/>
            <w:vAlign w:val="center"/>
          </w:tcPr>
          <w:p>
            <w:pPr>
              <w:pStyle w:val="TableContents"/>
              <w:spacing w:before="0" w:after="0"/>
              <w:jc w:val="right"/>
              <w:rPr>
                <w:rFonts w:ascii="inherit" w:hAnsi="inherit"/>
                <w:sz w:val="13"/>
              </w:rPr>
            </w:pPr>
            <w:r>
              <w:rPr>
                <w:rFonts w:ascii="inherit" w:hAnsi="inherit"/>
                <w:sz w:val="13"/>
              </w:rPr>
              <w:t>565,803</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0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087" w:type="dxa"/>
            <w:tcBorders/>
            <w:shd w:fill="CCEEFF" w:val="clear"/>
            <w:vAlign w:val="center"/>
          </w:tcPr>
          <w:p>
            <w:pPr>
              <w:pStyle w:val="TableContents"/>
              <w:spacing w:before="0" w:after="0"/>
              <w:jc w:val="right"/>
              <w:rPr>
                <w:rFonts w:ascii="inherit" w:hAnsi="inherit"/>
                <w:sz w:val="13"/>
              </w:rPr>
            </w:pPr>
            <w:r>
              <w:rPr>
                <w:rFonts w:ascii="inherit" w:hAnsi="inherit"/>
                <w:sz w:val="13"/>
              </w:rPr>
              <w:t>(113</w:t>
            </w:r>
          </w:p>
        </w:tc>
        <w:tc>
          <w:tcPr>
            <w:tcW w:w="21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53" w:type="dxa"/>
            <w:tcBorders/>
            <w:shd w:fill="CCEEFF" w:val="clear"/>
            <w:vAlign w:val="center"/>
          </w:tcPr>
          <w:p>
            <w:pPr>
              <w:pStyle w:val="TableContents"/>
              <w:spacing w:before="0" w:after="0"/>
              <w:jc w:val="right"/>
              <w:rPr>
                <w:rFonts w:ascii="inherit" w:hAnsi="inherit"/>
                <w:sz w:val="13"/>
              </w:rPr>
            </w:pPr>
            <w:r>
              <w:rPr>
                <w:rFonts w:ascii="inherit" w:hAnsi="inherit"/>
                <w:sz w:val="13"/>
              </w:rPr>
              <w:t>834,828</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5,202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5,202</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Stock options exercised</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18</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due to acquisitions</w:t>
            </w:r>
          </w:p>
        </w:tc>
        <w:tc>
          <w:tcPr>
            <w:tcW w:w="697" w:type="dxa"/>
            <w:tcBorders/>
            <w:shd w:fill="auto" w:val="clear"/>
            <w:vAlign w:val="center"/>
          </w:tcPr>
          <w:p>
            <w:pPr>
              <w:pStyle w:val="TableContents"/>
              <w:spacing w:before="0" w:after="0"/>
              <w:jc w:val="right"/>
              <w:rPr>
                <w:rFonts w:ascii="inherit" w:hAnsi="inherit"/>
                <w:sz w:val="13"/>
              </w:rPr>
            </w:pPr>
            <w:r>
              <w:rPr>
                <w:rFonts w:ascii="inherit" w:hAnsi="inherit"/>
                <w:sz w:val="13"/>
              </w:rPr>
              <w:t>1,965</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38,685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38,705</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Issuance of common stock due to purchase of subsidiary shares from noncontrolling interest</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592</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10,398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10,404</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Purchase of subsidiary shares from noncontrolling interest</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(2,423</w:t>
            </w:r>
          </w:p>
        </w:tc>
        <w:tc>
          <w:tcPr>
            <w:tcW w:w="1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85</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(2,338</w:t>
            </w:r>
          </w:p>
        </w:tc>
        <w:tc>
          <w:tcPr>
            <w:tcW w:w="523"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Release of restricted stock</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400</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321</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321</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(3,596</w:t>
            </w:r>
          </w:p>
        </w:tc>
        <w:tc>
          <w:tcPr>
            <w:tcW w:w="13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(3,596</w:t>
            </w:r>
          </w:p>
        </w:tc>
        <w:tc>
          <w:tcPr>
            <w:tcW w:w="523"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Effective portion of cash flow hedge</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500</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500</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loss on available-for-sale securities</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(1,120</w:t>
            </w:r>
          </w:p>
        </w:tc>
        <w:tc>
          <w:tcPr>
            <w:tcW w:w="21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(1,120</w:t>
            </w:r>
          </w:p>
        </w:tc>
        <w:tc>
          <w:tcPr>
            <w:tcW w:w="523"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adjustment</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(2,272</w:t>
            </w:r>
          </w:p>
        </w:tc>
        <w:tc>
          <w:tcPr>
            <w:tcW w:w="21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(2,272</w:t>
            </w:r>
          </w:p>
        </w:tc>
        <w:tc>
          <w:tcPr>
            <w:tcW w:w="523"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58,817</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58,817</w:t>
            </w:r>
          </w:p>
        </w:tc>
        <w:tc>
          <w:tcPr>
            <w:tcW w:w="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Balances at June 30, 2013</w:t>
            </w:r>
          </w:p>
        </w:tc>
        <w:tc>
          <w:tcPr>
            <w:tcW w:w="69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54,201</w:t>
            </w:r>
          </w:p>
        </w:tc>
        <w:tc>
          <w:tcPr>
            <w:tcW w:w="6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542</w:t>
            </w:r>
          </w:p>
        </w:tc>
        <w:tc>
          <w:tcPr>
            <w:tcW w:w="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317,258</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624,620</w:t>
            </w:r>
          </w:p>
        </w:tc>
        <w:tc>
          <w:tcPr>
            <w:tcW w:w="6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2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8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(2,920</w:t>
            </w:r>
          </w:p>
        </w:tc>
        <w:tc>
          <w:tcPr>
            <w:tcW w:w="2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939,500</w:t>
            </w:r>
          </w:p>
        </w:tc>
        <w:tc>
          <w:tcPr>
            <w:tcW w:w="5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5"/>
        </w:rPr>
      </w:pPr>
      <w:r>
        <w:rPr>
          <w:rFonts w:ascii="inherit" w:hAnsi="inherit"/>
          <w:i/>
          <w:sz w:val="15"/>
        </w:rPr>
        <w:t>See accompanying notes to interim condensed consolidated financial statements.</w:t>
      </w:r>
    </w:p>
    <w:p>
      <w:pPr>
        <w:pStyle w:val="TextBody"/>
        <w:spacing w:lineRule="auto" w:line="288" w:before="0" w:after="0"/>
        <w:jc w:val="left"/>
        <w:rPr>
          <w:rFonts w:ascii="inherit" w:hAnsi="inherit"/>
          <w:sz w:val="13"/>
        </w:rPr>
      </w:pPr>
      <w:r>
        <w:rPr>
          <w:rFonts w:ascii="inherit" w:hAnsi="inherit"/>
          <w:sz w:val="13"/>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6341541F7667DB742175CD29235C3997">
        <w:bookmarkStart w:id="12" w:name="s1EDD17A4DD2164860691CD2926D0F5FC"/>
        <w:bookmarkEnd w:id="1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sz w:val="17"/>
        </w:rPr>
      </w:pPr>
      <w:r>
        <w:rPr>
          <w:rFonts w:ascii="inherit" w:hAnsi="inherit"/>
          <w:b/>
          <w:sz w:val="17"/>
        </w:rPr>
        <w:t>EZCORP, I</w:t>
      </w:r>
      <w:r>
        <w:rPr>
          <w:rFonts w:ascii="inherit" w:hAnsi="inherit"/>
          <w:b/>
          <w:sz w:val="13"/>
        </w:rPr>
        <w:t>NC</w:t>
      </w:r>
      <w:r>
        <w:rPr>
          <w:rFonts w:ascii="inherit" w:hAnsi="inherit"/>
          <w:b/>
          <w:sz w:val="17"/>
        </w:rPr>
        <w:t xml:space="preserve">. </w:t>
      </w:r>
    </w:p>
    <w:p>
      <w:pPr>
        <w:pStyle w:val="TextBody"/>
        <w:spacing w:lineRule="auto" w:line="288" w:before="0" w:after="0"/>
        <w:jc w:val="center"/>
        <w:rPr>
          <w:rFonts w:ascii="inherit" w:hAnsi="inherit"/>
          <w:b/>
          <w:sz w:val="17"/>
        </w:rPr>
      </w:pPr>
      <w:r>
        <w:rPr>
          <w:rFonts w:ascii="inherit" w:hAnsi="inherit"/>
          <w:b/>
          <w:sz w:val="17"/>
        </w:rPr>
        <w:t>Notes to Interim Condensed Consolidated Financial Statements (Unaudited)</w:t>
      </w:r>
    </w:p>
    <w:p>
      <w:pPr>
        <w:pStyle w:val="TextBody"/>
        <w:spacing w:lineRule="auto" w:line="288" w:before="0" w:after="0"/>
        <w:jc w:val="center"/>
        <w:rPr>
          <w:sz w:val="17"/>
        </w:rPr>
      </w:pPr>
      <w:r>
        <w:rPr>
          <w:rFonts w:ascii="inherit" w:hAnsi="inherit"/>
          <w:b/>
          <w:strike w:val="false"/>
          <w:dstrike w:val="false"/>
          <w:color w:val="000000"/>
          <w:sz w:val="17"/>
          <w:u w:val="none"/>
          <w:effect w:val="none"/>
        </w:rPr>
        <w:t>June 30, 2013</w:t>
      </w:r>
      <w:r>
        <w:rPr>
          <w:sz w:val="17"/>
        </w:rPr>
        <w:t xml:space="preserve">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sz w:val="17"/>
        </w:rPr>
      </w:pPr>
      <w:bookmarkStart w:id="13" w:name="s41576C193224AFCD572DCD28F9F2FC8E"/>
      <w:bookmarkEnd w:id="13"/>
      <w:r>
        <w:rPr>
          <w:rFonts w:ascii="inherit" w:hAnsi="inherit"/>
          <w:b/>
          <w:strike w:val="false"/>
          <w:dstrike w:val="false"/>
          <w:color w:val="000000"/>
          <w:sz w:val="17"/>
          <w:u w:val="none"/>
          <w:effect w:val="none"/>
        </w:rPr>
        <w:t>NOTE 1: ORGANIZATION AND SUMMARY OF SIGNIFICANT ACCOUNTING POLICIES</w:t>
      </w:r>
      <w:r>
        <w:rPr>
          <w:sz w:val="17"/>
        </w:rPr>
        <w:t xml:space="preserve"> </w:t>
      </w:r>
    </w:p>
    <w:p>
      <w:pPr>
        <w:pStyle w:val="TextBody"/>
        <w:spacing w:lineRule="auto" w:line="288" w:before="0" w:after="0"/>
        <w:rPr>
          <w:rFonts w:ascii="inherit" w:hAnsi="inherit"/>
          <w:b/>
          <w:sz w:val="17"/>
          <w:u w:val="single"/>
        </w:rPr>
      </w:pPr>
      <w:r>
        <w:rPr>
          <w:rFonts w:ascii="inherit" w:hAnsi="inherit"/>
          <w:b/>
          <w:sz w:val="17"/>
          <w:u w:val="single"/>
        </w:rPr>
        <w:t>Basis of Presentation</w:t>
      </w:r>
    </w:p>
    <w:p>
      <w:pPr>
        <w:pStyle w:val="TextBody"/>
        <w:spacing w:lineRule="auto" w:line="288" w:before="0" w:after="0"/>
        <w:jc w:val="left"/>
        <w:rPr>
          <w:sz w:val="17"/>
        </w:rPr>
      </w:pPr>
      <w:r>
        <w:rPr>
          <w:rFonts w:ascii="inherit" w:hAnsi="inherit"/>
          <w:sz w:val="17"/>
        </w:rPr>
        <w:t xml:space="preserve">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 and acquired businesses (described in Note 3). The accompanying financial statements should be read with the Consolidated Financial Statements included in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 xml:space="preserve">. The balance sheet at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w:t>
      </w:r>
      <w:r>
        <w:rPr>
          <w:rFonts w:ascii="inherit" w:hAnsi="inherit"/>
          <w:strike w:val="false"/>
          <w:dstrike w:val="false"/>
          <w:color w:val="000000"/>
          <w:sz w:val="17"/>
          <w:u w:val="none"/>
          <w:effect w:val="none"/>
        </w:rPr>
        <w:t>three and nine months</w:t>
      </w:r>
      <w:r>
        <w:rPr>
          <w:sz w:val="17"/>
        </w:rPr>
        <w:t xml:space="preserve"> </w:t>
      </w:r>
      <w:r>
        <w:rPr>
          <w:rFonts w:ascii="inherit" w:hAnsi="inherit"/>
          <w:sz w:val="17"/>
        </w:rPr>
        <w:t xml:space="preserve">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(the “current quarter” and "current nine-month period") are not necessarily indicative of the results of operations for the full fiscal year. Certain prior period balances have been reclassified to conform to the current presentation and to reflect adjustments to purchase price allocations that were updated as additional information became available. </w:t>
      </w:r>
    </w:p>
    <w:p>
      <w:pPr>
        <w:pStyle w:val="TextBody"/>
        <w:spacing w:lineRule="auto" w:line="288" w:before="0" w:after="0"/>
        <w:rPr>
          <w:sz w:val="17"/>
        </w:rPr>
      </w:pPr>
      <w:r>
        <w:rPr>
          <w:rFonts w:ascii="inherit" w:hAnsi="inherit"/>
          <w:sz w:val="17"/>
        </w:rPr>
        <w:t xml:space="preserve">The consolidated financial statements include the accounts of EZCORP, Inc. ("EZCORP") and its consolidated subsidiaries. All inter-company accounts and transactions have been eliminated in consolidation. As of </w:t>
      </w:r>
      <w:r>
        <w:rPr>
          <w:rFonts w:ascii="inherit" w:hAnsi="inherit"/>
          <w:strike w:val="false"/>
          <w:dstrike w:val="false"/>
          <w:color w:val="000000"/>
          <w:sz w:val="17"/>
          <w:u w:val="none"/>
          <w:effect w:val="none"/>
        </w:rPr>
        <w:t>June 30, 2013</w:t>
      </w:r>
      <w:r>
        <w:rPr>
          <w:rFonts w:ascii="inherit" w:hAnsi="inherit"/>
          <w:sz w:val="17"/>
        </w:rPr>
        <w:t xml:space="preserve">, we own </w:t>
      </w:r>
      <w:r>
        <w:rPr>
          <w:rFonts w:ascii="Times New Roman" w:hAnsi="Times New Roman"/>
          <w:b w:val="false"/>
          <w:i w:val="false"/>
          <w:caps w:val="false"/>
          <w:smallCaps w:val="false"/>
          <w:strike w:val="false"/>
          <w:dstrike w:val="false"/>
          <w:color w:val="000000"/>
          <w:sz w:val="17"/>
          <w:u w:val="none"/>
          <w:effect w:val="none"/>
        </w:rPr>
        <w:t>60%</w:t>
      </w:r>
      <w:r>
        <w:rPr>
          <w:sz w:val="17"/>
        </w:rPr>
        <w:t xml:space="preserve"> </w:t>
      </w:r>
      <w:r>
        <w:rPr>
          <w:rFonts w:ascii="inherit" w:hAnsi="inherit"/>
          <w:sz w:val="17"/>
        </w:rPr>
        <w:t xml:space="preserve">of the outstanding equity interests in Prestaciones Finmart, S.A. de C.V., SOFOM, E.N.R. (“Grupo Finmart"), doing business under the brands "Crediamigo" and "Adex," </w:t>
      </w:r>
      <w:r>
        <w:rPr>
          <w:rFonts w:ascii="inherit" w:hAnsi="inherit"/>
          <w:strike w:val="false"/>
          <w:dstrike w:val="false"/>
          <w:color w:val="000000"/>
          <w:sz w:val="17"/>
          <w:u w:val="none"/>
          <w:effect w:val="none"/>
        </w:rPr>
        <w:t>95%</w:t>
      </w:r>
      <w:r>
        <w:rPr>
          <w:sz w:val="17"/>
        </w:rPr>
        <w:t xml:space="preserve"> </w:t>
      </w:r>
      <w:r>
        <w:rPr>
          <w:rFonts w:ascii="inherit" w:hAnsi="inherit"/>
          <w:sz w:val="17"/>
        </w:rPr>
        <w:t xml:space="preserve">of Ariste Holding Limited and its affiliates ("Cash Genie"), and </w:t>
      </w:r>
      <w:r>
        <w:rPr>
          <w:rFonts w:ascii="inherit" w:hAnsi="inherit"/>
          <w:strike w:val="false"/>
          <w:dstrike w:val="false"/>
          <w:color w:val="000000"/>
          <w:sz w:val="17"/>
          <w:u w:val="none"/>
          <w:effect w:val="none"/>
        </w:rPr>
        <w:t>51%</w:t>
      </w:r>
      <w:r>
        <w:rPr>
          <w:sz w:val="17"/>
        </w:rPr>
        <w:t xml:space="preserve"> </w:t>
      </w:r>
      <w:r>
        <w:rPr>
          <w:rFonts w:ascii="inherit" w:hAnsi="inherit"/>
          <w:sz w:val="17"/>
        </w:rPr>
        <w:t>of Renueva Comercial S.A. de C.V. ("TUYO"), and therefore, include their results in our consolidated financial statements. We account for our investments in Albemarle &amp; Bond Holdings, PLC and Cash Converters International Limited using the equity method.</w:t>
      </w:r>
    </w:p>
    <w:p>
      <w:pPr>
        <w:pStyle w:val="TextBody"/>
        <w:spacing w:lineRule="auto" w:line="288" w:before="0" w:after="0"/>
        <w:rPr>
          <w:rFonts w:ascii="inherit" w:hAnsi="inherit"/>
          <w:b/>
          <w:sz w:val="17"/>
          <w:u w:val="single"/>
        </w:rPr>
      </w:pPr>
      <w:r>
        <w:rPr>
          <w:rFonts w:ascii="inherit" w:hAnsi="inherit"/>
          <w:b/>
          <w:sz w:val="17"/>
          <w:u w:val="single"/>
        </w:rPr>
        <w:t>Significant Accounting Policies</w:t>
      </w:r>
    </w:p>
    <w:p>
      <w:pPr>
        <w:pStyle w:val="TextBody"/>
        <w:spacing w:lineRule="auto" w:line="288" w:before="0" w:after="0"/>
        <w:rPr>
          <w:sz w:val="17"/>
        </w:rPr>
      </w:pPr>
      <w:r>
        <w:rPr>
          <w:rFonts w:ascii="inherit" w:hAnsi="inherit"/>
          <w:sz w:val="17"/>
        </w:rPr>
        <w:t xml:space="preserve">With the exception of the policies described below, there have been no changes in significant accounting policies as described in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rFonts w:ascii="inherit" w:hAnsi="inherit"/>
          <w:sz w:val="17"/>
        </w:rPr>
      </w:pPr>
      <w:r>
        <w:rPr>
          <w:rFonts w:ascii="inherit" w:hAnsi="inherit"/>
          <w:sz w:val="17"/>
        </w:rPr>
        <w:t>On November 20, 2012, we entered into a definitive agreement with Go Cash, LLC and certain of its affiliates ("Go Cash") to acquire substantially all the assets of Go Cash's online lending business. This acquisition was completed on December 20, 2012 and accounted for as an asset purchase. Since the acquisition, Go Cash (now EZCORP Online) has modified the following consumer loan policies:</w:t>
      </w:r>
    </w:p>
    <w:p>
      <w:pPr>
        <w:pStyle w:val="TextBody"/>
        <w:spacing w:lineRule="auto" w:line="288" w:before="0" w:after="0"/>
        <w:rPr>
          <w:sz w:val="17"/>
        </w:rPr>
      </w:pPr>
      <w:r>
        <w:rPr>
          <w:rFonts w:ascii="inherit" w:hAnsi="inherit"/>
          <w:i/>
          <w:sz w:val="17"/>
          <w:u w:val="single"/>
        </w:rPr>
        <w:t xml:space="preserve">Unsecured Consumer Loan Revenue and Bad Debt </w:t>
      </w:r>
      <w:r>
        <w:rPr>
          <w:sz w:val="17"/>
        </w:rPr>
        <w:t xml:space="preserve">— </w:t>
      </w:r>
      <w:r>
        <w:rPr>
          <w:rFonts w:ascii="inherit" w:hAnsi="inherit"/>
          <w:sz w:val="17"/>
        </w:rPr>
        <w:t xml:space="preserve">Consumer loans made by EZCORP Online are considered delinquent if they are not repaid or renewed by the maturity date.   We do not accrue additional revenues on delinquent loans. All outstanding principal balances and fee receivables greater than 60 days past due are considered defaulted. Upon default, we charge consumer loan principal to consumer loan bad debt and reverse accrued unsecured consumer loan fee revenue. </w:t>
      </w:r>
    </w:p>
    <w:p>
      <w:pPr>
        <w:pStyle w:val="TextBody"/>
        <w:spacing w:lineRule="auto" w:line="288" w:before="0" w:after="0"/>
        <w:rPr>
          <w:sz w:val="17"/>
        </w:rPr>
      </w:pPr>
      <w:r>
        <w:rPr>
          <w:rFonts w:ascii="inherit" w:hAnsi="inherit"/>
          <w:i/>
          <w:sz w:val="17"/>
          <w:u w:val="single"/>
        </w:rPr>
        <w:t>Derivative Instruments and Hedging Activitie</w:t>
      </w:r>
      <w:r>
        <w:rPr>
          <w:rFonts w:ascii="inherit" w:hAnsi="inherit"/>
          <w:i/>
          <w:sz w:val="17"/>
        </w:rPr>
        <w:t xml:space="preserve">s — </w:t>
      </w:r>
      <w:r>
        <w:rPr>
          <w:rFonts w:ascii="inherit" w:hAnsi="inherit"/>
          <w:sz w:val="17"/>
        </w:rPr>
        <w:t>We recognize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accumulated other comprehensive income, to the extent the derivative is effective at offsetting the changes in cash flows being hedged until the hedged item affects earnings.</w:t>
      </w:r>
    </w:p>
    <w:p>
      <w:pPr>
        <w:pStyle w:val="TextBody"/>
        <w:spacing w:lineRule="auto" w:line="288" w:before="0" w:after="0"/>
        <w:jc w:val="left"/>
        <w:rPr>
          <w:rFonts w:ascii="inherit" w:hAnsi="inherit"/>
          <w:sz w:val="17"/>
        </w:rPr>
      </w:pPr>
      <w:r>
        <w:rPr>
          <w:rFonts w:ascii="inherit" w:hAnsi="inherit"/>
          <w:sz w:val="17"/>
        </w:rPr>
        <w:t>We enter into derivative contracts that we intend to designate as a hedge of a forecasted transaction or the variability of cash flows to be received or paid related to a recognized asset or liability (cash flow hedge). For all hedging relationships, we formally document the hedging relationship and its risk</w:t>
        <w:noBreakHyphen/>
        <w:t>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We also formally assess, both at the inception of the hedging relationship and on an ongoing basis, whether the derivatives that are used in hedging relationships are highly effective in offsetting changes in cash flows of hedged transactions. For derivative instruments that are designated and qualify as part of a cash flow hedging relationship,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We discontinue hedge accounting prospectively when it is determined that the derivative is no longer effective in offsetting cash flows attributable to the hedged risk, the derivative expires or is sold, terminated, or exercised, the cash flow hedge is redesignated because a forecasted transaction is not probable of occurring, or management determines to remove the designation of the cash flow hedge.</w:t>
      </w:r>
    </w:p>
    <w:p>
      <w:pPr>
        <w:pStyle w:val="TextBody"/>
        <w:spacing w:lineRule="auto" w:line="288" w:before="0" w:after="0"/>
        <w:jc w:val="left"/>
        <w:rPr>
          <w:rFonts w:ascii="inherit" w:hAnsi="inherit"/>
          <w:sz w:val="17"/>
        </w:rPr>
      </w:pPr>
      <w:r>
        <w:rPr>
          <w:rFonts w:ascii="inherit" w:hAnsi="inherit"/>
          <w:sz w:val="17"/>
        </w:rPr>
        <w:t xml:space="preserve">In all situations in which hedge accounting is discontinued and the derivative remains outstanding, we continue to carry the derivative at its fair value on the balance sheet and recognize any subsequent changes in its fair value in earnings. When it is probable that a forecasted transaction will not occur, we discontinue hedge accounting and recognize immediately in earnings gains and losses that were accumulated in other comprehensive income related to the hedging relationship. </w:t>
      </w:r>
    </w:p>
    <w:p>
      <w:pPr>
        <w:pStyle w:val="TextBody"/>
        <w:spacing w:lineRule="auto" w:line="288" w:before="0" w:after="0"/>
        <w:rPr>
          <w:rFonts w:ascii="inherit" w:hAnsi="inherit"/>
          <w:b/>
          <w:sz w:val="17"/>
          <w:u w:val="single"/>
        </w:rPr>
      </w:pPr>
      <w:r>
        <w:rPr>
          <w:rFonts w:ascii="inherit" w:hAnsi="inherit"/>
          <w:b/>
          <w:sz w:val="17"/>
          <w:u w:val="single"/>
        </w:rPr>
        <w:t>Recently Adopted Accounting Pronouncements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the Financial Accounting Standards Board ("FASB") issued Accounting Standards Update ("ASU") 2011-11, </w:t>
      </w:r>
      <w:r>
        <w:rPr>
          <w:rFonts w:ascii="inherit" w:hAnsi="inherit"/>
          <w:i/>
          <w:sz w:val="17"/>
        </w:rPr>
        <w:t>Disclosures about Offsetting Assets and Liabilities.</w:t>
      </w:r>
      <w:r>
        <w:rPr>
          <w:sz w:val="17"/>
        </w:rPr>
        <w:t xml:space="preserve"> </w:t>
      </w:r>
      <w:r>
        <w:rPr>
          <w:rFonts w:ascii="inherit" w:hAnsi="inherit"/>
          <w:sz w:val="17"/>
        </w:rPr>
        <w:t xml:space="preserve">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w:t>
      </w:r>
      <w:r>
        <w:rPr>
          <w:rFonts w:ascii="inherit" w:hAnsi="inherit"/>
          <w:strike w:val="false"/>
          <w:dstrike w:val="false"/>
          <w:color w:val="000000"/>
          <w:sz w:val="17"/>
          <w:u w:val="none"/>
          <w:effect w:val="none"/>
        </w:rPr>
        <w:t>January 1, 2013</w:t>
      </w:r>
      <w:r>
        <w:rPr>
          <w:rFonts w:ascii="inherit" w:hAnsi="inherit"/>
          <w:sz w:val="17"/>
        </w:rPr>
        <w:t>. Disclosures are required retrospectively for all comparative periods presented. Currently, we do not enter into any right of offset arrangements and the adoption of ASU 2011-11 did not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2013-01, </w:t>
      </w:r>
      <w:r>
        <w:rPr>
          <w:rFonts w:ascii="inherit" w:hAnsi="inherit"/>
          <w:i/>
          <w:sz w:val="17"/>
        </w:rPr>
        <w:t xml:space="preserve">Balance Sheet (Topic 210): Clarifying the Scope of Disclosures about Offsetting Assets and Liabilities. </w:t>
      </w:r>
      <w:r>
        <w:rPr>
          <w:rFonts w:ascii="inherit" w:hAnsi="inherit"/>
          <w:sz w:val="17"/>
        </w:rPr>
        <w:t xml:space="preserve">This update addresses implementation issues about the scope of ASU 2011-11. The amendments in this ASU clarify that the scope of the disclosures under U.S. GAAP is limited to derivatives, including bifurcated embedded derivatives, repurchase agreements, reverse purchase agreements, securities borrowing and securities lending transactions that are offset in accordance with FASB ASC 210-20-45 </w:t>
      </w:r>
      <w:r>
        <w:rPr>
          <w:rFonts w:ascii="inherit" w:hAnsi="inherit"/>
          <w:i/>
          <w:sz w:val="17"/>
        </w:rPr>
        <w:t xml:space="preserve">Balance Sheet—Offsetting—Other Presentation Matters, </w:t>
      </w:r>
      <w:r>
        <w:rPr>
          <w:rFonts w:ascii="inherit" w:hAnsi="inherit"/>
          <w:sz w:val="17"/>
        </w:rPr>
        <w:t xml:space="preserve">or FASB ASC 815-10-45 </w:t>
      </w:r>
      <w:r>
        <w:rPr>
          <w:rFonts w:ascii="inherit" w:hAnsi="inherit"/>
          <w:i/>
          <w:sz w:val="17"/>
        </w:rPr>
        <w:t xml:space="preserve">Derivatives and Hedging — Overall — Other Presentation Matters, </w:t>
      </w:r>
      <w:r>
        <w:rPr>
          <w:rFonts w:ascii="inherit" w:hAnsi="inherit"/>
          <w:sz w:val="17"/>
        </w:rPr>
        <w:t xml:space="preserve">or subject to a master netting arrangement or similar agreement. Entities with other types of financial assets and financial liabilities subject to a master netting arrangement or similar agreement are no longer subject to the disclosure requirements in ASU 2011-11. This update requires entities to apply the amendments for annual reporting periods beginning on or after </w:t>
      </w:r>
      <w:r>
        <w:rPr>
          <w:rFonts w:ascii="inherit" w:hAnsi="inherit"/>
          <w:strike w:val="false"/>
          <w:dstrike w:val="false"/>
          <w:color w:val="000000"/>
          <w:sz w:val="17"/>
          <w:u w:val="none"/>
          <w:effect w:val="none"/>
        </w:rPr>
        <w:t>January 1, 2013</w:t>
      </w:r>
      <w:r>
        <w:rPr>
          <w:sz w:val="17"/>
        </w:rPr>
        <w:t xml:space="preserve"> </w:t>
      </w:r>
      <w:r>
        <w:rPr>
          <w:rFonts w:ascii="inherit" w:hAnsi="inherit"/>
          <w:sz w:val="17"/>
        </w:rPr>
        <w:t>and interim periods within those annual periods and to provide the required disclosures retrospectively for all comparative periods presented. Currently, we do not enter into any right of offset arrangements and the early adoption of ASU 2013-01 did not have a material effect on our financial position, results of operations or cash flows.</w:t>
      </w:r>
    </w:p>
    <w:p>
      <w:pPr>
        <w:pStyle w:val="TextBody"/>
        <w:spacing w:lineRule="auto" w:line="288" w:before="0" w:after="0"/>
        <w:rPr>
          <w:rFonts w:ascii="inherit" w:hAnsi="inherit"/>
          <w:b/>
          <w:sz w:val="17"/>
          <w:u w:val="single"/>
        </w:rPr>
      </w:pPr>
      <w:r>
        <w:rPr>
          <w:rFonts w:ascii="inherit" w:hAnsi="inherit"/>
          <w:b/>
          <w:sz w:val="17"/>
          <w:u w:val="single"/>
        </w:rPr>
        <w:t>Recently Issued Accounting Pronouncements</w:t>
      </w:r>
    </w:p>
    <w:p>
      <w:pPr>
        <w:pStyle w:val="TextBody"/>
        <w:spacing w:lineRule="auto" w:line="288" w:before="0" w:after="0"/>
        <w:rPr>
          <w:sz w:val="17"/>
        </w:rPr>
      </w:pPr>
      <w:r>
        <w:rPr>
          <w:rFonts w:ascii="inherit" w:hAnsi="inherit"/>
          <w:sz w:val="17"/>
        </w:rPr>
        <w:t xml:space="preserve">In July 2013, the FASB issued ASU 2013-11, </w:t>
      </w:r>
      <w:r>
        <w:rPr>
          <w:rFonts w:ascii="inherit" w:hAnsi="inherit"/>
          <w:i/>
          <w:sz w:val="17"/>
        </w:rPr>
        <w:t>Income Taxes (Topic 740)—Presentation of an Unrecognized Tax Benefit when a Net Operating Loss Carryforward or Tax Credit Carryforward Exists.</w:t>
      </w:r>
      <w:r>
        <w:rPr>
          <w:sz w:val="17"/>
        </w:rPr>
        <w:t xml:space="preserve">  </w:t>
      </w:r>
      <w:r>
        <w:rPr>
          <w:rFonts w:ascii="inherit" w:hAnsi="inherit"/>
          <w:sz w:val="17"/>
        </w:rPr>
        <w:t>This update provides that an entity's unrecognized tax benefit, or a portion of its unrecognized tax benefit, should be presented in its financial statements as a reduction to a deferred tax asset for a net operating loss carryforward, a similar tax loss, or a tax credit carryforward, with one exception. That exception states that,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update applies prospectively to all entities that have unrecognized tax benefits when a net operating loss carryforward, a similar tax loss, or a tax credit carryforward exists at the reporting date. Retrospective application is also permitted. This update is effective for annual periods, and interim periods within those years, beginning after December 15, 2013. We do not anticipate the adoption of ASU 2013-03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October 2012, the FASB issued ASU 2012-04, </w:t>
      </w:r>
      <w:r>
        <w:rPr>
          <w:rFonts w:ascii="inherit" w:hAnsi="inherit"/>
          <w:i/>
          <w:sz w:val="17"/>
        </w:rPr>
        <w:t xml:space="preserve">Technical Corrections and Improvements. </w:t>
      </w:r>
      <w:r>
        <w:rPr>
          <w:rFonts w:ascii="inherit" w:hAnsi="inherit"/>
          <w:sz w:val="17"/>
        </w:rPr>
        <w:t xml:space="preserve">This update clarifies the Codification or corrects unintended application of guidance and includes amendments identifying when the use of fair value should be linked to the definition of fair value in Topic 820, </w:t>
      </w:r>
      <w:r>
        <w:rPr>
          <w:rFonts w:ascii="inherit" w:hAnsi="inherit"/>
          <w:i/>
          <w:sz w:val="17"/>
        </w:rPr>
        <w:t>Fair Value Measurement</w:t>
      </w:r>
      <w:r>
        <w:rPr>
          <w:rFonts w:ascii="inherit" w:hAnsi="inherit"/>
          <w:sz w:val="17"/>
        </w:rPr>
        <w:t>. Amendments to the Codification without transition guidance are effective upon issuance for both public and nonpublic entities. For public entities, amendments subject to transition guidance will be effective for fiscal periods beginning after December 15, 2012. We do not anticipate that the adoption of ASU 2012-04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2013-02, </w:t>
      </w:r>
      <w:r>
        <w:rPr>
          <w:rFonts w:ascii="inherit" w:hAnsi="inherit"/>
          <w:i/>
          <w:sz w:val="17"/>
        </w:rPr>
        <w:t>Comprehensive Income (Topic 220) — Reporting of Amounts Reclassified Out of Accumulated Other Comprehensive Income.</w:t>
      </w:r>
      <w:r>
        <w:rPr>
          <w:sz w:val="17"/>
        </w:rPr>
        <w:t xml:space="preserve">  </w:t>
      </w:r>
      <w:r>
        <w:rPr>
          <w:rFonts w:ascii="inherit" w:hAnsi="inherit"/>
          <w:sz w:val="17"/>
        </w:rPr>
        <w:t xml:space="preserve">This update, requires an entity to report the effect of significant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We do not anticipate the adoption of ASU 2013-03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2013-04, </w:t>
      </w:r>
      <w:r>
        <w:rPr>
          <w:rFonts w:ascii="inherit" w:hAnsi="inherit"/>
          <w:i/>
          <w:sz w:val="17"/>
        </w:rPr>
        <w:t xml:space="preserve">Liabilities (Topic 405)—Obligations Resulting from Joint and Several Liability Arrangements for Which the Total Amount of the Obligation Is Fixed at the Reporting Date (a consensus of the FASB Emerging Issues Task Force). </w:t>
      </w:r>
      <w:r>
        <w:rPr>
          <w:rFonts w:ascii="inherit" w:hAnsi="inherit"/>
          <w:sz w:val="17"/>
        </w:rPr>
        <w:t>This update provides guidance for the recognition, measurement and disclosure of obligations resulting from joint and several liability arrangements for which the total amount of the obligation within the scope of this guidance is fixed at the reporting date (except for obligations addressed within existing guidance in U.S. GAAP). Examples of obligations within the scope of ASU 2013-04 include debt arrangements, other contractual obligations and settled litigation and judicial rulings. ASU 2013-04 is effective prospectively for fiscal years, and interim periods within those years, beginning after December 15, 2013. We do not anticipate that the adoption of ASU 2013-04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March 2013, the FASB issued ASU 2013-05, </w:t>
      </w:r>
      <w:r>
        <w:rPr>
          <w:rFonts w:ascii="inherit" w:hAnsi="inherit"/>
          <w:i/>
          <w:sz w:val="17"/>
        </w:rPr>
        <w:t>Foreign Currency Matters (Topic 830) — Parent's Accounting for the Cumulative Translation Adjustment upon Derecognition of Certain Subsidiaries or Groups of Assets within a Foreign Entity or of an Investment in a Foreign Entity (a consensus of the FASB Emerging Issues Task Force).</w:t>
      </w:r>
      <w:r>
        <w:rPr>
          <w:sz w:val="17"/>
        </w:rPr>
        <w:t xml:space="preserve">  </w:t>
      </w:r>
      <w:r>
        <w:rPr>
          <w:rFonts w:ascii="inherit" w:hAnsi="inherit"/>
          <w:sz w:val="17"/>
        </w:rPr>
        <w:t>This update applies to the release of the cumulative translation adjustment into net income when a parent either sells a part or all of its 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We do not anticipate that the adoption of ASU 2013-05 will have a material effect on our financial position, results of operations or cash flows.</w:t>
      </w:r>
    </w:p>
    <w:p>
      <w:pPr>
        <w:pStyle w:val="TextBody"/>
        <w:spacing w:lineRule="auto" w:line="288" w:before="0" w:after="0"/>
        <w:rPr>
          <w:sz w:val="17"/>
        </w:rPr>
      </w:pPr>
      <w:bookmarkStart w:id="14" w:name="s436e0328134444ffaf63e409145ccd92"/>
      <w:bookmarkEnd w:id="14"/>
      <w:r>
        <w:rPr>
          <w:rFonts w:ascii="inherit" w:hAnsi="inherit"/>
          <w:b/>
          <w:strike w:val="false"/>
          <w:dstrike w:val="false"/>
          <w:color w:val="000000"/>
          <w:sz w:val="17"/>
          <w:u w:val="none"/>
          <w:effect w:val="none"/>
        </w:rPr>
        <w:t>NOTE 2: DISCONTINUED OPERATIONS</w:t>
      </w:r>
      <w:r>
        <w:rPr>
          <w:sz w:val="17"/>
        </w:rPr>
        <w:t xml:space="preserve"> </w:t>
      </w:r>
    </w:p>
    <w:p>
      <w:pPr>
        <w:pStyle w:val="TextBody"/>
        <w:spacing w:lineRule="auto" w:line="288" w:before="0" w:after="0"/>
        <w:jc w:val="left"/>
        <w:rPr>
          <w:sz w:val="17"/>
        </w:rPr>
      </w:pPr>
      <w:r>
        <w:rPr>
          <w:rFonts w:ascii="inherit" w:hAnsi="inherit"/>
          <w:sz w:val="17"/>
        </w:rPr>
        <w:t xml:space="preserve">During the third quarter of fiscal 2013, our Board of Directors approved a plan to close </w:t>
      </w:r>
      <w:r>
        <w:rPr>
          <w:rFonts w:ascii="inherit" w:hAnsi="inherit"/>
          <w:strike w:val="false"/>
          <w:dstrike w:val="false"/>
          <w:color w:val="000000"/>
          <w:sz w:val="17"/>
          <w:u w:val="none"/>
          <w:effect w:val="none"/>
        </w:rPr>
        <w:t>107</w:t>
      </w:r>
      <w:r>
        <w:rPr>
          <w:sz w:val="17"/>
        </w:rPr>
        <w:t xml:space="preserve"> </w:t>
      </w:r>
      <w:r>
        <w:rPr>
          <w:rFonts w:ascii="inherit" w:hAnsi="inherit"/>
          <w:sz w:val="17"/>
        </w:rPr>
        <w:t xml:space="preserve">legacy stores in a variety of locations (the “Reorganization”). These stores are generally older, smaller stores that do not fit our future growth profile. We will continue to execute our growth plan by adding approximately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new stores during our fourth fiscal quarter, broadening our online selling and lending channels, and adding numerous new products across the portfolio of companies in order to better serve our customers in the formats they desire and with the products and services they want. </w:t>
      </w:r>
    </w:p>
    <w:p>
      <w:pPr>
        <w:pStyle w:val="TextBody"/>
        <w:spacing w:lineRule="auto" w:line="288" w:before="0" w:after="0"/>
        <w:jc w:val="left"/>
        <w:rPr>
          <w:rFonts w:ascii="inherit" w:hAnsi="inherit"/>
          <w:sz w:val="17"/>
        </w:rPr>
      </w:pPr>
      <w:r>
        <w:rPr>
          <w:rFonts w:ascii="inherit" w:hAnsi="inherit"/>
          <w:sz w:val="17"/>
        </w:rPr>
        <w:t>The Reorganization includes: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57</w:t>
            </w:r>
            <w:r>
              <w:rPr>
                <w:sz w:val="17"/>
              </w:rPr>
              <w:t xml:space="preserve"> </w:t>
            </w:r>
            <w:r>
              <w:rPr>
                <w:rFonts w:ascii="inherit" w:hAnsi="inherit"/>
                <w:sz w:val="17"/>
              </w:rPr>
              <w:t xml:space="preserve">stores in Mexico, </w:t>
            </w:r>
            <w:r>
              <w:rPr>
                <w:rFonts w:ascii="inherit" w:hAnsi="inherit"/>
                <w:strike w:val="false"/>
                <w:dstrike w:val="false"/>
                <w:color w:val="000000"/>
                <w:sz w:val="17"/>
                <w:u w:val="none"/>
                <w:effect w:val="none"/>
              </w:rPr>
              <w:t>52</w:t>
            </w:r>
            <w:r>
              <w:rPr>
                <w:sz w:val="17"/>
              </w:rPr>
              <w:t xml:space="preserve"> </w:t>
            </w:r>
            <w:r>
              <w:rPr>
                <w:rFonts w:ascii="inherit" w:hAnsi="inherit"/>
                <w:sz w:val="17"/>
              </w:rPr>
              <w:t xml:space="preserve">of which are small, jewelry-only asset group formats. We will continue to operate </w:t>
            </w:r>
            <w:r>
              <w:rPr>
                <w:rFonts w:ascii="inherit" w:hAnsi="inherit"/>
                <w:strike w:val="false"/>
                <w:dstrike w:val="false"/>
                <w:color w:val="000000"/>
                <w:sz w:val="17"/>
                <w:u w:val="none"/>
                <w:effect w:val="none"/>
              </w:rPr>
              <w:t>235</w:t>
            </w:r>
            <w:r>
              <w:rPr>
                <w:sz w:val="17"/>
              </w:rPr>
              <w:t xml:space="preserve"> </w:t>
            </w:r>
            <w:r>
              <w:rPr>
                <w:rFonts w:ascii="inherit" w:hAnsi="inherit"/>
                <w:sz w:val="17"/>
              </w:rPr>
              <w:t xml:space="preserve">full-service SWS stores under the Empeño Fácil brand, and expect to continue our rapid storefront growth in Mexico, ending fiscal year 2013 with approximately </w:t>
            </w:r>
            <w:r>
              <w:rPr>
                <w:rFonts w:ascii="inherit" w:hAnsi="inherit"/>
                <w:strike w:val="false"/>
                <w:dstrike w:val="false"/>
                <w:color w:val="000000"/>
                <w:sz w:val="17"/>
                <w:u w:val="none"/>
                <w:effect w:val="none"/>
              </w:rPr>
              <w:t>245</w:t>
            </w:r>
            <w:r>
              <w:rPr>
                <w:sz w:val="17"/>
              </w:rPr>
              <w:t xml:space="preserve"> </w:t>
            </w:r>
            <w:r>
              <w:rPr>
                <w:rFonts w:ascii="inherit" w:hAnsi="inherit"/>
                <w:sz w:val="17"/>
              </w:rPr>
              <w:t>locations. Neither Empeño Fácil, TUYO, nor Grupo Finmart are gold dependent and together they make up Latin America, our fastest growing segment.</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29</w:t>
            </w:r>
            <w:r>
              <w:rPr>
                <w:sz w:val="17"/>
              </w:rPr>
              <w:t xml:space="preserve"> </w:t>
            </w:r>
            <w:r>
              <w:rPr>
                <w:rFonts w:ascii="inherit" w:hAnsi="inherit"/>
                <w:sz w:val="17"/>
              </w:rPr>
              <w:t xml:space="preserve">stores in Canada, where we are in the process of transitioning to an integrated buy/sell and financial services model under the Cash Converters brand. The affected asset group consists of stores that are not optimal for that model because of location or size. We will continue to operate </w:t>
            </w:r>
            <w:r>
              <w:rPr>
                <w:rFonts w:ascii="inherit" w:hAnsi="inherit"/>
                <w:strike w:val="false"/>
                <w:dstrike w:val="false"/>
                <w:color w:val="000000"/>
                <w:sz w:val="17"/>
                <w:u w:val="none"/>
                <w:effect w:val="none"/>
              </w:rPr>
              <w:t>46</w:t>
            </w:r>
            <w:r>
              <w:rPr>
                <w:sz w:val="17"/>
              </w:rPr>
              <w:t xml:space="preserve"> </w:t>
            </w:r>
            <w:r>
              <w:rPr>
                <w:rFonts w:ascii="inherit" w:hAnsi="inherit"/>
                <w:sz w:val="17"/>
              </w:rPr>
              <w:t>full-service buy/sell and financial services center stores under the Cash Converters brand in Canada and the United States.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financial services stores in Dallas, Texas and the State of Florida, where we are exiting both locations primarily to onerous regulatory requirements. After the Reorganization we will continue to operate </w:t>
            </w:r>
            <w:r>
              <w:rPr>
                <w:rFonts w:ascii="inherit" w:hAnsi="inherit"/>
                <w:strike w:val="false"/>
                <w:dstrike w:val="false"/>
                <w:color w:val="000000"/>
                <w:sz w:val="17"/>
                <w:u w:val="none"/>
                <w:effect w:val="none"/>
              </w:rPr>
              <w:t>472</w:t>
            </w:r>
            <w:r>
              <w:rPr>
                <w:sz w:val="17"/>
              </w:rPr>
              <w:t xml:space="preserve"> </w:t>
            </w:r>
            <w:r>
              <w:rPr>
                <w:rFonts w:ascii="inherit" w:hAnsi="inherit"/>
                <w:sz w:val="17"/>
              </w:rPr>
              <w:t xml:space="preserve">financial services stores in the United States. In addition,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jewelry-only concept store will be closed, which was our only jewelry-only store in the United States. </w:t>
            </w:r>
          </w:p>
        </w:tc>
      </w:tr>
    </w:tbl>
    <w:p>
      <w:pPr>
        <w:pStyle w:val="TextBody"/>
        <w:spacing w:lineRule="auto" w:line="288" w:before="0" w:after="0"/>
        <w:jc w:val="left"/>
        <w:rPr>
          <w:sz w:val="17"/>
        </w:rPr>
      </w:pPr>
      <w:r>
        <w:rPr>
          <w:rFonts w:ascii="inherit" w:hAnsi="inherit"/>
          <w:sz w:val="17"/>
        </w:rPr>
        <w:t xml:space="preserve">In connection with the Reorganization, we incurred charges for lease termination costs, asset and inventory write-down to net realizable liquidation value, uncollectible receivables, and employee severance costs. We recognized </w:t>
      </w:r>
      <w:r>
        <w:rPr>
          <w:rFonts w:ascii="Times New Roman" w:hAnsi="Times New Roman"/>
          <w:strike w:val="false"/>
          <w:dstrike w:val="false"/>
          <w:color w:val="000000"/>
          <w:sz w:val="17"/>
          <w:u w:val="none"/>
          <w:effect w:val="none"/>
        </w:rPr>
        <w:t>$23.8 million</w:t>
      </w:r>
      <w:r>
        <w:rPr>
          <w:sz w:val="17"/>
        </w:rPr>
        <w:t xml:space="preserve"> </w:t>
      </w:r>
      <w:r>
        <w:rPr>
          <w:rFonts w:ascii="inherit" w:hAnsi="inherit"/>
          <w:sz w:val="17"/>
        </w:rPr>
        <w:t xml:space="preserve">of pre-tax charges related to the Reorganization during the third quarter ended </w:t>
      </w:r>
      <w:r>
        <w:rPr>
          <w:rFonts w:ascii="Times New Roman" w:hAnsi="Times New Roman"/>
          <w:strike w:val="false"/>
          <w:dstrike w:val="false"/>
          <w:color w:val="000000"/>
          <w:sz w:val="17"/>
          <w:u w:val="none"/>
          <w:effect w:val="none"/>
        </w:rPr>
        <w:t>June 30, 2013</w:t>
      </w:r>
      <w:r>
        <w:rPr>
          <w:rFonts w:ascii="inherit" w:hAnsi="inherit"/>
          <w:sz w:val="17"/>
        </w:rPr>
        <w:t xml:space="preserve">. These exit costs have been recorded as part of loss from discontinued operations in our condensed consolidated statements of operations.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following table summarizes the termination costs recognized in our third quarter ended </w:t>
      </w:r>
      <w:r>
        <w:rPr>
          <w:rFonts w:ascii="Times New Roman" w:hAnsi="Times New Roman"/>
          <w:strike w:val="false"/>
          <w:dstrike w:val="false"/>
          <w:color w:val="000000"/>
          <w:sz w:val="17"/>
          <w:u w:val="none"/>
          <w:effect w:val="none"/>
        </w:rPr>
        <w:t>June 30, 2013</w:t>
      </w:r>
      <w:r>
        <w:rPr>
          <w:sz w:val="17"/>
        </w:rPr>
        <w:t xml:space="preserve"> </w:t>
      </w:r>
      <w:r>
        <w:rPr>
          <w:rFonts w:ascii="inherit" w:hAnsi="inherit"/>
          <w:sz w:val="17"/>
        </w:rPr>
        <w:t>financial statements related to the Reorganization:</w:t>
      </w:r>
    </w:p>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6485"/>
        <w:gridCol w:w="233"/>
        <w:gridCol w:w="3364"/>
        <w:gridCol w:w="123"/>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648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6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85" w:type="dxa"/>
            <w:tcBorders/>
            <w:shd w:fill="auto" w:val="clear"/>
            <w:vAlign w:val="center"/>
          </w:tcPr>
          <w:p>
            <w:pPr>
              <w:pStyle w:val="TableContents"/>
              <w:spacing w:before="0" w:after="0"/>
              <w:ind w:left="0" w:right="0" w:firstLine="30"/>
              <w:rPr/>
            </w:pPr>
            <w:r>
              <w:rPr/>
              <w:t> </w:t>
            </w:r>
          </w:p>
        </w:tc>
        <w:tc>
          <w:tcPr>
            <w:tcW w:w="3720"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June 30, 2013</w:t>
            </w:r>
          </w:p>
        </w:tc>
      </w:tr>
      <w:tr>
        <w:trPr/>
        <w:tc>
          <w:tcPr>
            <w:tcW w:w="6485" w:type="dxa"/>
            <w:tcBorders/>
            <w:shd w:fill="auto" w:val="clear"/>
            <w:vAlign w:val="center"/>
          </w:tcPr>
          <w:p>
            <w:pPr>
              <w:pStyle w:val="TableContents"/>
              <w:spacing w:before="0" w:after="0"/>
              <w:ind w:left="0" w:right="0" w:firstLine="30"/>
              <w:rPr/>
            </w:pPr>
            <w:r>
              <w:rPr/>
              <w:t> </w:t>
            </w:r>
          </w:p>
        </w:tc>
        <w:tc>
          <w:tcPr>
            <w:tcW w:w="3720"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Lease termination costs</w:t>
            </w:r>
          </w:p>
        </w:tc>
        <w:tc>
          <w:tcPr>
            <w:tcW w:w="2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64" w:type="dxa"/>
            <w:tcBorders/>
            <w:shd w:fill="CCEEFF" w:val="clear"/>
            <w:vAlign w:val="center"/>
          </w:tcPr>
          <w:p>
            <w:pPr>
              <w:pStyle w:val="TableContents"/>
              <w:spacing w:before="0" w:after="0"/>
              <w:jc w:val="right"/>
              <w:rPr>
                <w:rFonts w:ascii="inherit" w:hAnsi="inherit"/>
                <w:sz w:val="17"/>
              </w:rPr>
            </w:pPr>
            <w:r>
              <w:rPr>
                <w:rFonts w:ascii="inherit" w:hAnsi="inherit"/>
                <w:sz w:val="17"/>
              </w:rPr>
              <w:t>9,099</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Employee severance</w:t>
            </w:r>
          </w:p>
        </w:tc>
        <w:tc>
          <w:tcPr>
            <w:tcW w:w="35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1,023</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Inventory write-down to liquidation value</w:t>
            </w:r>
          </w:p>
        </w:tc>
        <w:tc>
          <w:tcPr>
            <w:tcW w:w="35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7,801</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Fixed asset write-down to liquidation value</w:t>
            </w:r>
          </w:p>
        </w:tc>
        <w:tc>
          <w:tcPr>
            <w:tcW w:w="35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5,840</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2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23,763</w:t>
            </w:r>
          </w:p>
        </w:tc>
        <w:tc>
          <w:tcPr>
            <w:tcW w:w="1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As of </w:t>
      </w:r>
      <w:r>
        <w:rPr>
          <w:rFonts w:ascii="Times New Roman" w:hAnsi="Times New Roman"/>
          <w:strike w:val="false"/>
          <w:dstrike w:val="false"/>
          <w:color w:val="000000"/>
          <w:sz w:val="17"/>
          <w:u w:val="none"/>
          <w:effect w:val="none"/>
        </w:rPr>
        <w:t>June 30, 2013</w:t>
      </w:r>
      <w:r>
        <w:rPr>
          <w:rFonts w:ascii="inherit" w:hAnsi="inherit"/>
          <w:sz w:val="17"/>
        </w:rPr>
        <w:t xml:space="preserve">, no cash payments had been made with regard to the recorded termination costs.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The accrued Reorganization charges are included in “Accounts payable and accrued liabilities” in our consolidated balance sheets and in “Loss from discontinued operations, net of tax” in the condensed consolidated statements of operations.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Discontinued operations in the three-month periods ended </w:t>
      </w:r>
      <w:r>
        <w:rPr>
          <w:rFonts w:ascii="Times New Roman" w:hAnsi="Times New Roman"/>
          <w:b w:val="false"/>
          <w:i w:val="false"/>
          <w:caps w:val="false"/>
          <w:smallCaps w:val="false"/>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Times New Roman" w:hAnsi="Times New Roman"/>
          <w:b w:val="false"/>
          <w:i w:val="false"/>
          <w:caps w:val="false"/>
          <w:smallCaps w:val="false"/>
          <w:strike w:val="false"/>
          <w:dstrike w:val="false"/>
          <w:color w:val="000000"/>
          <w:sz w:val="17"/>
          <w:u w:val="none"/>
          <w:effect w:val="none"/>
        </w:rPr>
        <w:t>2012</w:t>
      </w:r>
      <w:r>
        <w:rPr>
          <w:sz w:val="17"/>
        </w:rPr>
        <w:t xml:space="preserve"> </w:t>
      </w:r>
      <w:r>
        <w:rPr>
          <w:rFonts w:ascii="inherit" w:hAnsi="inherit"/>
          <w:sz w:val="17"/>
        </w:rPr>
        <w:t xml:space="preserve">include </w:t>
      </w:r>
      <w:r>
        <w:rPr>
          <w:rFonts w:ascii="inherit" w:hAnsi="inherit"/>
          <w:strike w:val="false"/>
          <w:dstrike w:val="false"/>
          <w:color w:val="000000"/>
          <w:sz w:val="17"/>
          <w:u w:val="none"/>
          <w:effect w:val="none"/>
        </w:rPr>
        <w:t>$3.2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$4.4 million</w:t>
      </w:r>
      <w:r>
        <w:rPr>
          <w:sz w:val="17"/>
        </w:rPr>
        <w:t xml:space="preserve"> </w:t>
      </w:r>
      <w:r>
        <w:rPr>
          <w:rFonts w:ascii="inherit" w:hAnsi="inherit"/>
          <w:sz w:val="17"/>
        </w:rPr>
        <w:t xml:space="preserve">of revenues and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$1.4 million</w:t>
      </w:r>
      <w:r>
        <w:rPr>
          <w:sz w:val="17"/>
        </w:rPr>
        <w:t xml:space="preserve"> </w:t>
      </w:r>
      <w:r>
        <w:rPr>
          <w:rFonts w:ascii="inherit" w:hAnsi="inherit"/>
          <w:sz w:val="17"/>
        </w:rPr>
        <w:t xml:space="preserve">pre-tax operating losses from stores being closed respectively. The nine-month periods ended </w:t>
      </w:r>
      <w:r>
        <w:rPr>
          <w:rFonts w:ascii="Times New Roman" w:hAnsi="Times New Roman"/>
          <w:b w:val="false"/>
          <w:i w:val="false"/>
          <w:caps w:val="false"/>
          <w:smallCaps w:val="false"/>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Times New Roman" w:hAnsi="Times New Roman"/>
          <w:b w:val="false"/>
          <w:i w:val="false"/>
          <w:caps w:val="false"/>
          <w:smallCaps w:val="false"/>
          <w:strike w:val="false"/>
          <w:dstrike w:val="false"/>
          <w:color w:val="000000"/>
          <w:sz w:val="17"/>
          <w:u w:val="none"/>
          <w:effect w:val="none"/>
        </w:rPr>
        <w:t>2012</w:t>
      </w:r>
      <w:r>
        <w:rPr>
          <w:sz w:val="17"/>
        </w:rPr>
        <w:t xml:space="preserve"> </w:t>
      </w:r>
      <w:r>
        <w:rPr>
          <w:rFonts w:ascii="inherit" w:hAnsi="inherit"/>
          <w:sz w:val="17"/>
        </w:rPr>
        <w:t xml:space="preserve">include </w:t>
      </w:r>
      <w:r>
        <w:rPr>
          <w:rFonts w:ascii="inherit" w:hAnsi="inherit"/>
          <w:strike w:val="false"/>
          <w:dstrike w:val="false"/>
          <w:color w:val="000000"/>
          <w:sz w:val="17"/>
          <w:u w:val="none"/>
          <w:effect w:val="none"/>
        </w:rPr>
        <w:t>$11.6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$12.9 million</w:t>
      </w:r>
      <w:r>
        <w:rPr>
          <w:sz w:val="17"/>
        </w:rPr>
        <w:t xml:space="preserve"> </w:t>
      </w:r>
      <w:r>
        <w:rPr>
          <w:rFonts w:ascii="inherit" w:hAnsi="inherit"/>
          <w:sz w:val="17"/>
        </w:rPr>
        <w:t xml:space="preserve">of revenues and </w:t>
      </w:r>
      <w:r>
        <w:rPr>
          <w:rFonts w:ascii="inherit" w:hAnsi="inherit"/>
          <w:strike w:val="false"/>
          <w:dstrike w:val="false"/>
          <w:color w:val="000000"/>
          <w:sz w:val="17"/>
          <w:u w:val="none"/>
          <w:effect w:val="none"/>
        </w:rPr>
        <w:t>$5.5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$3.2</w:t>
      </w:r>
      <w:r>
        <w:rPr>
          <w:sz w:val="17"/>
        </w:rPr>
        <w:t xml:space="preserve"> </w:t>
      </w:r>
      <w:r>
        <w:rPr>
          <w:rFonts w:ascii="inherit" w:hAnsi="inherit"/>
          <w:sz w:val="17"/>
        </w:rPr>
        <w:t>of pre-tax operating losses from stores being closed.</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table below summarizes the pre-tax operating losses by operating segment:</w:t>
      </w:r>
    </w:p>
    <w:tbl>
      <w:tblPr>
        <w:tblW w:w="10205" w:type="dxa"/>
        <w:jc w:val="center"/>
        <w:tblInd w:w="0" w:type="dxa"/>
        <w:tblCellMar>
          <w:top w:w="0" w:type="dxa"/>
          <w:left w:w="0" w:type="dxa"/>
          <w:bottom w:w="0" w:type="dxa"/>
          <w:right w:w="0" w:type="dxa"/>
        </w:tblCellMar>
      </w:tblPr>
      <w:tblGrid>
        <w:gridCol w:w="4356"/>
        <w:gridCol w:w="146"/>
        <w:gridCol w:w="1112"/>
        <w:gridCol w:w="137"/>
        <w:gridCol w:w="125"/>
        <w:gridCol w:w="146"/>
        <w:gridCol w:w="1051"/>
        <w:gridCol w:w="137"/>
        <w:gridCol w:w="125"/>
        <w:gridCol w:w="146"/>
        <w:gridCol w:w="1112"/>
        <w:gridCol w:w="137"/>
        <w:gridCol w:w="125"/>
        <w:gridCol w:w="146"/>
        <w:gridCol w:w="1051"/>
        <w:gridCol w:w="15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56" w:type="dxa"/>
            <w:tcBorders/>
            <w:shd w:fill="auto" w:val="clear"/>
            <w:vAlign w:val="center"/>
          </w:tcPr>
          <w:p>
            <w:pPr>
              <w:pStyle w:val="TableContents"/>
              <w:spacing w:before="0" w:after="0"/>
              <w:ind w:left="0" w:right="0" w:firstLine="30"/>
              <w:rPr/>
            </w:pPr>
            <w:r>
              <w:rPr/>
              <w:t> </w:t>
            </w:r>
          </w:p>
        </w:tc>
        <w:tc>
          <w:tcPr>
            <w:tcW w:w="285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Three Months Ended June 30,</w:t>
            </w:r>
          </w:p>
        </w:tc>
        <w:tc>
          <w:tcPr>
            <w:tcW w:w="125" w:type="dxa"/>
            <w:tcBorders/>
            <w:shd w:fill="auto" w:val="clear"/>
            <w:vAlign w:val="center"/>
          </w:tcPr>
          <w:p>
            <w:pPr>
              <w:pStyle w:val="TableContents"/>
              <w:spacing w:before="0" w:after="0"/>
              <w:ind w:left="0" w:right="0" w:firstLine="30"/>
              <w:rPr/>
            </w:pPr>
            <w:r>
              <w:rPr/>
              <w:t> </w:t>
            </w:r>
          </w:p>
        </w:tc>
        <w:tc>
          <w:tcPr>
            <w:tcW w:w="287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Nine Months Ended June 30,</w:t>
            </w:r>
          </w:p>
        </w:tc>
      </w:tr>
      <w:tr>
        <w:trPr/>
        <w:tc>
          <w:tcPr>
            <w:tcW w:w="4356" w:type="dxa"/>
            <w:tcBorders/>
            <w:shd w:fill="auto" w:val="clear"/>
            <w:vAlign w:val="center"/>
          </w:tcPr>
          <w:p>
            <w:pPr>
              <w:pStyle w:val="TableContents"/>
              <w:spacing w:before="0" w:after="0"/>
              <w:ind w:left="0" w:right="0" w:hanging="0"/>
              <w:rPr/>
            </w:pPr>
            <w:r>
              <w:rPr/>
              <w:t> </w:t>
            </w:r>
          </w:p>
        </w:tc>
        <w:tc>
          <w:tcPr>
            <w:tcW w:w="1395"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25" w:type="dxa"/>
            <w:tcBorders/>
            <w:shd w:fill="auto" w:val="clear"/>
            <w:vAlign w:val="center"/>
          </w:tcPr>
          <w:p>
            <w:pPr>
              <w:pStyle w:val="TableContents"/>
              <w:spacing w:before="0" w:after="0"/>
              <w:ind w:left="0" w:right="0" w:hanging="0"/>
              <w:rPr/>
            </w:pPr>
            <w:r>
              <w:rPr/>
              <w:t> </w:t>
            </w:r>
          </w:p>
        </w:tc>
        <w:tc>
          <w:tcPr>
            <w:tcW w:w="1334"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25" w:type="dxa"/>
            <w:tcBorders/>
            <w:shd w:fill="auto" w:val="clear"/>
            <w:vAlign w:val="center"/>
          </w:tcPr>
          <w:p>
            <w:pPr>
              <w:pStyle w:val="TableContents"/>
              <w:spacing w:before="0" w:after="0"/>
              <w:ind w:left="0" w:right="0" w:hanging="0"/>
              <w:rPr/>
            </w:pPr>
            <w:r>
              <w:rPr/>
              <w:t> </w:t>
            </w:r>
          </w:p>
        </w:tc>
        <w:tc>
          <w:tcPr>
            <w:tcW w:w="1395"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25" w:type="dxa"/>
            <w:tcBorders/>
            <w:shd w:fill="auto" w:val="clear"/>
            <w:vAlign w:val="center"/>
          </w:tcPr>
          <w:p>
            <w:pPr>
              <w:pStyle w:val="TableContents"/>
              <w:spacing w:before="0" w:after="0"/>
              <w:ind w:left="0" w:right="0" w:hanging="0"/>
              <w:rPr/>
            </w:pPr>
            <w:r>
              <w:rPr/>
              <w:t> </w:t>
            </w:r>
          </w:p>
        </w:tc>
        <w:tc>
          <w:tcPr>
            <w:tcW w:w="1350"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sz w:val="17"/>
              </w:rPr>
            </w:pPr>
            <w:r>
              <w:rPr>
                <w:rFonts w:ascii="inherit" w:hAnsi="inherit"/>
                <w:sz w:val="17"/>
              </w:rPr>
              <w:t>2012</w:t>
            </w:r>
          </w:p>
        </w:tc>
      </w:tr>
      <w:tr>
        <w:trPr/>
        <w:tc>
          <w:tcPr>
            <w:tcW w:w="4356" w:type="dxa"/>
            <w:tcBorders/>
            <w:shd w:fill="auto" w:val="clear"/>
            <w:vAlign w:val="center"/>
          </w:tcPr>
          <w:p>
            <w:pPr>
              <w:pStyle w:val="TableContents"/>
              <w:spacing w:before="0" w:after="0"/>
              <w:ind w:left="0" w:right="0" w:firstLine="30"/>
              <w:rPr/>
            </w:pPr>
            <w:r>
              <w:rPr/>
              <w:t> </w:t>
            </w:r>
          </w:p>
        </w:tc>
        <w:tc>
          <w:tcPr>
            <w:tcW w:w="5849"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7"/>
              </w:rPr>
            </w:pPr>
            <w:r>
              <w:rPr>
                <w:rFonts w:ascii="inherit" w:hAnsi="inherit"/>
                <w:i/>
                <w:sz w:val="17"/>
              </w:rPr>
              <w:t>(in thousands)</w:t>
            </w:r>
          </w:p>
        </w:tc>
      </w:tr>
      <w:tr>
        <w:trPr/>
        <w:tc>
          <w:tcPr>
            <w:tcW w:w="4356"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U.S. &amp; Canada</w:t>
            </w:r>
          </w:p>
        </w:tc>
        <w:tc>
          <w:tcPr>
            <w:tcW w:w="13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50" w:type="dxa"/>
            <w:gridSpan w:val="3"/>
            <w:tcBorders/>
            <w:shd w:fill="CCEEFF" w:val="clear"/>
            <w:vAlign w:val="center"/>
          </w:tcPr>
          <w:p>
            <w:pPr>
              <w:pStyle w:val="TableContents"/>
              <w:spacing w:before="0" w:after="0"/>
              <w:ind w:left="0" w:right="0" w:firstLine="30"/>
              <w:rPr/>
            </w:pPr>
            <w:r>
              <w:rPr/>
              <w:t> </w:t>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revenues</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1,495</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1,510</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4,519</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4,667</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Operating expenses</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2,942</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2,576</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8,980</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7,334</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Operating loss from discontinued operations before taxes</w:t>
            </w:r>
          </w:p>
        </w:tc>
        <w:tc>
          <w:tcPr>
            <w:tcW w:w="12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(1,447</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(1,066</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5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(4,461</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(2,667</w:t>
            </w:r>
          </w:p>
        </w:tc>
        <w:tc>
          <w:tcPr>
            <w:tcW w:w="15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13,427</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13,427</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before taxes</w:t>
            </w:r>
          </w:p>
        </w:tc>
        <w:tc>
          <w:tcPr>
            <w:tcW w:w="12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(14,874</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(1,066</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5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(17,888</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(2,667</w:t>
            </w:r>
          </w:p>
        </w:tc>
        <w:tc>
          <w:tcPr>
            <w:tcW w:w="15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benefit (provision)</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839</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1,010</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5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(14,035</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(1,033</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(16,878</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(2,774</w:t>
            </w:r>
          </w:p>
        </w:tc>
        <w:tc>
          <w:tcPr>
            <w:tcW w:w="15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50" w:type="dxa"/>
            <w:gridSpan w:val="3"/>
            <w:tcBorders/>
            <w:shd w:fill="CCEEFF" w:val="clear"/>
            <w:vAlign w:val="center"/>
          </w:tcPr>
          <w:p>
            <w:pPr>
              <w:pStyle w:val="TableContents"/>
              <w:spacing w:before="0" w:after="0"/>
              <w:ind w:left="0" w:right="0" w:firstLine="30"/>
              <w:rPr/>
            </w:pPr>
            <w:r>
              <w:rPr/>
              <w:t> </w:t>
            </w:r>
          </w:p>
        </w:tc>
      </w:tr>
      <w:tr>
        <w:trPr/>
        <w:tc>
          <w:tcPr>
            <w:tcW w:w="4356"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Latin America</w:t>
            </w:r>
          </w:p>
        </w:tc>
        <w:tc>
          <w:tcPr>
            <w:tcW w:w="13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50" w:type="dxa"/>
            <w:gridSpan w:val="3"/>
            <w:tcBorders/>
            <w:shd w:fill="auto" w:val="clear"/>
            <w:vAlign w:val="center"/>
          </w:tcPr>
          <w:p>
            <w:pPr>
              <w:pStyle w:val="TableContents"/>
              <w:spacing w:before="0" w:after="0"/>
              <w:ind w:left="0" w:right="0" w:firstLine="30"/>
              <w:rPr/>
            </w:pPr>
            <w:r>
              <w:rPr/>
              <w:t> </w:t>
            </w:r>
          </w:p>
        </w:tc>
      </w:tr>
      <w:tr>
        <w:trPr/>
        <w:tc>
          <w:tcPr>
            <w:tcW w:w="43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752</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821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2,483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2,775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2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1,076</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1,128</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3,482</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3,337</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Operating loss from discontinued operations before taxes</w:t>
            </w:r>
          </w:p>
        </w:tc>
        <w:tc>
          <w:tcPr>
            <w:tcW w:w="125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(324</w:t>
            </w:r>
          </w:p>
        </w:tc>
        <w:tc>
          <w:tcPr>
            <w:tcW w:w="13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(307</w:t>
            </w:r>
          </w:p>
        </w:tc>
        <w:tc>
          <w:tcPr>
            <w:tcW w:w="13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25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(999</w:t>
            </w:r>
          </w:p>
        </w:tc>
        <w:tc>
          <w:tcPr>
            <w:tcW w:w="13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(562</w:t>
            </w:r>
          </w:p>
        </w:tc>
        <w:tc>
          <w:tcPr>
            <w:tcW w:w="15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2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10,336</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10,336</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before taxes</w:t>
            </w:r>
          </w:p>
        </w:tc>
        <w:tc>
          <w:tcPr>
            <w:tcW w:w="125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(10,660</w:t>
            </w:r>
          </w:p>
        </w:tc>
        <w:tc>
          <w:tcPr>
            <w:tcW w:w="13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(307</w:t>
            </w:r>
          </w:p>
        </w:tc>
        <w:tc>
          <w:tcPr>
            <w:tcW w:w="13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25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(11,335</w:t>
            </w:r>
          </w:p>
        </w:tc>
        <w:tc>
          <w:tcPr>
            <w:tcW w:w="13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(562</w:t>
            </w:r>
          </w:p>
        </w:tc>
        <w:tc>
          <w:tcPr>
            <w:tcW w:w="15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benefit</w:t>
            </w:r>
          </w:p>
        </w:tc>
        <w:tc>
          <w:tcPr>
            <w:tcW w:w="12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3,198</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3,400</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169</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(7,462</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4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(215</w:t>
            </w:r>
          </w:p>
        </w:tc>
        <w:tc>
          <w:tcPr>
            <w:tcW w:w="13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(7,935</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(393</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34"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50" w:type="dxa"/>
            <w:gridSpan w:val="3"/>
            <w:tcBorders/>
            <w:shd w:fill="auto" w:val="clear"/>
            <w:vAlign w:val="center"/>
          </w:tcPr>
          <w:p>
            <w:pPr>
              <w:pStyle w:val="TableContents"/>
              <w:spacing w:before="0" w:after="0"/>
              <w:ind w:left="0" w:right="0" w:firstLine="30"/>
              <w:rPr/>
            </w:pPr>
            <w:r>
              <w:rPr/>
              <w:t> </w:t>
            </w:r>
          </w:p>
        </w:tc>
      </w:tr>
      <w:tr>
        <w:trPr/>
        <w:tc>
          <w:tcPr>
            <w:tcW w:w="4356" w:type="dxa"/>
            <w:tcBorders/>
            <w:shd w:fill="CCEEFF" w:val="clear"/>
            <w:vAlign w:val="center"/>
          </w:tcPr>
          <w:p>
            <w:pPr>
              <w:pStyle w:val="TableContents"/>
              <w:spacing w:before="0" w:after="0"/>
              <w:ind w:left="0" w:right="0" w:firstLine="30"/>
              <w:rPr>
                <w:rFonts w:ascii="inherit" w:hAnsi="inherit"/>
                <w:b/>
                <w:sz w:val="17"/>
                <w:u w:val="single"/>
              </w:rPr>
            </w:pPr>
            <w:r>
              <w:rPr>
                <w:rFonts w:ascii="inherit" w:hAnsi="inherit"/>
                <w:b/>
                <w:sz w:val="17"/>
                <w:u w:val="single"/>
              </w:rPr>
              <w:t>Consolidated</w:t>
            </w:r>
          </w:p>
        </w:tc>
        <w:tc>
          <w:tcPr>
            <w:tcW w:w="13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34"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50" w:type="dxa"/>
            <w:gridSpan w:val="3"/>
            <w:tcBorders/>
            <w:shd w:fill="CCEEFF" w:val="clear"/>
            <w:vAlign w:val="center"/>
          </w:tcPr>
          <w:p>
            <w:pPr>
              <w:pStyle w:val="TableContents"/>
              <w:spacing w:before="0" w:after="0"/>
              <w:ind w:left="0" w:right="0" w:firstLine="30"/>
              <w:rPr/>
            </w:pPr>
            <w:r>
              <w:rPr/>
              <w:t> </w:t>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revenues</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2,247</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2,331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7,002</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7,442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Operating expenses</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4,018</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3,704</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12,462</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10,671</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Operating loss from discontinued operations before taxes</w:t>
            </w:r>
          </w:p>
        </w:tc>
        <w:tc>
          <w:tcPr>
            <w:tcW w:w="125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(1,771</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(1,373</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5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(5,460</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(3,229</w:t>
            </w:r>
          </w:p>
        </w:tc>
        <w:tc>
          <w:tcPr>
            <w:tcW w:w="15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23,763</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23,763</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before taxes</w:t>
            </w:r>
          </w:p>
        </w:tc>
        <w:tc>
          <w:tcPr>
            <w:tcW w:w="125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(25,534</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(1,373</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5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(29,223</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9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(3,229</w:t>
            </w:r>
          </w:p>
        </w:tc>
        <w:tc>
          <w:tcPr>
            <w:tcW w:w="15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benefit</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4,037</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4,410</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(1,248</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(24,813</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5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(3,167</w:t>
            </w:r>
          </w:p>
        </w:tc>
        <w:tc>
          <w:tcPr>
            <w:tcW w:w="153"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sz w:val="17"/>
        </w:rPr>
      </w:pPr>
      <w:bookmarkStart w:id="15" w:name="s8508D4F66CF8B105A7ECCD28FA1336CE"/>
      <w:bookmarkEnd w:id="15"/>
      <w:r>
        <w:rPr>
          <w:rFonts w:ascii="inherit" w:hAnsi="inherit"/>
          <w:b/>
          <w:strike w:val="false"/>
          <w:dstrike w:val="false"/>
          <w:color w:val="000000"/>
          <w:sz w:val="17"/>
          <w:u w:val="none"/>
          <w:effect w:val="none"/>
        </w:rPr>
        <w:t>NOTE 3: ACQUISITIONS</w:t>
      </w:r>
      <w:r>
        <w:rPr>
          <w:sz w:val="17"/>
        </w:rPr>
        <w:t xml:space="preserve"> </w:t>
      </w:r>
    </w:p>
    <w:p>
      <w:pPr>
        <w:pStyle w:val="TextBody"/>
        <w:spacing w:lineRule="auto" w:line="288" w:before="0" w:after="0"/>
        <w:rPr>
          <w:rFonts w:ascii="inherit" w:hAnsi="inherit"/>
          <w:sz w:val="17"/>
          <w:u w:val="single"/>
        </w:rPr>
      </w:pPr>
      <w:r>
        <w:rPr>
          <w:rFonts w:ascii="inherit" w:hAnsi="inherit"/>
          <w:sz w:val="17"/>
          <w:u w:val="single"/>
        </w:rPr>
        <w:t>Go Cash</w:t>
      </w:r>
    </w:p>
    <w:p>
      <w:pPr>
        <w:pStyle w:val="TextBody"/>
        <w:spacing w:lineRule="auto" w:line="288" w:before="0" w:after="0"/>
        <w:rPr>
          <w:sz w:val="17"/>
        </w:rPr>
      </w:pPr>
      <w:r>
        <w:rPr>
          <w:rFonts w:ascii="inherit" w:hAnsi="inherit"/>
          <w:sz w:val="17"/>
        </w:rPr>
        <w:t xml:space="preserve">On November 20, 2012, we entered into a definitive agreement with Go Cash, LLC and certain of its affiliates ("Go Cash") to acquire substantially all the assets of Go Cash's online lending business. This acquisition of assets was completed on December 20, 2012 and accounted for as a business combination. No liabilities were assumed other than trade payables and accounts payable incurred prior to closing in the ordinary course of business, which were approximately </w:t>
      </w:r>
      <w:r>
        <w:rPr>
          <w:rFonts w:ascii="inherit" w:hAnsi="inherit"/>
          <w:strike w:val="false"/>
          <w:dstrike w:val="false"/>
          <w:color w:val="000000"/>
          <w:sz w:val="17"/>
          <w:u w:val="none"/>
          <w:effect w:val="none"/>
        </w:rPr>
        <w:t>$0.2 million</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 xml:space="preserve">The assets acquired include a proprietary software platform, including a loan management system and a lending decision science engine, that will enable geographic expansion both within the U.S. and internationally; an internal customer service and collections call center; a portion of the existing Go Cash multi-state loan portfolio; and related assets, including customer lists, customer data and customer transaction information. We hired substantially all of Go Cash's employees, including the management team, an internal underwriting and customer experience analytics team, and an experienced customer service and collections call center team.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total purchase price is performance-based and will be determined over a period of </w:t>
      </w:r>
      <w:r>
        <w:rPr>
          <w:rFonts w:ascii="inherit" w:hAnsi="inherit"/>
          <w:strike w:val="false"/>
          <w:dstrike w:val="false"/>
          <w:color w:val="000000"/>
          <w:sz w:val="17"/>
          <w:u w:val="none"/>
          <w:effect w:val="none"/>
        </w:rPr>
        <w:t>four years</w:t>
      </w:r>
      <w:r>
        <w:rPr>
          <w:sz w:val="17"/>
        </w:rPr>
        <w:t xml:space="preserve"> </w:t>
      </w:r>
      <w:r>
        <w:rPr>
          <w:rFonts w:ascii="inherit" w:hAnsi="inherit"/>
          <w:sz w:val="17"/>
        </w:rPr>
        <w:t xml:space="preserve">following the closing. A minimum of </w:t>
      </w:r>
      <w:r>
        <w:rPr>
          <w:rFonts w:ascii="inherit" w:hAnsi="inherit"/>
          <w:strike w:val="false"/>
          <w:dstrike w:val="false"/>
          <w:color w:val="000000"/>
          <w:sz w:val="17"/>
          <w:u w:val="none"/>
          <w:effect w:val="none"/>
        </w:rPr>
        <w:t>$50.8 million</w:t>
      </w:r>
      <w:r>
        <w:rPr>
          <w:sz w:val="17"/>
        </w:rPr>
        <w:t xml:space="preserve"> </w:t>
      </w:r>
      <w:r>
        <w:rPr>
          <w:rFonts w:ascii="inherit" w:hAnsi="inherit"/>
          <w:sz w:val="17"/>
        </w:rPr>
        <w:t xml:space="preserve">will be paid, of which </w:t>
      </w:r>
      <w:r>
        <w:rPr>
          <w:rFonts w:ascii="inherit" w:hAnsi="inherit"/>
          <w:strike w:val="false"/>
          <w:dstrike w:val="false"/>
          <w:color w:val="000000"/>
          <w:sz w:val="17"/>
          <w:u w:val="none"/>
          <w:effect w:val="none"/>
        </w:rPr>
        <w:t>$27.8 million</w:t>
      </w:r>
      <w:r>
        <w:rPr>
          <w:sz w:val="17"/>
        </w:rPr>
        <w:t xml:space="preserve"> </w:t>
      </w:r>
      <w:r>
        <w:rPr>
          <w:rFonts w:ascii="inherit" w:hAnsi="inherit"/>
          <w:sz w:val="17"/>
        </w:rPr>
        <w:t xml:space="preserve">was paid at closing, </w:t>
      </w:r>
      <w:r>
        <w:rPr>
          <w:rFonts w:ascii="inherit" w:hAnsi="inherit"/>
          <w:strike w:val="false"/>
          <w:dstrike w:val="false"/>
          <w:color w:val="000000"/>
          <w:sz w:val="17"/>
          <w:u w:val="none"/>
          <w:effect w:val="none"/>
        </w:rPr>
        <w:t>$11.0 million</w:t>
      </w:r>
      <w:r>
        <w:rPr>
          <w:sz w:val="17"/>
        </w:rPr>
        <w:t xml:space="preserve"> </w:t>
      </w:r>
      <w:r>
        <w:rPr>
          <w:rFonts w:ascii="inherit" w:hAnsi="inherit"/>
          <w:sz w:val="17"/>
        </w:rPr>
        <w:t xml:space="preserve">will be paid on November 10, 2013,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 xml:space="preserve">will be paid on November 10, 2014, and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 xml:space="preserve">will be paid on November 10, 2015. The performance consideration element will be based on the net income generated by the "Post-Closing Business Unit" (which will include all of our online consumer lending business). Within a specified period after the end of each of the first four years following the closing, we will make a contingent supplemental payment equal to the difference between (a) the adjusted net income for such year, multiplied by </w:t>
      </w:r>
      <w:r>
        <w:rPr>
          <w:rFonts w:ascii="inherit" w:hAnsi="inherit"/>
          <w:strike w:val="false"/>
          <w:dstrike w:val="false"/>
          <w:color w:val="000000"/>
          <w:sz w:val="17"/>
          <w:u w:val="none"/>
          <w:effect w:val="none"/>
        </w:rPr>
        <w:t>6.0</w:t>
      </w:r>
      <w:r>
        <w:rPr>
          <w:rFonts w:ascii="inherit" w:hAnsi="inherit"/>
          <w:sz w:val="17"/>
        </w:rPr>
        <w:t xml:space="preserve">, and (b) all consideration payments previously paid. Each payment may be made, in our sole discretion, in cash or in the form of shares of EZCORP Class A Non-Voting Common Stock. The initial payment was made in the form of </w:t>
      </w:r>
      <w:r>
        <w:rPr>
          <w:rFonts w:ascii="inherit" w:hAnsi="inherit"/>
          <w:strike w:val="false"/>
          <w:dstrike w:val="false"/>
          <w:color w:val="000000"/>
          <w:sz w:val="17"/>
          <w:u w:val="none"/>
          <w:effect w:val="none"/>
        </w:rPr>
        <w:t>1,400,198</w:t>
      </w:r>
      <w:r>
        <w:rPr>
          <w:sz w:val="17"/>
        </w:rPr>
        <w:t xml:space="preserve"> </w:t>
      </w:r>
      <w:r>
        <w:rPr>
          <w:rFonts w:ascii="inherit" w:hAnsi="inherit"/>
          <w:sz w:val="17"/>
        </w:rPr>
        <w:t>shares of EZCORP Class A Non-Voting Common Stock.</w:t>
      </w:r>
    </w:p>
    <w:p>
      <w:pPr>
        <w:pStyle w:val="TextBody"/>
        <w:spacing w:lineRule="auto" w:line="288" w:before="0" w:after="0"/>
        <w:jc w:val="left"/>
        <w:rPr>
          <w:sz w:val="17"/>
        </w:rPr>
      </w:pPr>
      <w:r>
        <w:rPr>
          <w:rFonts w:ascii="inherit" w:hAnsi="inherit"/>
          <w:sz w:val="17"/>
        </w:rPr>
        <w:t xml:space="preserve">The contingent consideration element of the purchase price, which is the amount in excess of the guaranteed </w:t>
      </w:r>
      <w:r>
        <w:rPr>
          <w:rFonts w:ascii="inherit" w:hAnsi="inherit"/>
          <w:strike w:val="false"/>
          <w:dstrike w:val="false"/>
          <w:color w:val="000000"/>
          <w:sz w:val="17"/>
          <w:u w:val="none"/>
          <w:effect w:val="none"/>
        </w:rPr>
        <w:t>$50.8 million</w:t>
      </w:r>
      <w:r>
        <w:rPr>
          <w:rFonts w:ascii="inherit" w:hAnsi="inherit"/>
          <w:sz w:val="17"/>
        </w:rPr>
        <w:t xml:space="preserve">, has been preliminarily valued at </w:t>
      </w:r>
      <w:r>
        <w:rPr>
          <w:rFonts w:ascii="inherit" w:hAnsi="inherit"/>
          <w:strike w:val="false"/>
          <w:dstrike w:val="false"/>
          <w:color w:val="000000"/>
          <w:sz w:val="17"/>
          <w:u w:val="none"/>
          <w:effect w:val="none"/>
        </w:rPr>
        <w:t>zero</w:t>
      </w:r>
      <w:r>
        <w:rPr>
          <w:sz w:val="17"/>
        </w:rPr>
        <w:t xml:space="preserve"> </w:t>
      </w:r>
      <w:r>
        <w:rPr>
          <w:rFonts w:ascii="inherit" w:hAnsi="inherit"/>
          <w:sz w:val="17"/>
        </w:rPr>
        <w:t xml:space="preserve">as of </w:t>
      </w:r>
      <w:r>
        <w:rPr>
          <w:rFonts w:ascii="inherit" w:hAnsi="inherit"/>
          <w:strike w:val="false"/>
          <w:dstrike w:val="false"/>
          <w:color w:val="000000"/>
          <w:sz w:val="17"/>
          <w:u w:val="none"/>
          <w:effect w:val="none"/>
        </w:rPr>
        <w:t>June 30, 2013</w:t>
      </w:r>
      <w:r>
        <w:rPr>
          <w:rFonts w:ascii="inherit" w:hAnsi="inherit"/>
          <w:sz w:val="17"/>
        </w:rPr>
        <w:t xml:space="preserve">. The </w:t>
      </w:r>
      <w:r>
        <w:rPr>
          <w:rFonts w:ascii="inherit" w:hAnsi="inherit"/>
          <w:strike w:val="false"/>
          <w:dstrike w:val="false"/>
          <w:color w:val="000000"/>
          <w:sz w:val="17"/>
          <w:u w:val="none"/>
          <w:effect w:val="none"/>
        </w:rPr>
        <w:t>three and nine month</w:t>
      </w:r>
      <w:r>
        <w:rPr>
          <w:sz w:val="17"/>
        </w:rPr>
        <w:t xml:space="preserve"> </w:t>
      </w:r>
      <w:r>
        <w:rPr>
          <w:rFonts w:ascii="inherit" w:hAnsi="inherit"/>
          <w:sz w:val="17"/>
        </w:rPr>
        <w:t xml:space="preserve">periods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include </w:t>
      </w:r>
      <w:r>
        <w:rPr>
          <w:rFonts w:ascii="inherit" w:hAnsi="inherit"/>
          <w:strike w:val="false"/>
          <w:dstrike w:val="false"/>
          <w:color w:val="000000"/>
          <w:sz w:val="17"/>
          <w:u w:val="none"/>
          <w:effect w:val="none"/>
        </w:rPr>
        <w:t>$2.3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$3.9 million</w:t>
      </w:r>
      <w:r>
        <w:rPr>
          <w:sz w:val="17"/>
        </w:rPr>
        <w:t xml:space="preserve"> </w:t>
      </w:r>
      <w:r>
        <w:rPr>
          <w:rFonts w:ascii="inherit" w:hAnsi="inherit"/>
          <w:sz w:val="17"/>
        </w:rPr>
        <w:t xml:space="preserve">in total revenues and </w:t>
      </w:r>
      <w:r>
        <w:rPr>
          <w:rFonts w:ascii="inherit" w:hAnsi="inherit"/>
          <w:strike w:val="false"/>
          <w:dstrike w:val="false"/>
          <w:color w:val="000000"/>
          <w:sz w:val="17"/>
          <w:u w:val="none"/>
          <w:effect w:val="none"/>
        </w:rPr>
        <w:t>$2.4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$5.6 million</w:t>
      </w:r>
      <w:r>
        <w:rPr>
          <w:sz w:val="17"/>
        </w:rPr>
        <w:t xml:space="preserve"> </w:t>
      </w:r>
      <w:r>
        <w:rPr>
          <w:rFonts w:ascii="inherit" w:hAnsi="inherit"/>
          <w:sz w:val="17"/>
        </w:rPr>
        <w:t xml:space="preserve">in operating losses related to EZCORP Online. </w:t>
      </w:r>
    </w:p>
    <w:p>
      <w:pPr>
        <w:pStyle w:val="TextBody"/>
        <w:spacing w:lineRule="auto" w:line="288" w:before="0" w:after="0"/>
        <w:rPr>
          <w:rFonts w:ascii="inherit" w:hAnsi="inherit"/>
          <w:sz w:val="17"/>
          <w:u w:val="single"/>
        </w:rPr>
      </w:pPr>
      <w:r>
        <w:rPr>
          <w:rFonts w:ascii="inherit" w:hAnsi="inherit"/>
          <w:sz w:val="17"/>
          <w:u w:val="single"/>
        </w:rPr>
        <w:t>TUYO</w:t>
      </w:r>
    </w:p>
    <w:p>
      <w:pPr>
        <w:pStyle w:val="TextBody"/>
        <w:spacing w:lineRule="auto" w:line="288" w:before="0" w:after="0"/>
        <w:rPr>
          <w:sz w:val="17"/>
        </w:rPr>
      </w:pPr>
      <w:r>
        <w:rPr>
          <w:rFonts w:ascii="inherit" w:hAnsi="inherit"/>
          <w:sz w:val="17"/>
        </w:rPr>
        <w:t xml:space="preserve">On November 1, 2012, we acquired a </w:t>
      </w:r>
      <w:r>
        <w:rPr>
          <w:rFonts w:ascii="inherit" w:hAnsi="inherit"/>
          <w:strike w:val="false"/>
          <w:dstrike w:val="false"/>
          <w:color w:val="000000"/>
          <w:sz w:val="17"/>
          <w:u w:val="none"/>
          <w:effect w:val="none"/>
        </w:rPr>
        <w:t>51%</w:t>
      </w:r>
      <w:r>
        <w:rPr>
          <w:sz w:val="17"/>
        </w:rPr>
        <w:t xml:space="preserve">  </w:t>
      </w:r>
      <w:r>
        <w:rPr>
          <w:rFonts w:ascii="inherit" w:hAnsi="inherit"/>
          <w:sz w:val="17"/>
        </w:rPr>
        <w:t xml:space="preserve">interest in Renueva Comercial S.A. de C.V., a company headquartered in Mexico City and doing business under the name “TUYO”, for approximately </w:t>
      </w:r>
      <w:r>
        <w:rPr>
          <w:rFonts w:ascii="inherit" w:hAnsi="inherit"/>
          <w:strike w:val="false"/>
          <w:dstrike w:val="false"/>
          <w:color w:val="000000"/>
          <w:sz w:val="17"/>
          <w:u w:val="none"/>
          <w:effect w:val="none"/>
        </w:rPr>
        <w:t>$1.1 million</w:t>
      </w:r>
      <w:r>
        <w:rPr>
          <w:rFonts w:ascii="inherit" w:hAnsi="inherit"/>
          <w:sz w:val="17"/>
        </w:rPr>
        <w:t xml:space="preserve">. As of </w:t>
      </w:r>
      <w:r>
        <w:rPr>
          <w:rFonts w:ascii="inherit" w:hAnsi="inherit"/>
          <w:strike w:val="false"/>
          <w:dstrike w:val="false"/>
          <w:color w:val="000000"/>
          <w:sz w:val="17"/>
          <w:u w:val="none"/>
          <w:effect w:val="none"/>
        </w:rPr>
        <w:t>June 30, 2013</w:t>
      </w:r>
      <w:r>
        <w:rPr>
          <w:rFonts w:ascii="inherit" w:hAnsi="inherit"/>
          <w:sz w:val="17"/>
        </w:rPr>
        <w:t xml:space="preserve">, TUYO owned and operated </w:t>
      </w:r>
      <w:r>
        <w:rPr>
          <w:rFonts w:ascii="inherit" w:hAnsi="inherit"/>
          <w:strike w:val="false"/>
          <w:dstrike w:val="false"/>
          <w:color w:val="000000"/>
          <w:sz w:val="17"/>
          <w:u w:val="none"/>
          <w:effect w:val="none"/>
        </w:rPr>
        <w:t>19</w:t>
      </w:r>
      <w:r>
        <w:rPr>
          <w:sz w:val="17"/>
        </w:rPr>
        <w:t xml:space="preserve"> </w:t>
      </w:r>
      <w:r>
        <w:rPr>
          <w:rFonts w:ascii="inherit" w:hAnsi="inherit"/>
          <w:sz w:val="17"/>
        </w:rPr>
        <w:t xml:space="preserve">stores in Mexico City and the surrounding metropolitan area. In these stores, TUYO buys quality used merchandise from customers and then resells that merchandise to other customers. TUYO also sells refurbished or other merchandise acquired in bulk from wholesalers. As this acquisition was individually immaterial, we present its related information, other than information related to the redeemable noncontrolling interest, on a consolidated basis. </w:t>
      </w:r>
    </w:p>
    <w:p>
      <w:pPr>
        <w:pStyle w:val="TextBody"/>
        <w:spacing w:lineRule="auto" w:line="288" w:before="0" w:after="0"/>
        <w:rPr>
          <w:sz w:val="17"/>
        </w:rPr>
      </w:pPr>
      <w:r>
        <w:rPr>
          <w:rFonts w:ascii="inherit" w:hAnsi="inherit"/>
          <w:sz w:val="17"/>
        </w:rPr>
        <w:t xml:space="preserve">Pursuant to the acquisition agreement, the sellers have a put option with respect to their remaining shares of TUYO. The sellers have the right to sell their TUYO shares to EZCORP during a specified exercise period, with specified limitations on the number of shares that may be sold within a consecutive </w:t>
      </w:r>
      <w:r>
        <w:rPr>
          <w:rFonts w:ascii="inherit" w:hAnsi="inherit"/>
          <w:strike w:val="false"/>
          <w:dstrike w:val="false"/>
          <w:color w:val="000000"/>
          <w:sz w:val="17"/>
          <w:u w:val="none"/>
          <w:effect w:val="none"/>
        </w:rPr>
        <w:t>12</w:t>
      </w:r>
      <w:r>
        <w:rPr>
          <w:rFonts w:ascii="inherit" w:hAnsi="inherit"/>
          <w:sz w:val="17"/>
        </w:rPr>
        <w:t xml:space="preserve">-month period. Under the guidance in ASC 480-10-S99, securities that are redeemable for cash or other assets are to be classified outside of permanent equity; therefore, we have included the redeemable noncontrolling interest related to TUYO in temporary equity.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fair value of the TUYO redeemable noncontrolling interest was estimated by applying an income and market approach. This fair value measurement is based on significant inputs that are not observable in the market and thus represents a Level 3 measurement. Key assumptions include discount rates of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18%</w:t>
      </w:r>
      <w:r>
        <w:rPr>
          <w:sz w:val="17"/>
        </w:rPr>
        <w:t xml:space="preserve"> </w:t>
      </w:r>
      <w:r>
        <w:rPr>
          <w:rFonts w:ascii="inherit" w:hAnsi="inherit"/>
          <w:sz w:val="17"/>
        </w:rPr>
        <w:t xml:space="preserve">representing discounts for lack of control and lack of marketability respectively that market participants would consider when estimating the fair value of the noncontrolling interest. The fair market value of TUYO was determined using a multiple of future earnings. We expect the recorded values related to the noncontrolling interest 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to approximate fair value.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u w:val="single"/>
        </w:rPr>
      </w:pPr>
      <w:r>
        <w:rPr>
          <w:rFonts w:ascii="inherit" w:hAnsi="inherit"/>
          <w:sz w:val="17"/>
          <w:u w:val="single"/>
        </w:rPr>
        <w:t>Other</w:t>
      </w:r>
    </w:p>
    <w:p>
      <w:pPr>
        <w:pStyle w:val="TextBody"/>
        <w:spacing w:lineRule="auto" w:line="288" w:before="0" w:after="0"/>
        <w:rPr>
          <w:sz w:val="17"/>
        </w:rPr>
      </w:pPr>
      <w:r>
        <w:rPr>
          <w:rFonts w:ascii="inherit" w:hAnsi="inherit"/>
          <w:sz w:val="17"/>
        </w:rPr>
        <w:t xml:space="preserve">On April 26, 2013, Grupo Finmart, our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owned subsidiary, purchased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the outstanding shares of Fondo ACH, S.A. de C.V., a specialty consumer finance company. The total purchase price is performance-based and will be determined over a period of </w:t>
      </w:r>
      <w:r>
        <w:rPr>
          <w:rFonts w:ascii="inherit" w:hAnsi="inherit"/>
          <w:strike w:val="false"/>
          <w:dstrike w:val="false"/>
          <w:color w:val="000000"/>
          <w:sz w:val="17"/>
          <w:u w:val="none"/>
          <w:effect w:val="none"/>
        </w:rPr>
        <w:t>four years</w:t>
      </w:r>
      <w:r>
        <w:rPr>
          <w:rFonts w:ascii="inherit" w:hAnsi="inherit"/>
          <w:sz w:val="17"/>
        </w:rPr>
        <w:t xml:space="preserve">. A minimum of </w:t>
      </w:r>
      <w:r>
        <w:rPr>
          <w:rFonts w:ascii="inherit" w:hAnsi="inherit"/>
          <w:strike w:val="false"/>
          <w:dstrike w:val="false"/>
          <w:color w:val="000000"/>
          <w:sz w:val="17"/>
          <w:u w:val="none"/>
          <w:effect w:val="none"/>
        </w:rPr>
        <w:t>$3.5 million</w:t>
      </w:r>
      <w:r>
        <w:rPr>
          <w:sz w:val="17"/>
        </w:rPr>
        <w:t xml:space="preserve"> </w:t>
      </w:r>
      <w:r>
        <w:rPr>
          <w:rFonts w:ascii="inherit" w:hAnsi="inherit"/>
          <w:sz w:val="17"/>
        </w:rPr>
        <w:t xml:space="preserve">will be paid, of which </w:t>
      </w:r>
      <w:r>
        <w:rPr>
          <w:rFonts w:ascii="inherit" w:hAnsi="inherit"/>
          <w:strike w:val="false"/>
          <w:dstrike w:val="false"/>
          <w:color w:val="000000"/>
          <w:sz w:val="17"/>
          <w:u w:val="none"/>
          <w:effect w:val="none"/>
        </w:rPr>
        <w:t>$2.7 million</w:t>
      </w:r>
      <w:r>
        <w:rPr>
          <w:sz w:val="17"/>
        </w:rPr>
        <w:t xml:space="preserve"> </w:t>
      </w:r>
      <w:r>
        <w:rPr>
          <w:rFonts w:ascii="inherit" w:hAnsi="inherit"/>
          <w:sz w:val="17"/>
        </w:rPr>
        <w:t xml:space="preserve">was paid at closing with the remaining due on January 2, 2017. The performance consideration element will be based on interest income generated by the acquired portfolios and new loans made through Fondo ACH's contractual relationships. The contingent consideration element of the purchase price, which is the amount in excess of the guaranteed </w:t>
      </w:r>
      <w:r>
        <w:rPr>
          <w:rFonts w:ascii="inherit" w:hAnsi="inherit"/>
          <w:strike w:val="false"/>
          <w:dstrike w:val="false"/>
          <w:color w:val="000000"/>
          <w:sz w:val="17"/>
          <w:u w:val="none"/>
          <w:effect w:val="none"/>
        </w:rPr>
        <w:t>$3.5 million</w:t>
      </w:r>
      <w:r>
        <w:rPr>
          <w:rFonts w:ascii="inherit" w:hAnsi="inherit"/>
          <w:sz w:val="17"/>
        </w:rPr>
        <w:t xml:space="preserve">, has been preliminarily valued at </w:t>
      </w:r>
      <w:r>
        <w:rPr>
          <w:rFonts w:ascii="inherit" w:hAnsi="inherit"/>
          <w:strike w:val="false"/>
          <w:dstrike w:val="false"/>
          <w:color w:val="000000"/>
          <w:sz w:val="17"/>
          <w:u w:val="none"/>
          <w:effect w:val="none"/>
        </w:rPr>
        <w:t>zero</w:t>
      </w:r>
      <w:r>
        <w:rPr>
          <w:sz w:val="17"/>
        </w:rPr>
        <w:t xml:space="preserve"> </w:t>
      </w:r>
      <w:r>
        <w:rPr>
          <w:rFonts w:ascii="inherit" w:hAnsi="inherit"/>
          <w:sz w:val="17"/>
        </w:rPr>
        <w:t xml:space="preserve">as of </w:t>
      </w:r>
      <w:r>
        <w:rPr>
          <w:rFonts w:ascii="inherit" w:hAnsi="inherit"/>
          <w:strike w:val="false"/>
          <w:dstrike w:val="false"/>
          <w:color w:val="000000"/>
          <w:sz w:val="17"/>
          <w:u w:val="none"/>
          <w:effect w:val="none"/>
        </w:rPr>
        <w:t>June 30, 2013</w:t>
      </w:r>
      <w:r>
        <w:rPr>
          <w:rFonts w:ascii="inherit" w:hAnsi="inherit"/>
          <w:sz w:val="17"/>
        </w:rPr>
        <w:t>. As this acquisition was individually immaterial, we present its related information on a consolidated basis.</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June 30, 2013</w:t>
      </w:r>
      <w:r>
        <w:rPr>
          <w:rFonts w:ascii="inherit" w:hAnsi="inherit"/>
          <w:sz w:val="17"/>
        </w:rPr>
        <w:t xml:space="preserve">, Grupo Finmart, purchased a consumer loan portfolio for total consideration of approximately </w:t>
      </w:r>
      <w:r>
        <w:rPr>
          <w:rFonts w:ascii="inherit" w:hAnsi="inherit"/>
          <w:strike w:val="false"/>
          <w:dstrike w:val="false"/>
          <w:color w:val="000000"/>
          <w:sz w:val="17"/>
          <w:u w:val="none"/>
          <w:effect w:val="none"/>
        </w:rPr>
        <w:t>$1.3 million</w:t>
      </w:r>
      <w:r>
        <w:rPr>
          <w:rFonts w:ascii="inherit" w:hAnsi="inherit"/>
          <w:sz w:val="17"/>
        </w:rPr>
        <w:t>. The total purchase price is performance-based and will be determined over the life of the loan portfolio. As this acquisition was individually immaterial, we present its related information on a consolidated basis.</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nine</w:t>
      </w:r>
      <w:r>
        <w:rPr>
          <w:rFonts w:ascii="inherit" w:hAnsi="inherit"/>
          <w:sz w:val="17"/>
        </w:rPr>
        <w:t xml:space="preserve">-month period ended </w:t>
      </w:r>
      <w:r>
        <w:rPr>
          <w:rFonts w:ascii="inherit" w:hAnsi="inherit"/>
          <w:strike w:val="false"/>
          <w:dstrike w:val="false"/>
          <w:color w:val="000000"/>
          <w:sz w:val="17"/>
          <w:u w:val="none"/>
          <w:effect w:val="none"/>
        </w:rPr>
        <w:t>June 30, 2013</w:t>
      </w:r>
      <w:r>
        <w:rPr>
          <w:rFonts w:ascii="inherit" w:hAnsi="inherit"/>
          <w:sz w:val="17"/>
        </w:rPr>
        <w:t xml:space="preserve">, includes the December 2012 acquisition of </w:t>
      </w:r>
      <w:r>
        <w:rPr>
          <w:rFonts w:ascii="inherit" w:hAnsi="inherit"/>
          <w:strike w:val="false"/>
          <w:dstrike w:val="false"/>
          <w:color w:val="000000"/>
          <w:sz w:val="17"/>
          <w:u w:val="none"/>
          <w:effect w:val="none"/>
        </w:rPr>
        <w:t>12</w:t>
      </w:r>
      <w:r>
        <w:rPr>
          <w:sz w:val="17"/>
        </w:rPr>
        <w:t xml:space="preserve"> </w:t>
      </w:r>
      <w:r>
        <w:rPr>
          <w:rFonts w:ascii="inherit" w:hAnsi="inherit"/>
          <w:sz w:val="17"/>
        </w:rPr>
        <w:t>pawn locations in Arizona, which was a new state of operation for EZCORP. As this acquisition was individually immaterial, we present its related information on a consolidated basis.</w:t>
      </w:r>
    </w:p>
    <w:p>
      <w:pPr>
        <w:pStyle w:val="TextBody"/>
        <w:spacing w:lineRule="auto" w:line="288" w:before="0" w:after="0"/>
        <w:rPr>
          <w:sz w:val="17"/>
        </w:rPr>
      </w:pPr>
      <w:r>
        <w:rPr>
          <w:rFonts w:ascii="inherit" w:hAnsi="inherit"/>
          <w:sz w:val="17"/>
        </w:rPr>
        <w:t xml:space="preserve">The following tables provide information related to the acquisitions of domestic and foreign retail and financial services locations during the </w:t>
      </w:r>
      <w:r>
        <w:rPr>
          <w:rFonts w:ascii="inherit" w:hAnsi="inherit"/>
          <w:strike w:val="false"/>
          <w:dstrike w:val="false"/>
          <w:color w:val="000000"/>
          <w:sz w:val="17"/>
          <w:u w:val="none"/>
          <w:effect w:val="none"/>
        </w:rPr>
        <w:t>nine months ended</w:t>
      </w:r>
      <w:r>
        <w:rPr>
          <w:sz w:val="17"/>
        </w:rPr>
        <w:t xml:space="preserve"> </w:t>
      </w:r>
      <w:r>
        <w:rPr>
          <w:rFonts w:ascii="inherit" w:hAnsi="inherit"/>
          <w:strike w:val="false"/>
          <w:dstrike w:val="false"/>
          <w:color w:val="000000"/>
          <w:sz w:val="17"/>
          <w:u w:val="none"/>
          <w:effect w:val="none"/>
        </w:rPr>
        <w:t>June 30, 2013</w:t>
      </w:r>
      <w:r>
        <w:rPr>
          <w:rFonts w:ascii="inherit" w:hAnsi="inherit"/>
          <w:sz w:val="17"/>
        </w:rPr>
        <w:t>:</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6832"/>
        <w:gridCol w:w="1286"/>
        <w:gridCol w:w="106"/>
        <w:gridCol w:w="157"/>
        <w:gridCol w:w="1700"/>
        <w:gridCol w:w="124"/>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6832"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32" w:type="dxa"/>
            <w:tcBorders/>
            <w:shd w:fill="auto" w:val="clear"/>
            <w:vAlign w:val="center"/>
          </w:tcPr>
          <w:p>
            <w:pPr>
              <w:pStyle w:val="TableContents"/>
              <w:spacing w:before="0" w:after="0"/>
              <w:ind w:left="0" w:right="0" w:firstLine="30"/>
              <w:jc w:val="left"/>
              <w:rPr/>
            </w:pPr>
            <w:r>
              <w:rPr/>
              <w:t> </w:t>
            </w:r>
          </w:p>
        </w:tc>
        <w:tc>
          <w:tcPr>
            <w:tcW w:w="3373" w:type="dxa"/>
            <w:gridSpan w:val="5"/>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Nine Months Ended June 30, 2013</w:t>
            </w:r>
          </w:p>
        </w:tc>
      </w:tr>
      <w:tr>
        <w:trPr/>
        <w:tc>
          <w:tcPr>
            <w:tcW w:w="6832" w:type="dxa"/>
            <w:tcBorders/>
            <w:shd w:fill="auto" w:val="clear"/>
            <w:vAlign w:val="center"/>
          </w:tcPr>
          <w:p>
            <w:pPr>
              <w:pStyle w:val="TableContents"/>
              <w:spacing w:before="0" w:after="0"/>
              <w:ind w:left="0" w:right="0" w:firstLine="30"/>
              <w:rPr/>
            </w:pPr>
            <w:r>
              <w:rPr/>
              <w:t> </w:t>
            </w:r>
          </w:p>
        </w:tc>
        <w:tc>
          <w:tcPr>
            <w:tcW w:w="1392" w:type="dxa"/>
            <w:gridSpan w:val="2"/>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Go Cash</w:t>
            </w:r>
          </w:p>
        </w:tc>
        <w:tc>
          <w:tcPr>
            <w:tcW w:w="157" w:type="dxa"/>
            <w:tcBorders/>
            <w:shd w:fill="auto" w:val="clear"/>
            <w:vAlign w:val="center"/>
          </w:tcPr>
          <w:p>
            <w:pPr>
              <w:pStyle w:val="TableContents"/>
              <w:spacing w:before="0" w:after="0"/>
              <w:ind w:left="0" w:right="0" w:firstLine="30"/>
              <w:rPr/>
            </w:pPr>
            <w:r>
              <w:rPr/>
              <w:t> </w:t>
            </w:r>
          </w:p>
        </w:tc>
        <w:tc>
          <w:tcPr>
            <w:tcW w:w="182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68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Number of asset purchase acquisitions</w:t>
            </w:r>
          </w:p>
        </w:tc>
        <w:tc>
          <w:tcPr>
            <w:tcW w:w="128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w:t>
            </w:r>
          </w:p>
        </w:tc>
        <w:tc>
          <w:tcPr>
            <w:tcW w:w="10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7" w:type="dxa"/>
            <w:tcBorders/>
            <w:shd w:fill="CCEEFF" w:val="clear"/>
            <w:vAlign w:val="center"/>
          </w:tcPr>
          <w:p>
            <w:pPr>
              <w:pStyle w:val="TableContents"/>
              <w:spacing w:before="0" w:after="0"/>
              <w:ind w:left="0" w:right="0" w:firstLine="30"/>
              <w:rPr/>
            </w:pPr>
            <w:r>
              <w:rPr/>
              <w:t> </w:t>
            </w:r>
          </w:p>
        </w:tc>
        <w:tc>
          <w:tcPr>
            <w:tcW w:w="1700"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Number of stock purchase acquisitions</w:t>
            </w:r>
          </w:p>
        </w:tc>
        <w:tc>
          <w:tcPr>
            <w:tcW w:w="128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7" w:type="dxa"/>
            <w:tcBorders/>
            <w:shd w:fill="auto" w:val="clear"/>
            <w:vAlign w:val="center"/>
          </w:tcPr>
          <w:p>
            <w:pPr>
              <w:pStyle w:val="TableContents"/>
              <w:spacing w:before="0" w:after="0"/>
              <w:ind w:left="0" w:right="0" w:firstLine="30"/>
              <w:rPr/>
            </w:pPr>
            <w:r>
              <w:rPr/>
              <w:t> </w:t>
            </w:r>
          </w:p>
        </w:tc>
        <w:tc>
          <w:tcPr>
            <w:tcW w:w="1700" w:type="dxa"/>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2" w:type="dxa"/>
            <w:tcBorders/>
            <w:shd w:fill="CCEEFF" w:val="clear"/>
            <w:vAlign w:val="center"/>
          </w:tcPr>
          <w:p>
            <w:pPr>
              <w:pStyle w:val="TableContents"/>
              <w:spacing w:before="0" w:after="0"/>
              <w:ind w:left="0" w:right="0" w:firstLine="30"/>
              <w:rPr/>
            </w:pPr>
            <w:r>
              <w:rPr/>
              <w:t> </w:t>
            </w:r>
          </w:p>
        </w:tc>
        <w:tc>
          <w:tcPr>
            <w:tcW w:w="1392" w:type="dxa"/>
            <w:gridSpan w:val="2"/>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ind w:left="0" w:right="0" w:firstLine="30"/>
              <w:rPr/>
            </w:pPr>
            <w:r>
              <w:rPr/>
              <w:t> </w:t>
            </w:r>
          </w:p>
        </w:tc>
        <w:tc>
          <w:tcPr>
            <w:tcW w:w="1824" w:type="dxa"/>
            <w:gridSpan w:val="2"/>
            <w:tcBorders/>
            <w:shd w:fill="CCEEFF" w:val="clear"/>
            <w:vAlign w:val="center"/>
          </w:tcPr>
          <w:p>
            <w:pPr>
              <w:pStyle w:val="TableContents"/>
              <w:spacing w:before="0" w:after="0"/>
              <w:ind w:left="0" w:right="0" w:firstLine="30"/>
              <w:rPr/>
            </w:pPr>
            <w:r>
              <w:rPr/>
              <w:t> </w:t>
            </w:r>
          </w:p>
        </w:tc>
      </w:tr>
      <w:tr>
        <w:trPr/>
        <w:tc>
          <w:tcPr>
            <w:tcW w:w="68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stores acquired</w:t>
            </w:r>
          </w:p>
        </w:tc>
        <w:tc>
          <w:tcPr>
            <w:tcW w:w="128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7" w:type="dxa"/>
            <w:tcBorders/>
            <w:shd w:fill="auto" w:val="clear"/>
            <w:vAlign w:val="center"/>
          </w:tcPr>
          <w:p>
            <w:pPr>
              <w:pStyle w:val="TableContents"/>
              <w:spacing w:before="0" w:after="0"/>
              <w:ind w:left="0" w:right="0" w:firstLine="30"/>
              <w:rPr/>
            </w:pPr>
            <w:r>
              <w:rPr/>
              <w:t> </w:t>
            </w:r>
          </w:p>
        </w:tc>
        <w:tc>
          <w:tcPr>
            <w:tcW w:w="1700"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stores acquired</w:t>
            </w:r>
          </w:p>
        </w:tc>
        <w:tc>
          <w:tcPr>
            <w:tcW w:w="1286" w:type="dxa"/>
            <w:tcBorders/>
            <w:shd w:fill="CCEEFF" w:val="clear"/>
            <w:vAlign w:val="center"/>
          </w:tcPr>
          <w:p>
            <w:pPr>
              <w:pStyle w:val="TableContents"/>
              <w:spacing w:before="0" w:after="0"/>
              <w:jc w:val="right"/>
              <w:rPr/>
            </w:pPr>
            <w:r>
              <w:rPr/>
              <w:t>—</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7" w:type="dxa"/>
            <w:tcBorders/>
            <w:shd w:fill="CCEEFF" w:val="clear"/>
            <w:vAlign w:val="center"/>
          </w:tcPr>
          <w:p>
            <w:pPr>
              <w:pStyle w:val="TableContents"/>
              <w:spacing w:before="0" w:after="0"/>
              <w:ind w:left="0" w:right="0" w:firstLine="30"/>
              <w:rPr/>
            </w:pPr>
            <w:r>
              <w:rPr/>
              <w:t> </w:t>
            </w:r>
          </w:p>
        </w:tc>
        <w:tc>
          <w:tcPr>
            <w:tcW w:w="170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2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stores acquired</w:t>
            </w:r>
          </w:p>
        </w:tc>
        <w:tc>
          <w:tcPr>
            <w:tcW w:w="12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0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7" w:type="dxa"/>
            <w:tcBorders/>
            <w:shd w:fill="auto" w:val="clear"/>
            <w:vAlign w:val="center"/>
          </w:tcPr>
          <w:p>
            <w:pPr>
              <w:pStyle w:val="TableContents"/>
              <w:spacing w:before="0" w:after="0"/>
              <w:ind w:left="0" w:right="0" w:firstLine="30"/>
              <w:rPr/>
            </w:pPr>
            <w:r>
              <w:rPr/>
              <w:t> </w:t>
            </w:r>
          </w:p>
        </w:tc>
        <w:tc>
          <w:tcPr>
            <w:tcW w:w="170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w:t>
            </w:r>
          </w:p>
        </w:tc>
        <w:tc>
          <w:tcPr>
            <w:tcW w:w="12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6458"/>
        <w:gridCol w:w="184"/>
        <w:gridCol w:w="1332"/>
        <w:gridCol w:w="100"/>
        <w:gridCol w:w="153"/>
        <w:gridCol w:w="184"/>
        <w:gridCol w:w="1332"/>
        <w:gridCol w:w="46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5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58" w:type="dxa"/>
            <w:tcBorders/>
            <w:shd w:fill="auto" w:val="clear"/>
            <w:vAlign w:val="center"/>
          </w:tcPr>
          <w:p>
            <w:pPr>
              <w:pStyle w:val="TableContents"/>
              <w:spacing w:before="0" w:after="0"/>
              <w:ind w:left="0" w:right="0" w:firstLine="30"/>
              <w:jc w:val="left"/>
              <w:rPr/>
            </w:pPr>
            <w:r>
              <w:rPr/>
              <w:t> </w:t>
            </w:r>
          </w:p>
        </w:tc>
        <w:tc>
          <w:tcPr>
            <w:tcW w:w="37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Nine Months Ended June 30, 2013</w:t>
            </w:r>
          </w:p>
        </w:tc>
      </w:tr>
      <w:tr>
        <w:trPr/>
        <w:tc>
          <w:tcPr>
            <w:tcW w:w="6458" w:type="dxa"/>
            <w:tcBorders/>
            <w:shd w:fill="auto" w:val="clear"/>
            <w:vAlign w:val="center"/>
          </w:tcPr>
          <w:p>
            <w:pPr>
              <w:pStyle w:val="TableContents"/>
              <w:spacing w:before="0" w:after="0"/>
              <w:ind w:left="0" w:right="0" w:firstLine="30"/>
              <w:rPr/>
            </w:pPr>
            <w:r>
              <w:rPr/>
              <w:t> </w:t>
            </w:r>
          </w:p>
        </w:tc>
        <w:tc>
          <w:tcPr>
            <w:tcW w:w="16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Go Cash</w:t>
            </w:r>
          </w:p>
        </w:tc>
        <w:tc>
          <w:tcPr>
            <w:tcW w:w="15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97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6458" w:type="dxa"/>
            <w:tcBorders/>
            <w:shd w:fill="auto" w:val="clear"/>
            <w:vAlign w:val="center"/>
          </w:tcPr>
          <w:p>
            <w:pPr>
              <w:pStyle w:val="TableContents"/>
              <w:spacing w:before="0" w:after="0"/>
              <w:ind w:left="0" w:right="0" w:firstLine="30"/>
              <w:jc w:val="left"/>
              <w:rPr/>
            </w:pPr>
            <w:r>
              <w:rPr/>
              <w:t> </w:t>
            </w:r>
          </w:p>
        </w:tc>
        <w:tc>
          <w:tcPr>
            <w:tcW w:w="374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Consideration:</w:t>
            </w:r>
          </w:p>
        </w:tc>
        <w:tc>
          <w:tcPr>
            <w:tcW w:w="1616" w:type="dxa"/>
            <w:gridSpan w:val="3"/>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ind w:left="0" w:right="0" w:firstLine="30"/>
              <w:rPr/>
            </w:pPr>
            <w:r>
              <w:rPr/>
              <w:t> </w:t>
            </w:r>
          </w:p>
        </w:tc>
        <w:tc>
          <w:tcPr>
            <w:tcW w:w="1978" w:type="dxa"/>
            <w:gridSpan w:val="3"/>
            <w:tcBorders/>
            <w:shd w:fill="CCEEFF" w:val="clear"/>
            <w:vAlign w:val="center"/>
          </w:tcPr>
          <w:p>
            <w:pPr>
              <w:pStyle w:val="TableContents"/>
              <w:spacing w:before="0" w:after="0"/>
              <w:ind w:left="0" w:right="0" w:firstLine="420"/>
              <w:rPr/>
            </w:pPr>
            <w:r>
              <w:rPr/>
              <w:t> </w:t>
            </w:r>
          </w:p>
        </w:tc>
      </w:tr>
      <w:tr>
        <w:trPr/>
        <w:tc>
          <w:tcPr>
            <w:tcW w:w="64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32" w:type="dxa"/>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32" w:type="dxa"/>
            <w:tcBorders/>
            <w:shd w:fill="auto" w:val="clear"/>
            <w:vAlign w:val="center"/>
          </w:tcPr>
          <w:p>
            <w:pPr>
              <w:pStyle w:val="TableContents"/>
              <w:spacing w:before="0" w:after="0"/>
              <w:jc w:val="right"/>
              <w:rPr>
                <w:rFonts w:ascii="inherit" w:hAnsi="inherit"/>
                <w:sz w:val="17"/>
              </w:rPr>
            </w:pPr>
            <w:r>
              <w:rPr>
                <w:rFonts w:ascii="inherit" w:hAnsi="inherit"/>
                <w:sz w:val="17"/>
              </w:rPr>
              <w:t>17,980</w:t>
            </w:r>
          </w:p>
        </w:tc>
        <w:tc>
          <w:tcPr>
            <w:tcW w:w="46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instruments</w:t>
            </w:r>
          </w:p>
        </w:tc>
        <w:tc>
          <w:tcPr>
            <w:tcW w:w="1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27,776</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CCEEFF" w:val="clear"/>
            <w:vAlign w:val="center"/>
          </w:tcPr>
          <w:p>
            <w:pPr>
              <w:pStyle w:val="TableContents"/>
              <w:spacing w:before="0" w:after="0"/>
              <w:ind w:left="0" w:right="0" w:firstLine="30"/>
              <w:rPr/>
            </w:pPr>
            <w:r>
              <w:rPr/>
              <w:t> </w:t>
            </w:r>
          </w:p>
        </w:tc>
        <w:tc>
          <w:tcPr>
            <w:tcW w:w="1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10,929</w:t>
            </w:r>
          </w:p>
        </w:tc>
        <w:tc>
          <w:tcPr>
            <w:tcW w:w="46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Contingent consideration</w:t>
            </w:r>
          </w:p>
        </w:tc>
        <w:tc>
          <w:tcPr>
            <w:tcW w:w="1516"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ind w:left="0" w:right="0" w:firstLine="30"/>
              <w:rPr/>
            </w:pPr>
            <w:r>
              <w:rPr/>
              <w:t> </w:t>
            </w:r>
          </w:p>
        </w:tc>
        <w:tc>
          <w:tcPr>
            <w:tcW w:w="15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w:t>
            </w:r>
          </w:p>
        </w:tc>
        <w:tc>
          <w:tcPr>
            <w:tcW w:w="46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consideration</w:t>
            </w:r>
          </w:p>
        </w:tc>
        <w:tc>
          <w:tcPr>
            <w:tcW w:w="15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23,000</w:t>
            </w:r>
          </w:p>
        </w:tc>
        <w:tc>
          <w:tcPr>
            <w:tcW w:w="1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CCEEFF" w:val="clear"/>
            <w:vAlign w:val="center"/>
          </w:tcPr>
          <w:p>
            <w:pPr>
              <w:pStyle w:val="TableContents"/>
              <w:spacing w:before="0" w:after="0"/>
              <w:ind w:left="0" w:right="0" w:firstLine="30"/>
              <w:rPr/>
            </w:pPr>
            <w:r>
              <w:rPr/>
              <w:t> </w:t>
            </w:r>
          </w:p>
        </w:tc>
        <w:tc>
          <w:tcPr>
            <w:tcW w:w="15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2,872</w:t>
            </w:r>
          </w:p>
        </w:tc>
        <w:tc>
          <w:tcPr>
            <w:tcW w:w="46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Fair value of total consideration transferred</w:t>
            </w:r>
          </w:p>
        </w:tc>
        <w:tc>
          <w:tcPr>
            <w:tcW w:w="15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50,776</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ind w:left="0" w:right="0" w:firstLine="30"/>
              <w:rPr/>
            </w:pPr>
            <w:r>
              <w:rPr/>
              <w:t> </w:t>
            </w:r>
          </w:p>
        </w:tc>
        <w:tc>
          <w:tcPr>
            <w:tcW w:w="15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32,029</w:t>
            </w:r>
          </w:p>
        </w:tc>
        <w:tc>
          <w:tcPr>
            <w:tcW w:w="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acquired</w:t>
            </w:r>
          </w:p>
        </w:tc>
        <w:tc>
          <w:tcPr>
            <w:tcW w:w="151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CCEEFF" w:val="clear"/>
            <w:vAlign w:val="center"/>
          </w:tcPr>
          <w:p>
            <w:pPr>
              <w:pStyle w:val="TableContents"/>
              <w:spacing w:before="0" w:after="0"/>
              <w:ind w:left="0" w:right="0" w:firstLine="30"/>
              <w:rPr/>
            </w:pPr>
            <w:r>
              <w:rPr/>
              <w:t> </w:t>
            </w:r>
          </w:p>
        </w:tc>
        <w:tc>
          <w:tcPr>
            <w:tcW w:w="15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(3,040</w:t>
            </w:r>
          </w:p>
        </w:tc>
        <w:tc>
          <w:tcPr>
            <w:tcW w:w="4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4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purchase price</w:t>
            </w:r>
          </w:p>
        </w:tc>
        <w:tc>
          <w:tcPr>
            <w:tcW w:w="18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3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50,776</w:t>
            </w:r>
          </w:p>
        </w:tc>
        <w:tc>
          <w:tcPr>
            <w:tcW w:w="10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ind w:left="0" w:right="0" w:firstLine="30"/>
              <w:rPr/>
            </w:pPr>
            <w:r>
              <w:rPr/>
              <w:t> </w:t>
            </w:r>
          </w:p>
        </w:tc>
        <w:tc>
          <w:tcPr>
            <w:tcW w:w="18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3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28,989</w:t>
            </w:r>
          </w:p>
        </w:tc>
        <w:tc>
          <w:tcPr>
            <w:tcW w:w="46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185"/>
        <w:gridCol w:w="184"/>
        <w:gridCol w:w="1297"/>
        <w:gridCol w:w="95"/>
        <w:gridCol w:w="151"/>
        <w:gridCol w:w="184"/>
        <w:gridCol w:w="1297"/>
        <w:gridCol w:w="81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8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85" w:type="dxa"/>
            <w:tcBorders/>
            <w:shd w:fill="auto" w:val="clear"/>
            <w:vAlign w:val="center"/>
          </w:tcPr>
          <w:p>
            <w:pPr>
              <w:pStyle w:val="TableContents"/>
              <w:spacing w:before="0" w:after="0"/>
              <w:ind w:left="0" w:right="0" w:firstLine="30"/>
              <w:jc w:val="left"/>
              <w:rPr/>
            </w:pPr>
            <w:r>
              <w:rPr/>
              <w:t> </w:t>
            </w:r>
          </w:p>
        </w:tc>
        <w:tc>
          <w:tcPr>
            <w:tcW w:w="402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Nine Months Ended June 30, 2013</w:t>
            </w:r>
          </w:p>
        </w:tc>
      </w:tr>
      <w:tr>
        <w:trPr/>
        <w:tc>
          <w:tcPr>
            <w:tcW w:w="6185" w:type="dxa"/>
            <w:tcBorders/>
            <w:shd w:fill="auto" w:val="clear"/>
            <w:vAlign w:val="center"/>
          </w:tcPr>
          <w:p>
            <w:pPr>
              <w:pStyle w:val="TableContents"/>
              <w:spacing w:before="0" w:after="0"/>
              <w:ind w:left="0" w:right="0" w:firstLine="30"/>
              <w:rPr/>
            </w:pPr>
            <w:r>
              <w:rPr/>
              <w:t> </w:t>
            </w:r>
          </w:p>
        </w:tc>
        <w:tc>
          <w:tcPr>
            <w:tcW w:w="15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Go Cash</w:t>
            </w:r>
          </w:p>
        </w:tc>
        <w:tc>
          <w:tcPr>
            <w:tcW w:w="151"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r>
          </w:p>
        </w:tc>
        <w:tc>
          <w:tcPr>
            <w:tcW w:w="22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6185" w:type="dxa"/>
            <w:tcBorders/>
            <w:shd w:fill="auto" w:val="clear"/>
            <w:vAlign w:val="center"/>
          </w:tcPr>
          <w:p>
            <w:pPr>
              <w:pStyle w:val="TableContents"/>
              <w:spacing w:before="0" w:after="0"/>
              <w:ind w:left="0" w:right="0" w:firstLine="30"/>
              <w:rPr/>
            </w:pPr>
            <w:r>
              <w:rPr/>
              <w:t> </w:t>
            </w:r>
          </w:p>
        </w:tc>
        <w:tc>
          <w:tcPr>
            <w:tcW w:w="402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576"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293" w:type="dxa"/>
            <w:gridSpan w:val="3"/>
            <w:tcBorders/>
            <w:shd w:fill="CCEEFF" w:val="clear"/>
            <w:vAlign w:val="center"/>
          </w:tcPr>
          <w:p>
            <w:pPr>
              <w:pStyle w:val="TableContents"/>
              <w:spacing w:before="0" w:after="0"/>
              <w:ind w:left="0" w:right="0" w:firstLine="420"/>
              <w:rPr/>
            </w:pPr>
            <w:r>
              <w:rPr/>
              <w:t> </w:t>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auto" w:val="clear"/>
            <w:vAlign w:val="center"/>
          </w:tcPr>
          <w:p>
            <w:pPr>
              <w:pStyle w:val="TableContents"/>
              <w:spacing w:before="0" w:after="0"/>
              <w:jc w:val="right"/>
              <w:rPr>
                <w:rFonts w:ascii="inherit" w:hAnsi="inherit"/>
                <w:sz w:val="17"/>
              </w:rPr>
            </w:pPr>
            <w:r>
              <w:rPr>
                <w:rFonts w:ascii="inherit" w:hAnsi="inherit"/>
                <w:sz w:val="17"/>
              </w:rPr>
              <w:t>5,714</w:t>
            </w:r>
          </w:p>
        </w:tc>
        <w:tc>
          <w:tcPr>
            <w:tcW w:w="81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481" w:type="dxa"/>
            <w:gridSpan w:val="2"/>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902</w:t>
            </w:r>
          </w:p>
        </w:tc>
        <w:tc>
          <w:tcPr>
            <w:tcW w:w="81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714</w:t>
            </w:r>
          </w:p>
        </w:tc>
        <w:tc>
          <w:tcPr>
            <w:tcW w:w="81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481" w:type="dxa"/>
            <w:gridSpan w:val="2"/>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2,441</w:t>
            </w:r>
          </w:p>
        </w:tc>
        <w:tc>
          <w:tcPr>
            <w:tcW w:w="81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4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120</w:t>
            </w:r>
          </w:p>
        </w:tc>
        <w:tc>
          <w:tcPr>
            <w:tcW w:w="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508</w:t>
            </w:r>
          </w:p>
        </w:tc>
        <w:tc>
          <w:tcPr>
            <w:tcW w:w="812"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10,279</w:t>
            </w:r>
          </w:p>
        </w:tc>
        <w:tc>
          <w:tcPr>
            <w:tcW w:w="8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268</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1,078</w:t>
            </w:r>
          </w:p>
        </w:tc>
        <w:tc>
          <w:tcPr>
            <w:tcW w:w="8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38,128</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17,187</w:t>
            </w:r>
          </w:p>
        </w:tc>
        <w:tc>
          <w:tcPr>
            <w:tcW w:w="8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12,315</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619</w:t>
            </w:r>
          </w:p>
        </w:tc>
        <w:tc>
          <w:tcPr>
            <w:tcW w:w="8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481" w:type="dxa"/>
            <w:gridSpan w:val="2"/>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3,011</w:t>
            </w:r>
          </w:p>
        </w:tc>
        <w:tc>
          <w:tcPr>
            <w:tcW w:w="8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14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314</w:t>
            </w:r>
          </w:p>
        </w:tc>
        <w:tc>
          <w:tcPr>
            <w:tcW w:w="81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50,978</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32,488</w:t>
            </w:r>
          </w:p>
        </w:tc>
        <w:tc>
          <w:tcPr>
            <w:tcW w:w="8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576"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293" w:type="dxa"/>
            <w:gridSpan w:val="3"/>
            <w:tcBorders/>
            <w:shd w:fill="auto" w:val="clear"/>
            <w:vAlign w:val="center"/>
          </w:tcPr>
          <w:p>
            <w:pPr>
              <w:pStyle w:val="TableContents"/>
              <w:spacing w:before="0" w:after="0"/>
              <w:ind w:left="0" w:right="0" w:firstLine="420"/>
              <w:rPr/>
            </w:pPr>
            <w:r>
              <w:rPr/>
              <w:t> </w:t>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560</w:t>
            </w:r>
          </w:p>
        </w:tc>
        <w:tc>
          <w:tcPr>
            <w:tcW w:w="81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4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w:t>
            </w:r>
          </w:p>
        </w:tc>
        <w:tc>
          <w:tcPr>
            <w:tcW w:w="812"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4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202</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663</w:t>
            </w:r>
          </w:p>
        </w:tc>
        <w:tc>
          <w:tcPr>
            <w:tcW w:w="81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663</w:t>
            </w:r>
          </w:p>
        </w:tc>
        <w:tc>
          <w:tcPr>
            <w:tcW w:w="8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4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2,836</w:t>
            </w:r>
          </w:p>
        </w:tc>
        <w:tc>
          <w:tcPr>
            <w:tcW w:w="81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assets acquired</w:t>
            </w:r>
          </w:p>
        </w:tc>
        <w:tc>
          <w:tcPr>
            <w:tcW w:w="18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50,776</w:t>
            </w:r>
          </w:p>
        </w:tc>
        <w:tc>
          <w:tcPr>
            <w:tcW w:w="9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28,989</w:t>
            </w:r>
          </w:p>
        </w:tc>
        <w:tc>
          <w:tcPr>
            <w:tcW w:w="81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rPr/>
            </w:pPr>
            <w:r>
              <w:rPr/>
              <w:t> </w:t>
            </w:r>
          </w:p>
        </w:tc>
        <w:tc>
          <w:tcPr>
            <w:tcW w:w="1576"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293"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 deductible for tax purposes</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auto" w:val="clear"/>
            <w:vAlign w:val="center"/>
          </w:tcPr>
          <w:p>
            <w:pPr>
              <w:pStyle w:val="TableContents"/>
              <w:spacing w:before="0" w:after="0"/>
              <w:jc w:val="right"/>
              <w:rPr>
                <w:rFonts w:ascii="inherit" w:hAnsi="inherit"/>
                <w:sz w:val="17"/>
              </w:rPr>
            </w:pPr>
            <w:r>
              <w:rPr>
                <w:rFonts w:ascii="inherit" w:hAnsi="inherit"/>
                <w:sz w:val="17"/>
              </w:rPr>
              <w:t>38,128</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auto" w:val="clear"/>
            <w:vAlign w:val="center"/>
          </w:tcPr>
          <w:p>
            <w:pPr>
              <w:pStyle w:val="TableContents"/>
              <w:spacing w:before="0" w:after="0"/>
              <w:jc w:val="right"/>
              <w:rPr/>
            </w:pPr>
            <w:r>
              <w:rPr/>
              <w:t>—</w:t>
            </w:r>
          </w:p>
        </w:tc>
        <w:tc>
          <w:tcPr>
            <w:tcW w:w="8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rPr/>
            </w:pPr>
            <w:r>
              <w:rPr/>
              <w:t> </w:t>
            </w:r>
          </w:p>
        </w:tc>
        <w:tc>
          <w:tcPr>
            <w:tcW w:w="1576"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293" w:type="dxa"/>
            <w:gridSpan w:val="3"/>
            <w:tcBorders/>
            <w:shd w:fill="CCEEFF" w:val="clear"/>
            <w:vAlign w:val="center"/>
          </w:tcPr>
          <w:p>
            <w:pPr>
              <w:pStyle w:val="TableContents"/>
              <w:spacing w:before="0" w:after="0"/>
              <w:ind w:left="0" w:right="0" w:firstLine="30"/>
              <w:rPr/>
            </w:pPr>
            <w:r>
              <w:rPr/>
              <w:t> </w:t>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Indefinite-lived intangible assets acquired:</w:t>
            </w:r>
          </w:p>
        </w:tc>
        <w:tc>
          <w:tcPr>
            <w:tcW w:w="1576"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293" w:type="dxa"/>
            <w:gridSpan w:val="3"/>
            <w:tcBorders/>
            <w:shd w:fill="auto" w:val="clear"/>
            <w:vAlign w:val="center"/>
          </w:tcPr>
          <w:p>
            <w:pPr>
              <w:pStyle w:val="TableContents"/>
              <w:spacing w:before="0" w:after="0"/>
              <w:ind w:left="0" w:right="0" w:firstLine="420"/>
              <w:rPr/>
            </w:pPr>
            <w:r>
              <w:rPr/>
              <w:t> </w:t>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Domain name</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CCEEFF" w:val="clear"/>
            <w:vAlign w:val="center"/>
          </w:tcPr>
          <w:p>
            <w:pPr>
              <w:pStyle w:val="TableContents"/>
              <w:spacing w:before="0" w:after="0"/>
              <w:jc w:val="right"/>
              <w:rPr>
                <w:rFonts w:ascii="inherit" w:hAnsi="inherit"/>
                <w:sz w:val="17"/>
              </w:rPr>
            </w:pPr>
            <w:r>
              <w:rPr>
                <w:rFonts w:ascii="inherit" w:hAnsi="inherit"/>
                <w:sz w:val="17"/>
              </w:rPr>
              <w:t>215</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CCEEFF" w:val="clear"/>
            <w:vAlign w:val="center"/>
          </w:tcPr>
          <w:p>
            <w:pPr>
              <w:pStyle w:val="TableContents"/>
              <w:spacing w:before="0" w:after="0"/>
              <w:jc w:val="right"/>
              <w:rPr/>
            </w:pPr>
            <w:r>
              <w:rPr/>
              <w:t>—</w:t>
            </w:r>
          </w:p>
        </w:tc>
        <w:tc>
          <w:tcPr>
            <w:tcW w:w="8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rPr>
                <w:sz w:val="17"/>
              </w:rPr>
            </w:pPr>
            <w:r>
              <w:rPr>
                <w:rFonts w:ascii="inherit" w:hAnsi="inherit"/>
                <w:sz w:val="17"/>
              </w:rPr>
              <w:t xml:space="preserve">Definite-lived intangible assets acquired </w:t>
            </w:r>
            <w:r>
              <w:rPr>
                <w:rFonts w:ascii="inherit" w:hAnsi="inherit"/>
                <w:sz w:val="10"/>
              </w:rPr>
              <w:t>(1)</w:t>
            </w:r>
            <w:r>
              <w:rPr>
                <w:rFonts w:ascii="inherit" w:hAnsi="inherit"/>
                <w:sz w:val="17"/>
              </w:rPr>
              <w:t>:</w:t>
            </w:r>
          </w:p>
        </w:tc>
        <w:tc>
          <w:tcPr>
            <w:tcW w:w="1576"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293" w:type="dxa"/>
            <w:gridSpan w:val="3"/>
            <w:tcBorders/>
            <w:shd w:fill="auto" w:val="clear"/>
            <w:vAlign w:val="center"/>
          </w:tcPr>
          <w:p>
            <w:pPr>
              <w:pStyle w:val="TableContents"/>
              <w:spacing w:before="0" w:after="0"/>
              <w:ind w:left="0" w:right="0" w:firstLine="420"/>
              <w:rPr/>
            </w:pPr>
            <w:r>
              <w:rPr/>
              <w:t> </w:t>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81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Internally developed software</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auto" w:val="clear"/>
            <w:vAlign w:val="center"/>
          </w:tcPr>
          <w:p>
            <w:pPr>
              <w:pStyle w:val="TableContents"/>
              <w:spacing w:before="0" w:after="0"/>
              <w:jc w:val="right"/>
              <w:rPr>
                <w:rFonts w:ascii="inherit" w:hAnsi="inherit"/>
                <w:sz w:val="17"/>
              </w:rPr>
            </w:pPr>
            <w:r>
              <w:rPr>
                <w:rFonts w:ascii="inherit" w:hAnsi="inherit"/>
                <w:sz w:val="17"/>
              </w:rPr>
              <w:t>12,100</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auto" w:val="clear"/>
            <w:vAlign w:val="center"/>
          </w:tcPr>
          <w:p>
            <w:pPr>
              <w:pStyle w:val="TableContents"/>
              <w:spacing w:before="0" w:after="0"/>
              <w:jc w:val="right"/>
              <w:rPr>
                <w:rFonts w:ascii="inherit" w:hAnsi="inherit"/>
                <w:sz w:val="17"/>
              </w:rPr>
            </w:pPr>
            <w:r>
              <w:rPr>
                <w:rFonts w:ascii="inherit" w:hAnsi="inherit"/>
                <w:sz w:val="17"/>
              </w:rPr>
              <w:t>66</w:t>
            </w:r>
          </w:p>
        </w:tc>
        <w:tc>
          <w:tcPr>
            <w:tcW w:w="81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Contractual relationship</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7" w:type="dxa"/>
            <w:tcBorders/>
            <w:shd w:fill="CCEEFF" w:val="clear"/>
            <w:vAlign w:val="center"/>
          </w:tcPr>
          <w:p>
            <w:pPr>
              <w:pStyle w:val="TableContents"/>
              <w:spacing w:before="0" w:after="0"/>
              <w:jc w:val="right"/>
              <w:rPr>
                <w:rFonts w:ascii="inherit" w:hAnsi="inherit"/>
                <w:sz w:val="17"/>
              </w:rPr>
            </w:pPr>
            <w:r>
              <w:rPr>
                <w:rFonts w:ascii="inherit" w:hAnsi="inherit"/>
                <w:sz w:val="17"/>
              </w:rPr>
              <w:t>523</w:t>
            </w:r>
          </w:p>
        </w:tc>
        <w:tc>
          <w:tcPr>
            <w:tcW w:w="812"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3"/>
        </w:rPr>
      </w:pPr>
      <w:r>
        <w:rPr>
          <w:rFonts w:ascii="inherit" w:hAnsi="inherit"/>
          <w:sz w:val="13"/>
        </w:rPr>
        <w:t xml:space="preserve">(1) The weighted average useful life of definite-lived intangible assets acquired is </w:t>
      </w:r>
      <w:r>
        <w:rPr>
          <w:rFonts w:ascii="inherit" w:hAnsi="inherit"/>
          <w:strike w:val="false"/>
          <w:dstrike w:val="false"/>
          <w:color w:val="000000"/>
          <w:sz w:val="13"/>
          <w:u w:val="none"/>
          <w:effect w:val="none"/>
        </w:rPr>
        <w:t>five years</w:t>
      </w:r>
      <w:r>
        <w:rPr>
          <w:rFonts w:ascii="inherit" w:hAnsi="inherit"/>
          <w:sz w:val="13"/>
        </w:rPr>
        <w:t xml:space="preserve">. </w:t>
      </w:r>
    </w:p>
    <w:p>
      <w:pPr>
        <w:pStyle w:val="TextBody"/>
        <w:spacing w:lineRule="auto" w:line="288" w:before="0" w:after="0"/>
        <w:rPr>
          <w:sz w:val="17"/>
        </w:rPr>
      </w:pPr>
      <w:r>
        <w:rPr>
          <w:rFonts w:ascii="inherit" w:hAnsi="inherit"/>
          <w:sz w:val="17"/>
        </w:rPr>
        <w:t xml:space="preserve">All acquisitions were made as part of our continuing strategy to enhance and diversify our earnings over the long-term.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 period is preliminary as we continue to receive information regarding the acquired assets. Transaction related expenses for the </w:t>
      </w:r>
      <w:r>
        <w:rPr>
          <w:rFonts w:ascii="inherit" w:hAnsi="inherit"/>
          <w:strike w:val="false"/>
          <w:dstrike w:val="false"/>
          <w:color w:val="000000"/>
          <w:sz w:val="17"/>
          <w:u w:val="none"/>
          <w:effect w:val="none"/>
        </w:rPr>
        <w:t>nine</w:t>
      </w:r>
      <w:r>
        <w:rPr>
          <w:rFonts w:ascii="inherit" w:hAnsi="inherit"/>
          <w:sz w:val="17"/>
        </w:rPr>
        <w:t xml:space="preserve">-month periods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of approximately </w:t>
      </w:r>
      <w:r>
        <w:rPr>
          <w:rFonts w:ascii="inherit" w:hAnsi="inherit"/>
          <w:strike w:val="false"/>
          <w:dstrike w:val="false"/>
          <w:color w:val="000000"/>
          <w:sz w:val="17"/>
          <w:u w:val="none"/>
          <w:effect w:val="none"/>
        </w:rPr>
        <w:t>$0.5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$1.7 million</w:t>
      </w:r>
      <w:r>
        <w:rPr>
          <w:rFonts w:ascii="inherit" w:hAnsi="inherit"/>
          <w:sz w:val="17"/>
        </w:rPr>
        <w:t>, respectively, were expensed as incurred and recorded as administrative expenses.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pStyle w:val="TextBody"/>
        <w:spacing w:lineRule="auto" w:line="288" w:before="0" w:after="0"/>
        <w:rPr>
          <w:rFonts w:ascii="inherit" w:hAnsi="inherit"/>
          <w:sz w:val="17"/>
          <w:u w:val="single"/>
        </w:rPr>
      </w:pPr>
      <w:r>
        <w:rPr>
          <w:rFonts w:ascii="inherit" w:hAnsi="inherit"/>
          <w:sz w:val="17"/>
          <w:u w:val="single"/>
        </w:rPr>
        <w:t>Grupo Finmart</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January 30, 2012</w:t>
      </w:r>
      <w:r>
        <w:rPr>
          <w:rFonts w:ascii="inherit" w:hAnsi="inherit"/>
          <w:sz w:val="17"/>
        </w:rPr>
        <w:t xml:space="preserve">, we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interest in Grupo Finmart (formerly known as Crediamigo), a specialty consumer finance company headquartered in Mexico City, with </w:t>
      </w:r>
      <w:r>
        <w:rPr>
          <w:rFonts w:ascii="inherit" w:hAnsi="inherit"/>
          <w:strike w:val="false"/>
          <w:dstrike w:val="false"/>
          <w:color w:val="000000"/>
          <w:sz w:val="17"/>
          <w:u w:val="none"/>
          <w:effect w:val="none"/>
        </w:rPr>
        <w:t>45</w:t>
      </w:r>
      <w:r>
        <w:rPr>
          <w:sz w:val="17"/>
        </w:rPr>
        <w:t xml:space="preserve"> </w:t>
      </w:r>
      <w:r>
        <w:rPr>
          <w:rFonts w:ascii="inherit" w:hAnsi="inherit"/>
          <w:sz w:val="17"/>
        </w:rPr>
        <w:t xml:space="preserve">loan servicing locations throughout the country, for total consideration of </w:t>
      </w:r>
      <w:r>
        <w:rPr>
          <w:rFonts w:ascii="inherit" w:hAnsi="inherit"/>
          <w:strike w:val="false"/>
          <w:dstrike w:val="false"/>
          <w:color w:val="000000"/>
          <w:sz w:val="17"/>
          <w:u w:val="none"/>
          <w:effect w:val="none"/>
        </w:rPr>
        <w:t>$60.1 million</w:t>
      </w:r>
      <w:r>
        <w:rPr>
          <w:rFonts w:ascii="inherit" w:hAnsi="inherit"/>
          <w:sz w:val="17"/>
        </w:rPr>
        <w:t xml:space="preserve">, net of cash acquired. This amount includes contingent consideration related to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earn out payments. If certain financial performance targets are achieved, during calendar years 2012 and 2013, we will make a payment to the sellers of </w:t>
      </w:r>
      <w:r>
        <w:rPr>
          <w:rFonts w:ascii="inherit" w:hAnsi="inherit"/>
          <w:strike w:val="false"/>
          <w:dstrike w:val="false"/>
          <w:color w:val="000000"/>
          <w:sz w:val="17"/>
          <w:u w:val="none"/>
          <w:effect w:val="none"/>
        </w:rPr>
        <w:t>$12.0 million</w:t>
      </w:r>
      <w:r>
        <w:rPr>
          <w:rFonts w:ascii="inherit" w:hAnsi="inherit"/>
          <w:sz w:val="17"/>
        </w:rPr>
        <w:t xml:space="preserve">, each year, for a total amount of </w:t>
      </w:r>
      <w:r>
        <w:rPr>
          <w:rFonts w:ascii="inherit" w:hAnsi="inherit"/>
          <w:strike w:val="false"/>
          <w:dstrike w:val="false"/>
          <w:color w:val="000000"/>
          <w:sz w:val="17"/>
          <w:u w:val="none"/>
          <w:effect w:val="none"/>
        </w:rPr>
        <w:t>$24.0 million</w:t>
      </w:r>
      <w:r>
        <w:rPr>
          <w:rFonts w:ascii="inherit" w:hAnsi="inherit"/>
          <w:sz w:val="17"/>
        </w:rPr>
        <w:t xml:space="preserve">. The Grupo Finmart purchase price allocation presented below includes a fair value amount of </w:t>
      </w:r>
      <w:r>
        <w:rPr>
          <w:rFonts w:ascii="inherit" w:hAnsi="inherit"/>
          <w:strike w:val="false"/>
          <w:dstrike w:val="false"/>
          <w:color w:val="000000"/>
          <w:sz w:val="17"/>
          <w:u w:val="none"/>
          <w:effect w:val="none"/>
        </w:rPr>
        <w:t>$23.0 million</w:t>
      </w:r>
      <w:r>
        <w:rPr>
          <w:sz w:val="17"/>
        </w:rPr>
        <w:t xml:space="preserve"> </w:t>
      </w:r>
      <w:r>
        <w:rPr>
          <w:rFonts w:ascii="inherit" w:hAnsi="inherit"/>
          <w:sz w:val="17"/>
        </w:rPr>
        <w:t xml:space="preserve">attributable to the contingent consideration payments. The first contingent consideration payment of approximately </w:t>
      </w:r>
      <w:r>
        <w:rPr>
          <w:rFonts w:ascii="inherit" w:hAnsi="inherit"/>
          <w:strike w:val="false"/>
          <w:dstrike w:val="false"/>
          <w:color w:val="000000"/>
          <w:sz w:val="17"/>
          <w:u w:val="none"/>
          <w:effect w:val="none"/>
        </w:rPr>
        <w:t>$12.0 million</w:t>
      </w:r>
      <w:r>
        <w:rPr>
          <w:sz w:val="17"/>
        </w:rPr>
        <w:t xml:space="preserve"> </w:t>
      </w:r>
      <w:r>
        <w:rPr>
          <w:rFonts w:ascii="inherit" w:hAnsi="inherit"/>
          <w:sz w:val="17"/>
        </w:rPr>
        <w:t xml:space="preserve">was paid in April 2013.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Pursuant to the Master Transaction Agreement, the sellers have a put option with respect to their remaining shares of Grupo Finmart. Under the guidance in ASC 480-10-S99, securities that are redeemable for cash or other assets are to be classified outside of permanent equity; therefore, we have included the redeemable noncontrolling interest related to Grupo Finmart in temporary equity. The fair value of the Grupo Finmart redeemable noncontrolling interest was estimated by applying an income and market approach. This fair value measurement at acquisition was based on significant inputs that are not observable in the market and thus represents a Level 3 measurement. We expect the recorded values related to the noncontrolling interest 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to approximate fair value. </w:t>
      </w:r>
    </w:p>
    <w:p>
      <w:pPr>
        <w:pStyle w:val="TextBody"/>
        <w:spacing w:lineRule="auto" w:line="288" w:before="0" w:after="0"/>
        <w:rPr>
          <w:rFonts w:ascii="inherit" w:hAnsi="inherit"/>
          <w:sz w:val="17"/>
          <w:u w:val="single"/>
        </w:rPr>
      </w:pPr>
      <w:r>
        <w:rPr>
          <w:rFonts w:ascii="inherit" w:hAnsi="inherit"/>
          <w:sz w:val="17"/>
          <w:u w:val="single"/>
        </w:rPr>
        <w:t>Cash Genie</w:t>
      </w:r>
    </w:p>
    <w:p>
      <w:pPr>
        <w:pStyle w:val="TextBody"/>
        <w:spacing w:lineRule="auto" w:line="288" w:before="0" w:after="0"/>
        <w:rPr>
          <w:sz w:val="17"/>
        </w:rPr>
      </w:pPr>
      <w:r>
        <w:rPr>
          <w:rFonts w:ascii="inherit" w:hAnsi="inherit"/>
          <w:sz w:val="17"/>
        </w:rPr>
        <w:t xml:space="preserve">On April 14, 2012, we acquired a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interest in Ariste Holding Limited and its affiliates, which provides online loans in the U.K. under the name "Cash Genie." As this acquisition was individually immaterial, we present its related information, other than information related to the redeemable noncontrolling interest, on a combined basis. </w:t>
      </w:r>
    </w:p>
    <w:p>
      <w:pPr>
        <w:pStyle w:val="TextBody"/>
        <w:spacing w:lineRule="auto" w:line="288" w:before="0" w:after="0"/>
        <w:rPr>
          <w:rFonts w:ascii="inherit" w:hAnsi="inherit"/>
          <w:sz w:val="17"/>
        </w:rPr>
      </w:pPr>
      <w:r>
        <w:rPr>
          <w:rFonts w:ascii="inherit" w:hAnsi="inherit"/>
          <w:sz w:val="17"/>
        </w:rPr>
        <w:t>Pursuant to the acquisition agreement, the sellers have a put option with respect to their remaining shares of Cash Genie. Each seller has the right to sell their Cash Genie shares to EZCORP during the exercise period. Under the guidance in ASC 480-10-S99, securities that are redeemable for cash or other assets are to be classified outside of permanent equity; therefore, we have included the redeemable noncontrolling interest related to Cash Genie in temporary equity.</w:t>
      </w:r>
    </w:p>
    <w:p>
      <w:pPr>
        <w:pStyle w:val="TextBody"/>
        <w:spacing w:lineRule="auto" w:line="288" w:before="0" w:after="0"/>
        <w:rPr>
          <w:sz w:val="17"/>
        </w:rPr>
      </w:pPr>
      <w:r>
        <w:rPr>
          <w:rFonts w:ascii="inherit" w:hAnsi="inherit"/>
          <w:sz w:val="17"/>
        </w:rPr>
        <w:t xml:space="preserve">On November 14, 2012, a seller exercised his option with respect to his remaining shares. This transaction increased our ownership percentage to </w:t>
      </w:r>
      <w:r>
        <w:rPr>
          <w:rFonts w:ascii="inherit" w:hAnsi="inherit"/>
          <w:strike w:val="false"/>
          <w:dstrike w:val="false"/>
          <w:color w:val="000000"/>
          <w:sz w:val="17"/>
          <w:u w:val="none"/>
          <w:effect w:val="none"/>
        </w:rPr>
        <w:t>95%</w:t>
      </w:r>
      <w:r>
        <w:rPr>
          <w:rFonts w:ascii="inherit" w:hAnsi="inherit"/>
          <w:sz w:val="17"/>
        </w:rPr>
        <w:t xml:space="preserve">, and was treated as an equity transaction and not an adjustment to the purchase price of our initial controlling interest acquisition of Cash Genie. The details of the transaction are described further in Note 9. </w:t>
      </w:r>
    </w:p>
    <w:p>
      <w:pPr>
        <w:pStyle w:val="TextBody"/>
        <w:spacing w:lineRule="auto" w:line="288" w:before="0" w:after="0"/>
        <w:rPr>
          <w:sz w:val="17"/>
        </w:rPr>
      </w:pPr>
      <w:r>
        <w:rPr>
          <w:rFonts w:ascii="inherit" w:hAnsi="inherit"/>
          <w:sz w:val="17"/>
        </w:rPr>
        <w:t xml:space="preserve">On August 1, 2013, a seller exercised his option with respect to his remaining shares. As of August 1, 2013, we own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Cash Genie's ordinary shares. The details of the transaction are described further in Note 18. </w:t>
      </w:r>
    </w:p>
    <w:p>
      <w:pPr>
        <w:pStyle w:val="TextBody"/>
        <w:spacing w:lineRule="auto" w:line="288" w:before="0" w:after="0"/>
        <w:rPr>
          <w:rFonts w:ascii="inherit" w:hAnsi="inherit"/>
          <w:sz w:val="17"/>
          <w:u w:val="single"/>
        </w:rPr>
      </w:pPr>
      <w:r>
        <w:rPr>
          <w:rFonts w:ascii="inherit" w:hAnsi="inherit"/>
          <w:sz w:val="17"/>
          <w:u w:val="single"/>
        </w:rPr>
        <w:t>Other</w:t>
      </w:r>
    </w:p>
    <w:p>
      <w:pPr>
        <w:pStyle w:val="TextBody"/>
        <w:spacing w:lineRule="auto" w:line="288" w:before="0" w:after="0"/>
        <w:rPr>
          <w:sz w:val="17"/>
        </w:rPr>
      </w:pPr>
      <w:r>
        <w:rPr>
          <w:rFonts w:ascii="inherit" w:hAnsi="inherit"/>
          <w:sz w:val="17"/>
        </w:rPr>
        <w:t xml:space="preserve">In fiscal 2012, we acquired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locations in the U.S. and </w:t>
      </w:r>
      <w:r>
        <w:rPr>
          <w:rFonts w:ascii="inherit" w:hAnsi="inherit"/>
          <w:strike w:val="false"/>
          <w:dstrike w:val="false"/>
          <w:color w:val="000000"/>
          <w:sz w:val="17"/>
          <w:u w:val="none"/>
          <w:effect w:val="none"/>
        </w:rPr>
        <w:t>one</w:t>
      </w:r>
      <w:r>
        <w:rPr>
          <w:sz w:val="17"/>
        </w:rPr>
        <w:t xml:space="preserve"> </w:t>
      </w:r>
      <w:r>
        <w:rPr>
          <w:rFonts w:ascii="inherit" w:hAnsi="inherit"/>
          <w:sz w:val="17"/>
        </w:rPr>
        <w:t>in Canada. As these acquisitions were individually immaterial, we present their related information on a consolidated basis.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 provides information related to the acquisitions of domestic and foreign retail and financial services locations in fiscal 2012:</w:t>
      </w:r>
    </w:p>
    <w:tbl>
      <w:tblPr>
        <w:tblW w:w="10205" w:type="dxa"/>
        <w:jc w:val="left"/>
        <w:tblInd w:w="0" w:type="dxa"/>
        <w:tblCellMar>
          <w:top w:w="0" w:type="dxa"/>
          <w:left w:w="0" w:type="dxa"/>
          <w:bottom w:w="0" w:type="dxa"/>
          <w:right w:w="0" w:type="dxa"/>
        </w:tblCellMar>
      </w:tblPr>
      <w:tblGrid>
        <w:gridCol w:w="6483"/>
        <w:gridCol w:w="185"/>
        <w:gridCol w:w="1093"/>
        <w:gridCol w:w="95"/>
        <w:gridCol w:w="152"/>
        <w:gridCol w:w="185"/>
        <w:gridCol w:w="1192"/>
        <w:gridCol w:w="82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8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83" w:type="dxa"/>
            <w:tcBorders/>
            <w:shd w:fill="auto" w:val="clear"/>
            <w:vAlign w:val="center"/>
          </w:tcPr>
          <w:p>
            <w:pPr>
              <w:pStyle w:val="TableContents"/>
              <w:spacing w:before="0" w:after="0"/>
              <w:ind w:left="0" w:right="0" w:firstLine="30"/>
              <w:jc w:val="left"/>
              <w:rPr/>
            </w:pPr>
            <w:r>
              <w:rPr/>
              <w:t> </w:t>
            </w:r>
          </w:p>
        </w:tc>
        <w:tc>
          <w:tcPr>
            <w:tcW w:w="372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Fiscal Year Ended September 30, 2012</w:t>
            </w:r>
          </w:p>
        </w:tc>
      </w:tr>
      <w:tr>
        <w:trPr/>
        <w:tc>
          <w:tcPr>
            <w:tcW w:w="6483" w:type="dxa"/>
            <w:tcBorders/>
            <w:shd w:fill="auto" w:val="clear"/>
            <w:vAlign w:val="center"/>
          </w:tcPr>
          <w:p>
            <w:pPr>
              <w:pStyle w:val="TableContents"/>
              <w:spacing w:before="0" w:after="0"/>
              <w:ind w:left="0" w:right="0" w:firstLine="30"/>
              <w:rPr/>
            </w:pPr>
            <w:r>
              <w:rPr/>
              <w:t> </w:t>
            </w:r>
          </w:p>
        </w:tc>
        <w:tc>
          <w:tcPr>
            <w:tcW w:w="13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Grupo Finmart</w:t>
            </w:r>
          </w:p>
        </w:tc>
        <w:tc>
          <w:tcPr>
            <w:tcW w:w="152"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r>
          </w:p>
        </w:tc>
        <w:tc>
          <w:tcPr>
            <w:tcW w:w="21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6483" w:type="dxa"/>
            <w:tcBorders/>
            <w:shd w:fill="auto" w:val="clear"/>
            <w:vAlign w:val="center"/>
          </w:tcPr>
          <w:p>
            <w:pPr>
              <w:pStyle w:val="TableContents"/>
              <w:spacing w:before="0" w:after="0"/>
              <w:ind w:left="0" w:right="0" w:firstLine="30"/>
              <w:rPr/>
            </w:pPr>
            <w:r>
              <w:rPr/>
              <w:t> </w:t>
            </w:r>
          </w:p>
        </w:tc>
        <w:tc>
          <w:tcPr>
            <w:tcW w:w="372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373" w:type="dxa"/>
            <w:gridSpan w:val="3"/>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ind w:left="0" w:right="0" w:firstLine="30"/>
              <w:rPr/>
            </w:pPr>
            <w:r>
              <w:rPr/>
              <w:t> </w:t>
            </w:r>
          </w:p>
        </w:tc>
        <w:tc>
          <w:tcPr>
            <w:tcW w:w="2197" w:type="dxa"/>
            <w:gridSpan w:val="3"/>
            <w:tcBorders/>
            <w:shd w:fill="CCEEFF" w:val="clear"/>
            <w:vAlign w:val="center"/>
          </w:tcPr>
          <w:p>
            <w:pPr>
              <w:pStyle w:val="TableContents"/>
              <w:spacing w:before="0" w:after="0"/>
              <w:ind w:left="0" w:right="0" w:firstLine="420"/>
              <w:rPr/>
            </w:pPr>
            <w:r>
              <w:rPr/>
              <w:t> </w:t>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6,781</w:t>
            </w:r>
          </w:p>
        </w:tc>
        <w:tc>
          <w:tcPr>
            <w:tcW w:w="82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8,935</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3,641</w:t>
            </w:r>
          </w:p>
        </w:tc>
        <w:tc>
          <w:tcPr>
            <w:tcW w:w="82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18,844</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1,940</w:t>
            </w:r>
          </w:p>
        </w:tc>
        <w:tc>
          <w:tcPr>
            <w:tcW w:w="82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78" w:type="dxa"/>
            <w:gridSpan w:val="2"/>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5,911</w:t>
            </w:r>
          </w:p>
        </w:tc>
        <w:tc>
          <w:tcPr>
            <w:tcW w:w="82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278" w:type="dxa"/>
            <w:gridSpan w:val="2"/>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w:t>
            </w:r>
          </w:p>
        </w:tc>
        <w:tc>
          <w:tcPr>
            <w:tcW w:w="82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27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3,543</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204</w:t>
            </w:r>
          </w:p>
        </w:tc>
        <w:tc>
          <w:tcPr>
            <w:tcW w:w="820"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2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31,322</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18,715</w:t>
            </w:r>
          </w:p>
        </w:tc>
        <w:tc>
          <w:tcPr>
            <w:tcW w:w="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2,326</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4,061</w:t>
            </w:r>
          </w:p>
        </w:tc>
        <w:tc>
          <w:tcPr>
            <w:tcW w:w="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2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99,486</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99,747</w:t>
            </w:r>
          </w:p>
        </w:tc>
        <w:tc>
          <w:tcPr>
            <w:tcW w:w="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2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56,120</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shd w:fill="CCEEFF" w:val="clear"/>
            <w:vAlign w:val="center"/>
          </w:tcPr>
          <w:p>
            <w:pPr>
              <w:pStyle w:val="TableContents"/>
              <w:spacing w:before="0" w:after="0"/>
              <w:jc w:val="right"/>
              <w:rPr/>
            </w:pPr>
            <w:r>
              <w:rPr/>
              <w:t>—</w:t>
            </w:r>
          </w:p>
        </w:tc>
        <w:tc>
          <w:tcPr>
            <w:tcW w:w="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w:t>
            </w:r>
          </w:p>
        </w:tc>
        <w:tc>
          <w:tcPr>
            <w:tcW w:w="12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16,400</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3,980</w:t>
            </w:r>
          </w:p>
        </w:tc>
        <w:tc>
          <w:tcPr>
            <w:tcW w:w="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127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7,497</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294</w:t>
            </w:r>
          </w:p>
        </w:tc>
        <w:tc>
          <w:tcPr>
            <w:tcW w:w="82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2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213,151</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126,797</w:t>
            </w:r>
          </w:p>
        </w:tc>
        <w:tc>
          <w:tcPr>
            <w:tcW w:w="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373" w:type="dxa"/>
            <w:gridSpan w:val="3"/>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ind w:left="0" w:right="0" w:firstLine="30"/>
              <w:rPr/>
            </w:pPr>
            <w:r>
              <w:rPr/>
              <w:t> </w:t>
            </w:r>
          </w:p>
        </w:tc>
        <w:tc>
          <w:tcPr>
            <w:tcW w:w="2197" w:type="dxa"/>
            <w:gridSpan w:val="3"/>
            <w:tcBorders/>
            <w:shd w:fill="CCEEFF" w:val="clear"/>
            <w:vAlign w:val="center"/>
          </w:tcPr>
          <w:p>
            <w:pPr>
              <w:pStyle w:val="TableContents"/>
              <w:spacing w:before="0" w:after="0"/>
              <w:ind w:left="0" w:right="0" w:firstLine="420"/>
              <w:rPr/>
            </w:pPr>
            <w:r>
              <w:rPr/>
              <w:t> </w:t>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2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6,853</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5,496</w:t>
            </w:r>
          </w:p>
        </w:tc>
        <w:tc>
          <w:tcPr>
            <w:tcW w:w="82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278" w:type="dxa"/>
            <w:gridSpan w:val="2"/>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808</w:t>
            </w:r>
          </w:p>
        </w:tc>
        <w:tc>
          <w:tcPr>
            <w:tcW w:w="82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12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22,810</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pPr>
            <w:r>
              <w:rPr/>
              <w:t>—</w:t>
            </w:r>
          </w:p>
        </w:tc>
        <w:tc>
          <w:tcPr>
            <w:tcW w:w="82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27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257</w:t>
            </w:r>
          </w:p>
        </w:tc>
        <w:tc>
          <w:tcPr>
            <w:tcW w:w="820"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2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29,663</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6,561</w:t>
            </w:r>
          </w:p>
        </w:tc>
        <w:tc>
          <w:tcPr>
            <w:tcW w:w="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2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86,872</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shd w:fill="CCEEFF" w:val="clear"/>
            <w:vAlign w:val="center"/>
          </w:tcPr>
          <w:p>
            <w:pPr>
              <w:pStyle w:val="TableContents"/>
              <w:spacing w:before="0" w:after="0"/>
              <w:jc w:val="right"/>
              <w:rPr/>
            </w:pPr>
            <w:r>
              <w:rPr/>
              <w:t>—</w:t>
            </w:r>
          </w:p>
        </w:tc>
        <w:tc>
          <w:tcPr>
            <w:tcW w:w="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27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w:t>
            </w:r>
          </w:p>
        </w:tc>
        <w:tc>
          <w:tcPr>
            <w:tcW w:w="82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2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116,706</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3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6,674</w:t>
            </w:r>
          </w:p>
        </w:tc>
        <w:tc>
          <w:tcPr>
            <w:tcW w:w="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27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36,300</w:t>
            </w:r>
          </w:p>
        </w:tc>
        <w:tc>
          <w:tcPr>
            <w:tcW w:w="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3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9,557</w:t>
            </w:r>
          </w:p>
        </w:tc>
        <w:tc>
          <w:tcPr>
            <w:tcW w:w="82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assets acquired</w:t>
            </w:r>
          </w:p>
        </w:tc>
        <w:tc>
          <w:tcPr>
            <w:tcW w:w="18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60,145</w:t>
            </w:r>
          </w:p>
        </w:tc>
        <w:tc>
          <w:tcPr>
            <w:tcW w:w="9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8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110,566</w:t>
            </w:r>
          </w:p>
        </w:tc>
        <w:tc>
          <w:tcPr>
            <w:tcW w:w="82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Per FASB ASC 805-10-25, adjustments to provisional purchase price allocation amounts made during the measurement period, shall be recorded as if the accounting for the business combination had been completed at the acquisition date. Thus, the acquirer shall revise comparative information for prior periods presented in financial statements. The amounts above and our consolidated balance sheet as of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reflect all measurement period adjustments recorded since the acquisition date. These adjustments include a </w:t>
      </w:r>
      <w:r>
        <w:rPr>
          <w:rFonts w:ascii="Times New Roman" w:hAnsi="Times New Roman"/>
          <w:strike w:val="false"/>
          <w:dstrike w:val="false"/>
          <w:color w:val="000000"/>
          <w:sz w:val="17"/>
          <w:u w:val="none"/>
          <w:effect w:val="none"/>
        </w:rPr>
        <w:t>$0.3 million</w:t>
      </w:r>
      <w:r>
        <w:rPr>
          <w:sz w:val="17"/>
        </w:rPr>
        <w:t xml:space="preserve"> </w:t>
      </w:r>
      <w:r>
        <w:rPr>
          <w:rFonts w:ascii="inherit" w:hAnsi="inherit"/>
          <w:sz w:val="17"/>
        </w:rPr>
        <w:t xml:space="preserve">decrease in current assets, a </w:t>
      </w:r>
      <w:r>
        <w:rPr>
          <w:rFonts w:ascii="Times New Roman" w:hAnsi="Times New Roman"/>
          <w:strike w:val="false"/>
          <w:dstrike w:val="false"/>
          <w:color w:val="000000"/>
          <w:sz w:val="17"/>
          <w:u w:val="none"/>
          <w:effect w:val="none"/>
        </w:rPr>
        <w:t>$47.0 million</w:t>
      </w:r>
      <w:r>
        <w:rPr>
          <w:sz w:val="17"/>
        </w:rPr>
        <w:t xml:space="preserve"> </w:t>
      </w:r>
      <w:r>
        <w:rPr>
          <w:rFonts w:ascii="inherit" w:hAnsi="inherit"/>
          <w:sz w:val="17"/>
        </w:rPr>
        <w:t xml:space="preserve">decrease in other assets, a </w:t>
      </w:r>
      <w:r>
        <w:rPr>
          <w:rFonts w:ascii="Times New Roman" w:hAnsi="Times New Roman"/>
          <w:strike w:val="false"/>
          <w:dstrike w:val="false"/>
          <w:color w:val="000000"/>
          <w:sz w:val="17"/>
          <w:u w:val="none"/>
          <w:effect w:val="none"/>
        </w:rPr>
        <w:t>$1.4 million</w:t>
      </w:r>
      <w:r>
        <w:rPr>
          <w:sz w:val="17"/>
        </w:rPr>
        <w:t xml:space="preserve"> </w:t>
      </w:r>
      <w:r>
        <w:rPr>
          <w:rFonts w:ascii="inherit" w:hAnsi="inherit"/>
          <w:sz w:val="17"/>
        </w:rPr>
        <w:t xml:space="preserve">decrease in current liabilities, and a </w:t>
      </w:r>
      <w:r>
        <w:rPr>
          <w:rFonts w:ascii="Times New Roman" w:hAnsi="Times New Roman"/>
          <w:strike w:val="false"/>
          <w:dstrike w:val="false"/>
          <w:color w:val="000000"/>
          <w:sz w:val="17"/>
          <w:u w:val="none"/>
          <w:effect w:val="none"/>
        </w:rPr>
        <w:t>$1.0 million</w:t>
      </w:r>
      <w:r>
        <w:rPr>
          <w:sz w:val="17"/>
        </w:rPr>
        <w:t xml:space="preserve"> </w:t>
      </w:r>
      <w:r>
        <w:rPr>
          <w:rFonts w:ascii="inherit" w:hAnsi="inherit"/>
          <w:sz w:val="17"/>
        </w:rPr>
        <w:t xml:space="preserve">decrease in long-term liabilities, for a net change in goodwill of </w:t>
      </w:r>
      <w:r>
        <w:rPr>
          <w:rFonts w:ascii="Times New Roman" w:hAnsi="Times New Roman"/>
          <w:strike w:val="false"/>
          <w:dstrike w:val="false"/>
          <w:color w:val="000000"/>
          <w:sz w:val="17"/>
          <w:u w:val="none"/>
          <w:effect w:val="none"/>
        </w:rPr>
        <w:t>$44.9 million</w:t>
      </w:r>
      <w:r>
        <w:rPr>
          <w:rFonts w:ascii="inherit" w:hAnsi="inherit"/>
          <w:sz w:val="17"/>
        </w:rPr>
        <w:t xml:space="preserve">. </w:t>
      </w:r>
    </w:p>
    <w:p>
      <w:pPr>
        <w:pStyle w:val="TextBody"/>
        <w:spacing w:lineRule="auto" w:line="288" w:before="0" w:after="0"/>
        <w:rPr>
          <w:sz w:val="17"/>
        </w:rPr>
      </w:pPr>
      <w:bookmarkStart w:id="16" w:name="s5B9EB2F3A3B3C218CAEACD28FA53A83C"/>
      <w:bookmarkEnd w:id="16"/>
      <w:r>
        <w:rPr>
          <w:rFonts w:ascii="inherit" w:hAnsi="inherit"/>
          <w:b/>
          <w:strike w:val="false"/>
          <w:dstrike w:val="false"/>
          <w:color w:val="000000"/>
          <w:sz w:val="17"/>
          <w:u w:val="none"/>
          <w:effect w:val="none"/>
        </w:rPr>
        <w:t>NOTE 4: EARNINGS PER SHARE</w:t>
      </w:r>
      <w:r>
        <w:rPr>
          <w:sz w:val="17"/>
        </w:rPr>
        <w:t xml:space="preserve"> </w:t>
      </w:r>
    </w:p>
    <w:p>
      <w:pPr>
        <w:pStyle w:val="TextBody"/>
        <w:spacing w:lineRule="auto" w:line="288" w:before="0" w:after="0"/>
        <w:rPr>
          <w:rFonts w:ascii="inherit" w:hAnsi="inherit"/>
          <w:sz w:val="17"/>
        </w:rPr>
      </w:pPr>
      <w:r>
        <w:rPr>
          <w:rFonts w:ascii="inherit" w:hAnsi="inherit"/>
          <w:sz w:val="17"/>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Components of basic and diluted earnings per share and excluded anti-dilutive potential common shares are as follows:</w:t>
      </w:r>
      <w:r>
        <w:rPr>
          <w:sz w:val="17"/>
        </w:rPr>
        <w:t> </w:t>
      </w:r>
    </w:p>
    <w:tbl>
      <w:tblPr>
        <w:tblW w:w="10205" w:type="dxa"/>
        <w:jc w:val="left"/>
        <w:tblInd w:w="0" w:type="dxa"/>
        <w:tblCellMar>
          <w:top w:w="0" w:type="dxa"/>
          <w:left w:w="0" w:type="dxa"/>
          <w:bottom w:w="0" w:type="dxa"/>
          <w:right w:w="0" w:type="dxa"/>
        </w:tblCellMar>
      </w:tblPr>
      <w:tblGrid>
        <w:gridCol w:w="4387"/>
        <w:gridCol w:w="140"/>
        <w:gridCol w:w="1073"/>
        <w:gridCol w:w="132"/>
        <w:gridCol w:w="122"/>
        <w:gridCol w:w="140"/>
        <w:gridCol w:w="1073"/>
        <w:gridCol w:w="132"/>
        <w:gridCol w:w="122"/>
        <w:gridCol w:w="140"/>
        <w:gridCol w:w="1073"/>
        <w:gridCol w:w="132"/>
        <w:gridCol w:w="122"/>
        <w:gridCol w:w="140"/>
        <w:gridCol w:w="1126"/>
        <w:gridCol w:w="151"/>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38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87" w:type="dxa"/>
            <w:tcBorders/>
            <w:shd w:fill="auto" w:val="clear"/>
            <w:vAlign w:val="center"/>
          </w:tcPr>
          <w:p>
            <w:pPr>
              <w:pStyle w:val="TableContents"/>
              <w:spacing w:before="0" w:after="0"/>
              <w:ind w:left="0" w:right="0" w:firstLine="30"/>
              <w:rPr/>
            </w:pPr>
            <w:r>
              <w:rPr/>
              <w:t> </w:t>
            </w:r>
          </w:p>
        </w:tc>
        <w:tc>
          <w:tcPr>
            <w:tcW w:w="281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22" w:type="dxa"/>
            <w:tcBorders/>
            <w:shd w:fill="auto" w:val="clear"/>
            <w:vAlign w:val="center"/>
          </w:tcPr>
          <w:p>
            <w:pPr>
              <w:pStyle w:val="TableContents"/>
              <w:spacing w:before="0" w:after="0"/>
              <w:ind w:left="0" w:right="0" w:firstLine="30"/>
              <w:rPr/>
            </w:pPr>
            <w:r>
              <w:rPr/>
              <w:t> </w:t>
            </w:r>
          </w:p>
        </w:tc>
        <w:tc>
          <w:tcPr>
            <w:tcW w:w="288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4387" w:type="dxa"/>
            <w:tcBorders/>
            <w:shd w:fill="auto" w:val="clear"/>
            <w:vAlign w:val="center"/>
          </w:tcPr>
          <w:p>
            <w:pPr>
              <w:pStyle w:val="TableContents"/>
              <w:spacing w:before="0" w:after="0"/>
              <w:ind w:left="0" w:right="0" w:firstLine="30"/>
              <w:jc w:val="left"/>
              <w:rPr/>
            </w:pPr>
            <w:r>
              <w:rPr/>
              <w:t> </w:t>
            </w:r>
          </w:p>
        </w:tc>
        <w:tc>
          <w:tcPr>
            <w:tcW w:w="13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2"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1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387" w:type="dxa"/>
            <w:tcBorders/>
            <w:shd w:fill="auto" w:val="clear"/>
            <w:vAlign w:val="center"/>
          </w:tcPr>
          <w:p>
            <w:pPr>
              <w:pStyle w:val="TableContents"/>
              <w:spacing w:before="0" w:after="0"/>
              <w:ind w:left="0" w:right="0" w:firstLine="30"/>
              <w:jc w:val="left"/>
              <w:rPr/>
            </w:pPr>
            <w:r>
              <w:rPr/>
              <w:t> </w:t>
            </w:r>
          </w:p>
        </w:tc>
        <w:tc>
          <w:tcPr>
            <w:tcW w:w="581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438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from continuing operations attributable to EZCORP, Inc.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CCEEFF" w:val="clear"/>
            <w:vAlign w:val="center"/>
          </w:tcPr>
          <w:p>
            <w:pPr>
              <w:pStyle w:val="TableContents"/>
              <w:spacing w:before="0" w:after="0"/>
              <w:jc w:val="right"/>
              <w:rPr>
                <w:rFonts w:ascii="inherit" w:hAnsi="inherit"/>
                <w:sz w:val="17"/>
              </w:rPr>
            </w:pPr>
            <w:r>
              <w:rPr>
                <w:rFonts w:ascii="inherit" w:hAnsi="inherit"/>
                <w:sz w:val="17"/>
              </w:rPr>
              <w:t>15,616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CCEEFF" w:val="clear"/>
            <w:vAlign w:val="center"/>
          </w:tcPr>
          <w:p>
            <w:pPr>
              <w:pStyle w:val="TableContents"/>
              <w:spacing w:before="0" w:after="0"/>
              <w:jc w:val="right"/>
              <w:rPr>
                <w:rFonts w:ascii="inherit" w:hAnsi="inherit"/>
                <w:sz w:val="17"/>
              </w:rPr>
            </w:pPr>
            <w:r>
              <w:rPr>
                <w:rFonts w:ascii="inherit" w:hAnsi="inherit"/>
                <w:sz w:val="17"/>
              </w:rPr>
              <w:t>29,771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CCEEFF" w:val="clear"/>
            <w:vAlign w:val="center"/>
          </w:tcPr>
          <w:p>
            <w:pPr>
              <w:pStyle w:val="TableContents"/>
              <w:spacing w:before="0" w:after="0"/>
              <w:jc w:val="right"/>
              <w:rPr>
                <w:rFonts w:ascii="inherit" w:hAnsi="inherit"/>
                <w:sz w:val="17"/>
              </w:rPr>
            </w:pPr>
            <w:r>
              <w:rPr>
                <w:rFonts w:ascii="inherit" w:hAnsi="inherit"/>
                <w:sz w:val="17"/>
              </w:rPr>
              <w:t>83,630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shd w:fill="CCEEFF" w:val="clear"/>
            <w:vAlign w:val="center"/>
          </w:tcPr>
          <w:p>
            <w:pPr>
              <w:pStyle w:val="TableContents"/>
              <w:spacing w:before="0" w:after="0"/>
              <w:jc w:val="right"/>
              <w:rPr>
                <w:rFonts w:ascii="inherit" w:hAnsi="inherit"/>
                <w:sz w:val="17"/>
              </w:rPr>
            </w:pPr>
            <w:r>
              <w:rPr>
                <w:rFonts w:ascii="inherit" w:hAnsi="inherit"/>
                <w:sz w:val="17"/>
              </w:rPr>
              <w:t>108,303</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2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(24,813</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(3,167</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8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(loss) income attributable to EZCORP (A)</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(5,881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28,523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58,817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105,136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auto" w:val="clear"/>
            <w:vAlign w:val="center"/>
          </w:tcPr>
          <w:p>
            <w:pPr>
              <w:pStyle w:val="TableContents"/>
              <w:spacing w:before="0" w:after="0"/>
              <w:ind w:left="0" w:right="0" w:firstLine="30"/>
              <w:rPr/>
            </w:pPr>
            <w:r>
              <w:rPr/>
              <w:t> </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17" w:type="dxa"/>
            <w:gridSpan w:val="3"/>
            <w:tcBorders/>
            <w:shd w:fill="auto" w:val="clear"/>
            <w:vAlign w:val="center"/>
          </w:tcPr>
          <w:p>
            <w:pPr>
              <w:pStyle w:val="TableContents"/>
              <w:spacing w:before="0" w:after="0"/>
              <w:ind w:left="0" w:right="0" w:firstLine="30"/>
              <w:rPr/>
            </w:pPr>
            <w:r>
              <w:rPr/>
              <w:t> </w:t>
            </w:r>
          </w:p>
        </w:tc>
      </w:tr>
      <w:tr>
        <w:trPr/>
        <w:tc>
          <w:tcPr>
            <w:tcW w:w="43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outstanding shares of common stock (B)</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54,196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51,162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53,465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50,769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Dilutive effect of stock options and restricted stock</w:t>
            </w:r>
          </w:p>
        </w:tc>
        <w:tc>
          <w:tcPr>
            <w:tcW w:w="12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59</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178</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273</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stock and common stock equivalents (C)</w:t>
            </w:r>
          </w:p>
        </w:tc>
        <w:tc>
          <w:tcPr>
            <w:tcW w:w="1213"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54,255</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51,340</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53,540</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66"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51,042</w:t>
            </w:r>
          </w:p>
        </w:tc>
        <w:tc>
          <w:tcPr>
            <w:tcW w:w="15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auto" w:val="clear"/>
            <w:vAlign w:val="center"/>
          </w:tcPr>
          <w:p>
            <w:pPr>
              <w:pStyle w:val="TableContents"/>
              <w:spacing w:before="0" w:after="0"/>
              <w:ind w:left="0" w:right="0" w:firstLine="30"/>
              <w:rPr/>
            </w:pPr>
            <w:r>
              <w:rPr/>
              <w:t> </w:t>
            </w:r>
          </w:p>
        </w:tc>
        <w:tc>
          <w:tcPr>
            <w:tcW w:w="1345"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17"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r>
      <w:tr>
        <w:trPr/>
        <w:tc>
          <w:tcPr>
            <w:tcW w:w="43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(loss) earnings per share attributable to EZCORP, Inc.:</w:t>
            </w:r>
          </w:p>
        </w:tc>
        <w:tc>
          <w:tcPr>
            <w:tcW w:w="134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4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4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17" w:type="dxa"/>
            <w:gridSpan w:val="3"/>
            <w:tcBorders/>
            <w:shd w:fill="CCEEFF" w:val="clear"/>
            <w:vAlign w:val="center"/>
          </w:tcPr>
          <w:p>
            <w:pPr>
              <w:pStyle w:val="TableContents"/>
              <w:spacing w:before="0" w:after="0"/>
              <w:ind w:left="0" w:right="0" w:firstLine="30"/>
              <w:rPr/>
            </w:pPr>
            <w:r>
              <w:rPr/>
              <w:t> </w:t>
            </w:r>
          </w:p>
        </w:tc>
      </w:tr>
      <w:tr>
        <w:trPr/>
        <w:tc>
          <w:tcPr>
            <w:tcW w:w="43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 attributable to EZCORP, Inc.</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auto" w:val="clear"/>
            <w:vAlign w:val="center"/>
          </w:tcPr>
          <w:p>
            <w:pPr>
              <w:pStyle w:val="TableContents"/>
              <w:spacing w:before="0" w:after="0"/>
              <w:jc w:val="right"/>
              <w:rPr>
                <w:rFonts w:ascii="inherit" w:hAnsi="inherit"/>
                <w:sz w:val="17"/>
              </w:rPr>
            </w:pPr>
            <w:r>
              <w:rPr>
                <w:rFonts w:ascii="inherit" w:hAnsi="inherit"/>
                <w:sz w:val="17"/>
              </w:rPr>
              <w:t>0.29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auto" w:val="clear"/>
            <w:vAlign w:val="center"/>
          </w:tcPr>
          <w:p>
            <w:pPr>
              <w:pStyle w:val="TableContents"/>
              <w:spacing w:before="0" w:after="0"/>
              <w:jc w:val="right"/>
              <w:rPr>
                <w:rFonts w:ascii="inherit" w:hAnsi="inherit"/>
                <w:sz w:val="17"/>
              </w:rPr>
            </w:pPr>
            <w:r>
              <w:rPr>
                <w:rFonts w:ascii="inherit" w:hAnsi="inherit"/>
                <w:sz w:val="17"/>
              </w:rPr>
              <w:t>0.58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auto" w:val="clear"/>
            <w:vAlign w:val="center"/>
          </w:tcPr>
          <w:p>
            <w:pPr>
              <w:pStyle w:val="TableContents"/>
              <w:spacing w:before="0" w:after="0"/>
              <w:jc w:val="right"/>
              <w:rPr>
                <w:rFonts w:ascii="inherit" w:hAnsi="inherit"/>
                <w:sz w:val="17"/>
              </w:rPr>
            </w:pPr>
            <w:r>
              <w:rPr>
                <w:rFonts w:ascii="inherit" w:hAnsi="inherit"/>
                <w:sz w:val="17"/>
              </w:rPr>
              <w:t>1.56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shd w:fill="auto" w:val="clear"/>
            <w:vAlign w:val="center"/>
          </w:tcPr>
          <w:p>
            <w:pPr>
              <w:pStyle w:val="TableContents"/>
              <w:spacing w:before="0" w:after="0"/>
              <w:jc w:val="right"/>
              <w:rPr>
                <w:rFonts w:ascii="inherit" w:hAnsi="inherit"/>
                <w:sz w:val="17"/>
              </w:rPr>
            </w:pPr>
            <w:r>
              <w:rPr>
                <w:rFonts w:ascii="inherit" w:hAnsi="inherit"/>
                <w:sz w:val="17"/>
              </w:rPr>
              <w:t>2.13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(0.40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(0.46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(loss) earnings per share</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(0.11</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CCEEFF" w:val="clear"/>
            <w:vAlign w:val="center"/>
          </w:tcPr>
          <w:p>
            <w:pPr>
              <w:pStyle w:val="TableContents"/>
              <w:spacing w:before="0" w:after="0"/>
              <w:ind w:left="0" w:right="0" w:firstLine="30"/>
              <w:rPr/>
            </w:pPr>
            <w:r>
              <w:rPr/>
              <w:t> </w:t>
            </w:r>
          </w:p>
        </w:tc>
        <w:tc>
          <w:tcPr>
            <w:tcW w:w="134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4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4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17" w:type="dxa"/>
            <w:gridSpan w:val="3"/>
            <w:tcBorders/>
            <w:shd w:fill="CCEEFF" w:val="clear"/>
            <w:vAlign w:val="center"/>
          </w:tcPr>
          <w:p>
            <w:pPr>
              <w:pStyle w:val="TableContents"/>
              <w:spacing w:before="0" w:after="0"/>
              <w:ind w:left="0" w:right="0" w:firstLine="30"/>
              <w:rPr/>
            </w:pPr>
            <w:r>
              <w:rPr/>
              <w:t> </w:t>
            </w:r>
          </w:p>
        </w:tc>
      </w:tr>
      <w:tr>
        <w:trPr/>
        <w:tc>
          <w:tcPr>
            <w:tcW w:w="43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share attributable to EZCORP, Inc.:</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17" w:type="dxa"/>
            <w:gridSpan w:val="3"/>
            <w:tcBorders/>
            <w:shd w:fill="auto" w:val="clear"/>
            <w:vAlign w:val="center"/>
          </w:tcPr>
          <w:p>
            <w:pPr>
              <w:pStyle w:val="TableContents"/>
              <w:spacing w:before="0" w:after="0"/>
              <w:ind w:left="0" w:right="0" w:firstLine="30"/>
              <w:rPr/>
            </w:pPr>
            <w:r>
              <w:rPr/>
              <w:t> </w:t>
            </w:r>
          </w:p>
        </w:tc>
      </w:tr>
      <w:tr>
        <w:trPr/>
        <w:tc>
          <w:tcPr>
            <w:tcW w:w="43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 attributable to EZCORP, Inc.</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CCEEFF" w:val="clear"/>
            <w:vAlign w:val="center"/>
          </w:tcPr>
          <w:p>
            <w:pPr>
              <w:pStyle w:val="TableContents"/>
              <w:spacing w:before="0" w:after="0"/>
              <w:jc w:val="right"/>
              <w:rPr>
                <w:rFonts w:ascii="inherit" w:hAnsi="inherit"/>
                <w:sz w:val="17"/>
              </w:rPr>
            </w:pPr>
            <w:r>
              <w:rPr>
                <w:rFonts w:ascii="inherit" w:hAnsi="inherit"/>
                <w:sz w:val="17"/>
              </w:rPr>
              <w:t>0.29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CCEEFF" w:val="clear"/>
            <w:vAlign w:val="center"/>
          </w:tcPr>
          <w:p>
            <w:pPr>
              <w:pStyle w:val="TableContents"/>
              <w:spacing w:before="0" w:after="0"/>
              <w:jc w:val="right"/>
              <w:rPr>
                <w:rFonts w:ascii="inherit" w:hAnsi="inherit"/>
                <w:sz w:val="17"/>
              </w:rPr>
            </w:pPr>
            <w:r>
              <w:rPr>
                <w:rFonts w:ascii="inherit" w:hAnsi="inherit"/>
                <w:sz w:val="17"/>
              </w:rPr>
              <w:t>0.58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CCEEFF" w:val="clear"/>
            <w:vAlign w:val="center"/>
          </w:tcPr>
          <w:p>
            <w:pPr>
              <w:pStyle w:val="TableContents"/>
              <w:spacing w:before="0" w:after="0"/>
              <w:jc w:val="right"/>
              <w:rPr>
                <w:rFonts w:ascii="inherit" w:hAnsi="inherit"/>
                <w:sz w:val="17"/>
              </w:rPr>
            </w:pPr>
            <w:r>
              <w:rPr>
                <w:rFonts w:ascii="inherit" w:hAnsi="inherit"/>
                <w:sz w:val="17"/>
              </w:rPr>
              <w:t>1.56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shd w:fill="CCEEFF" w:val="clear"/>
            <w:vAlign w:val="center"/>
          </w:tcPr>
          <w:p>
            <w:pPr>
              <w:pStyle w:val="TableContents"/>
              <w:spacing w:before="0" w:after="0"/>
              <w:jc w:val="right"/>
              <w:rPr>
                <w:rFonts w:ascii="inherit" w:hAnsi="inherit"/>
                <w:sz w:val="17"/>
              </w:rPr>
            </w:pPr>
            <w:r>
              <w:rPr>
                <w:rFonts w:ascii="inherit" w:hAnsi="inherit"/>
                <w:sz w:val="17"/>
              </w:rPr>
              <w:t>2.12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(0.40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(0.46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(0.06</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(loss) earnings per share</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(0.11</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2.06</w:t>
            </w:r>
          </w:p>
        </w:tc>
        <w:tc>
          <w:tcPr>
            <w:tcW w:w="1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7" w:type="dxa"/>
            <w:tcBorders/>
            <w:shd w:fill="auto" w:val="clear"/>
            <w:vAlign w:val="center"/>
          </w:tcPr>
          <w:p>
            <w:pPr>
              <w:pStyle w:val="TableContents"/>
              <w:spacing w:before="0" w:after="0"/>
              <w:ind w:left="0" w:right="0" w:firstLine="30"/>
              <w:rPr/>
            </w:pPr>
            <w:r>
              <w:rPr/>
              <w:t> </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4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17" w:type="dxa"/>
            <w:gridSpan w:val="3"/>
            <w:tcBorders/>
            <w:shd w:fill="auto" w:val="clear"/>
            <w:vAlign w:val="center"/>
          </w:tcPr>
          <w:p>
            <w:pPr>
              <w:pStyle w:val="TableContents"/>
              <w:spacing w:before="0" w:after="0"/>
              <w:ind w:left="0" w:right="0" w:firstLine="30"/>
              <w:rPr/>
            </w:pPr>
            <w:r>
              <w:rPr/>
              <w:t> </w:t>
            </w:r>
          </w:p>
        </w:tc>
      </w:tr>
      <w:tr>
        <w:trPr/>
        <w:tc>
          <w:tcPr>
            <w:tcW w:w="43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Potential common shares excluded from the calculation of diluted earnings per share</w:t>
            </w:r>
          </w:p>
        </w:tc>
        <w:tc>
          <w:tcPr>
            <w:tcW w:w="1213"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bookmarkStart w:id="17" w:name="sEE7F9F758D990DC09B59CD28FB4FF266"/>
      <w:bookmarkEnd w:id="17"/>
      <w:r>
        <w:rPr>
          <w:rFonts w:ascii="inherit" w:hAnsi="inherit"/>
          <w:b/>
          <w:strike w:val="false"/>
          <w:dstrike w:val="false"/>
          <w:color w:val="000000"/>
          <w:sz w:val="17"/>
          <w:u w:val="none"/>
          <w:effect w:val="none"/>
        </w:rPr>
        <w:t>NOTE 5: STRATEGIC INVESTMENTS</w:t>
      </w:r>
      <w:r>
        <w:rPr>
          <w:sz w:val="17"/>
        </w:rPr>
        <w:t xml:space="preserve"> </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2013</w:t>
      </w:r>
      <w:r>
        <w:rPr>
          <w:rFonts w:ascii="inherit" w:hAnsi="inherit"/>
          <w:sz w:val="17"/>
        </w:rPr>
        <w:t xml:space="preserve">, we owned </w:t>
      </w:r>
      <w:r>
        <w:rPr>
          <w:rFonts w:ascii="inherit" w:hAnsi="inherit"/>
          <w:strike w:val="false"/>
          <w:dstrike w:val="false"/>
          <w:color w:val="000000"/>
          <w:sz w:val="17"/>
          <w:u w:val="none"/>
          <w:effect w:val="none"/>
        </w:rPr>
        <w:t>16,644,640</w:t>
      </w:r>
      <w:r>
        <w:rPr>
          <w:sz w:val="17"/>
        </w:rPr>
        <w:t xml:space="preserve"> </w:t>
      </w:r>
      <w:r>
        <w:rPr>
          <w:rFonts w:ascii="inherit" w:hAnsi="inherit"/>
          <w:sz w:val="17"/>
        </w:rPr>
        <w:t xml:space="preserve">ordinary shares of Albemarle &amp; Bond Holdings, PLC ("Albemarle &amp; Bond"), representing almost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of its total outstanding shares. Our total cost for those shares was approximately </w:t>
      </w:r>
      <w:r>
        <w:rPr>
          <w:rFonts w:ascii="inherit" w:hAnsi="inherit"/>
          <w:strike w:val="false"/>
          <w:dstrike w:val="false"/>
          <w:color w:val="000000"/>
          <w:sz w:val="17"/>
          <w:u w:val="none"/>
          <w:effect w:val="none"/>
        </w:rPr>
        <w:t>$27.6 million</w:t>
      </w:r>
      <w:r>
        <w:rPr>
          <w:rFonts w:ascii="inherit" w:hAnsi="inherit"/>
          <w:sz w:val="17"/>
        </w:rPr>
        <w:t xml:space="preserve">.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w:t>
      </w:r>
      <w:r>
        <w:rPr>
          <w:rFonts w:ascii="inherit" w:hAnsi="inherit"/>
          <w:strike w:val="false"/>
          <w:dstrike w:val="false"/>
          <w:color w:val="000000"/>
          <w:sz w:val="17"/>
          <w:u w:val="none"/>
          <w:effect w:val="none"/>
        </w:rPr>
        <w:t>three</w:t>
      </w:r>
      <w:r>
        <w:rPr>
          <w:rFonts w:ascii="inherit" w:hAnsi="inherit"/>
          <w:sz w:val="17"/>
        </w:rPr>
        <w:t xml:space="preserve">-month lag. Albemarle &amp; Bond files semi-annual financial reports for its fiscal periods ending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June 30</w:t>
      </w:r>
      <w:r>
        <w:rPr>
          <w:rFonts w:ascii="inherit" w:hAnsi="inherit"/>
          <w:sz w:val="17"/>
        </w:rPr>
        <w:t xml:space="preserve">. Due to the </w:t>
      </w:r>
      <w:r>
        <w:rPr>
          <w:rFonts w:ascii="inherit" w:hAnsi="inherit"/>
          <w:strike w:val="false"/>
          <w:dstrike w:val="false"/>
          <w:color w:val="000000"/>
          <w:sz w:val="17"/>
          <w:u w:val="none"/>
          <w:effect w:val="none"/>
        </w:rPr>
        <w:t>three</w:t>
      </w:r>
      <w:r>
        <w:rPr>
          <w:rFonts w:ascii="inherit" w:hAnsi="inherit"/>
          <w:sz w:val="17"/>
        </w:rPr>
        <w:t xml:space="preserve">-month lag, income reported for our </w:t>
      </w:r>
      <w:r>
        <w:rPr>
          <w:rFonts w:ascii="inherit" w:hAnsi="inherit"/>
          <w:strike w:val="false"/>
          <w:dstrike w:val="false"/>
          <w:color w:val="000000"/>
          <w:sz w:val="17"/>
          <w:u w:val="none"/>
          <w:effect w:val="none"/>
        </w:rPr>
        <w:t>nine</w:t>
      </w:r>
      <w:r>
        <w:rPr>
          <w:rFonts w:ascii="inherit" w:hAnsi="inherit"/>
          <w:sz w:val="17"/>
        </w:rPr>
        <w:t xml:space="preserve">-month periods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represents our percentage interest in the results of Albemarle &amp; Bond’s operations from July 1, 2012 to March 31, 2013 and July 1, 2011 to March 31, 2012, respectively.</w:t>
      </w:r>
    </w:p>
    <w:p>
      <w:pPr>
        <w:pStyle w:val="TextBody"/>
        <w:spacing w:lineRule="auto" w:line="288" w:before="0" w:after="0"/>
        <w:rPr>
          <w:rFonts w:ascii="inherit" w:hAnsi="inherit"/>
          <w:sz w:val="17"/>
        </w:rPr>
      </w:pPr>
      <w:r>
        <w:rPr>
          <w:rFonts w:ascii="inherit" w:hAnsi="inherit"/>
          <w:sz w:val="17"/>
        </w:rPr>
        <w:t>Conversion of Albemarle &amp; Bond’s financial statements into U.S. GAAP resulted in no material differences from those reported by Albemarle &amp; Bond following IFRS.</w:t>
      </w:r>
    </w:p>
    <w:p>
      <w:pPr>
        <w:pStyle w:val="TextBody"/>
        <w:spacing w:lineRule="auto" w:line="288" w:before="0" w:after="0"/>
        <w:rPr>
          <w:sz w:val="17"/>
        </w:rPr>
      </w:pPr>
      <w:r>
        <w:rPr>
          <w:rFonts w:ascii="inherit" w:hAnsi="inherit"/>
          <w:sz w:val="17"/>
        </w:rPr>
        <w:t xml:space="preserve">In its functional currency of British pounds, Albemarle &amp; Bond’s total assets increased </w:t>
      </w:r>
      <w:r>
        <w:rPr>
          <w:rFonts w:ascii="inherit" w:hAnsi="inherit"/>
          <w:strike w:val="false"/>
          <w:dstrike w:val="false"/>
          <w:color w:val="000000"/>
          <w:sz w:val="17"/>
          <w:u w:val="none"/>
          <w:effect w:val="none"/>
        </w:rPr>
        <w:t>13%</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December 31, 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December 31, 2012</w:t>
      </w:r>
      <w:r>
        <w:rPr>
          <w:sz w:val="17"/>
        </w:rPr>
        <w:t xml:space="preserve"> </w:t>
      </w:r>
      <w:r>
        <w:rPr>
          <w:rFonts w:ascii="inherit" w:hAnsi="inherit"/>
          <w:sz w:val="17"/>
        </w:rPr>
        <w:t xml:space="preserve">and its net income decreased </w:t>
      </w:r>
      <w:r>
        <w:rPr>
          <w:rFonts w:ascii="inherit" w:hAnsi="inherit"/>
          <w:strike w:val="false"/>
          <w:dstrike w:val="false"/>
          <w:color w:val="000000"/>
          <w:sz w:val="17"/>
          <w:u w:val="none"/>
          <w:effect w:val="none"/>
        </w:rPr>
        <w:t>31%</w:t>
      </w:r>
      <w:r>
        <w:rPr>
          <w:sz w:val="17"/>
        </w:rPr>
        <w:t xml:space="preserve"> </w:t>
      </w:r>
      <w:r>
        <w:rPr>
          <w:rFonts w:ascii="inherit" w:hAnsi="inherit"/>
          <w:sz w:val="17"/>
        </w:rPr>
        <w:t xml:space="preserve">for the six months ended </w:t>
      </w:r>
      <w:r>
        <w:rPr>
          <w:rFonts w:ascii="inherit" w:hAnsi="inherit"/>
          <w:strike w:val="false"/>
          <w:dstrike w:val="false"/>
          <w:color w:val="000000"/>
          <w:sz w:val="17"/>
          <w:u w:val="none"/>
          <w:effect w:val="none"/>
        </w:rPr>
        <w:t>December 31, 2012</w:t>
      </w:r>
      <w:r>
        <w:rPr>
          <w:rFonts w:ascii="inherit" w:hAnsi="inherit"/>
          <w:sz w:val="17"/>
        </w:rPr>
        <w:t>. The following table presents summary financial information for Albemarle &amp; Bond’s most recently reported results after translation to U.S. dollars (using the exchange rate as of December 31 of each year for balance sheet items and average exchange rates for the income statement items for the periods indicated):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526"/>
        <w:gridCol w:w="178"/>
        <w:gridCol w:w="1317"/>
        <w:gridCol w:w="98"/>
        <w:gridCol w:w="148"/>
        <w:gridCol w:w="178"/>
        <w:gridCol w:w="1317"/>
        <w:gridCol w:w="44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of December 31,</w:t>
            </w:r>
          </w:p>
        </w:tc>
      </w:tr>
      <w:tr>
        <w:trPr/>
        <w:tc>
          <w:tcPr>
            <w:tcW w:w="6526" w:type="dxa"/>
            <w:tcBorders/>
            <w:shd w:fill="auto" w:val="clear"/>
            <w:vAlign w:val="center"/>
          </w:tcPr>
          <w:p>
            <w:pPr>
              <w:pStyle w:val="TableContents"/>
              <w:spacing w:before="0" w:after="0"/>
              <w:ind w:left="0" w:right="0" w:firstLine="30"/>
              <w:jc w:val="left"/>
              <w:rPr/>
            </w:pPr>
            <w:r>
              <w:rPr/>
              <w:t> </w:t>
            </w:r>
          </w:p>
        </w:tc>
        <w:tc>
          <w:tcPr>
            <w:tcW w:w="159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8" w:type="dxa"/>
            <w:tcBorders/>
            <w:shd w:fill="auto" w:val="clear"/>
            <w:vAlign w:val="center"/>
          </w:tcPr>
          <w:p>
            <w:pPr>
              <w:pStyle w:val="TableContents"/>
              <w:spacing w:before="0" w:after="0"/>
              <w:ind w:left="0" w:right="0" w:firstLine="30"/>
              <w:rPr/>
            </w:pPr>
            <w:r>
              <w:rPr/>
              <w:t> </w:t>
            </w:r>
          </w:p>
        </w:tc>
        <w:tc>
          <w:tcPr>
            <w:tcW w:w="193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162,078</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134,387</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74,711</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65,354</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236,789</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199,741</w:t>
            </w:r>
          </w:p>
        </w:tc>
        <w:tc>
          <w:tcPr>
            <w:tcW w:w="4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78" w:type="dxa"/>
            <w:tcBorders>
              <w:top w:val="double" w:sz="6"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22,267</w:t>
            </w:r>
          </w:p>
        </w:tc>
        <w:tc>
          <w:tcPr>
            <w:tcW w:w="98" w:type="dxa"/>
            <w:tcBorders>
              <w:top w:val="doub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78" w:type="dxa"/>
            <w:tcBorders>
              <w:top w:val="double" w:sz="6"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21,021</w:t>
            </w:r>
          </w:p>
        </w:tc>
        <w:tc>
          <w:tcPr>
            <w:tcW w:w="443" w:type="dxa"/>
            <w:tcBorders>
              <w:top w:val="doub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83,332</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62,169</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131,190</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116,551</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236,789</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199,741</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7121"/>
        <w:gridCol w:w="156"/>
        <w:gridCol w:w="1207"/>
        <w:gridCol w:w="104"/>
        <w:gridCol w:w="137"/>
        <w:gridCol w:w="156"/>
        <w:gridCol w:w="1207"/>
        <w:gridCol w:w="117"/>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21" w:type="dxa"/>
            <w:tcBorders/>
            <w:shd w:fill="auto" w:val="clear"/>
            <w:vAlign w:val="center"/>
          </w:tcPr>
          <w:p>
            <w:pPr>
              <w:pStyle w:val="TableContents"/>
              <w:spacing w:before="0" w:after="0"/>
              <w:ind w:left="0" w:right="0" w:firstLine="30"/>
              <w:jc w:val="left"/>
              <w:rPr/>
            </w:pPr>
            <w:r>
              <w:rPr/>
              <w:t> </w:t>
            </w:r>
          </w:p>
        </w:tc>
        <w:tc>
          <w:tcPr>
            <w:tcW w:w="308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December 31,</w:t>
            </w:r>
          </w:p>
        </w:tc>
      </w:tr>
      <w:tr>
        <w:trPr/>
        <w:tc>
          <w:tcPr>
            <w:tcW w:w="7121" w:type="dxa"/>
            <w:tcBorders/>
            <w:shd w:fill="auto" w:val="clear"/>
            <w:vAlign w:val="center"/>
          </w:tcPr>
          <w:p>
            <w:pPr>
              <w:pStyle w:val="TableContents"/>
              <w:spacing w:before="0" w:after="0"/>
              <w:ind w:left="0" w:right="0" w:firstLine="30"/>
              <w:jc w:val="left"/>
              <w:rPr/>
            </w:pPr>
            <w:r>
              <w:rPr/>
              <w:t> </w:t>
            </w:r>
          </w:p>
        </w:tc>
        <w:tc>
          <w:tcPr>
            <w:tcW w:w="14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7" w:type="dxa"/>
            <w:tcBorders/>
            <w:shd w:fill="auto" w:val="clear"/>
            <w:vAlign w:val="center"/>
          </w:tcPr>
          <w:p>
            <w:pPr>
              <w:pStyle w:val="TableContents"/>
              <w:spacing w:before="0" w:after="0"/>
              <w:ind w:left="0" w:right="0" w:firstLine="30"/>
              <w:rPr/>
            </w:pPr>
            <w:r>
              <w:rPr/>
              <w:t> </w:t>
            </w:r>
          </w:p>
        </w:tc>
        <w:tc>
          <w:tcPr>
            <w:tcW w:w="14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121" w:type="dxa"/>
            <w:tcBorders/>
            <w:shd w:fill="auto" w:val="clear"/>
            <w:vAlign w:val="center"/>
          </w:tcPr>
          <w:p>
            <w:pPr>
              <w:pStyle w:val="TableContents"/>
              <w:spacing w:before="0" w:after="0"/>
              <w:ind w:left="0" w:right="0" w:firstLine="30"/>
              <w:jc w:val="left"/>
              <w:rPr/>
            </w:pPr>
            <w:r>
              <w:rPr/>
              <w:t> </w:t>
            </w:r>
          </w:p>
        </w:tc>
        <w:tc>
          <w:tcPr>
            <w:tcW w:w="308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7" w:type="dxa"/>
            <w:tcBorders/>
            <w:shd w:fill="CCEEFF" w:val="clear"/>
            <w:vAlign w:val="center"/>
          </w:tcPr>
          <w:p>
            <w:pPr>
              <w:pStyle w:val="TableContents"/>
              <w:spacing w:before="0" w:after="0"/>
              <w:jc w:val="right"/>
              <w:rPr>
                <w:rFonts w:ascii="inherit" w:hAnsi="inherit"/>
                <w:sz w:val="17"/>
              </w:rPr>
            </w:pPr>
            <w:r>
              <w:rPr>
                <w:rFonts w:ascii="inherit" w:hAnsi="inherit"/>
                <w:sz w:val="17"/>
              </w:rPr>
              <w:t>93,793</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7" w:type="dxa"/>
            <w:tcBorders/>
            <w:shd w:fill="CCEEFF" w:val="clear"/>
            <w:vAlign w:val="center"/>
          </w:tcPr>
          <w:p>
            <w:pPr>
              <w:pStyle w:val="TableContents"/>
              <w:spacing w:before="0" w:after="0"/>
              <w:jc w:val="right"/>
              <w:rPr>
                <w:rFonts w:ascii="inherit" w:hAnsi="inherit"/>
                <w:sz w:val="17"/>
              </w:rPr>
            </w:pPr>
            <w:r>
              <w:rPr>
                <w:rFonts w:ascii="inherit" w:hAnsi="inherit"/>
                <w:sz w:val="17"/>
              </w:rPr>
              <w:t>99,804</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53,612</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58,165</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9,796</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14,208</w:t>
            </w:r>
          </w:p>
        </w:tc>
        <w:tc>
          <w:tcPr>
            <w:tcW w:w="11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2013</w:t>
      </w:r>
      <w:r>
        <w:rPr>
          <w:rFonts w:ascii="inherit" w:hAnsi="inherit"/>
          <w:sz w:val="17"/>
        </w:rPr>
        <w:t xml:space="preserve">, we owned </w:t>
      </w:r>
      <w:r>
        <w:rPr>
          <w:rFonts w:ascii="inherit" w:hAnsi="inherit"/>
          <w:strike w:val="false"/>
          <w:dstrike w:val="false"/>
          <w:color w:val="000000"/>
          <w:sz w:val="17"/>
          <w:u w:val="none"/>
          <w:effect w:val="none"/>
        </w:rPr>
        <w:t>136,848,000</w:t>
      </w:r>
      <w:r>
        <w:rPr>
          <w:sz w:val="17"/>
        </w:rPr>
        <w:t xml:space="preserve"> </w:t>
      </w:r>
      <w:r>
        <w:rPr>
          <w:rFonts w:ascii="inherit" w:hAnsi="inherit"/>
          <w:sz w:val="17"/>
        </w:rPr>
        <w:t xml:space="preserve">shares, or approximately </w:t>
      </w:r>
      <w:r>
        <w:rPr>
          <w:rFonts w:ascii="inherit" w:hAnsi="inherit"/>
          <w:strike w:val="false"/>
          <w:dstrike w:val="false"/>
          <w:color w:val="000000"/>
          <w:sz w:val="17"/>
          <w:u w:val="none"/>
          <w:effect w:val="none"/>
        </w:rPr>
        <w:t>33%</w:t>
      </w:r>
      <w:r>
        <w:rPr>
          <w:rFonts w:ascii="inherit" w:hAnsi="inherit"/>
          <w:sz w:val="17"/>
        </w:rPr>
        <w:t xml:space="preserve">, of Cash Converters International Limited ("Cash Converters International"), a publicly traded company headquartered in Perth, Australia. Cash Converters International franchises and operates a worldwide network of over </w:t>
      </w:r>
      <w:r>
        <w:rPr>
          <w:rFonts w:ascii="inherit" w:hAnsi="inherit"/>
          <w:strike w:val="false"/>
          <w:dstrike w:val="false"/>
          <w:color w:val="000000"/>
          <w:sz w:val="17"/>
          <w:u w:val="none"/>
          <w:effect w:val="none"/>
        </w:rPr>
        <w:t>700</w:t>
      </w:r>
      <w:r>
        <w:rPr>
          <w:sz w:val="17"/>
        </w:rPr>
        <w:t xml:space="preserve"> </w:t>
      </w:r>
      <w:r>
        <w:rPr>
          <w:rFonts w:ascii="inherit" w:hAnsi="inherit"/>
          <w:sz w:val="17"/>
        </w:rPr>
        <w:t xml:space="preserve">specialty financial services and retail stores that provide pawn loans, short-term unsecured loans and other consumer finance products, and buy and sell second-hand goods, with significant store concentrations in Australia and the United Kingdom. Those shares include </w:t>
      </w:r>
      <w:r>
        <w:rPr>
          <w:rFonts w:ascii="inherit" w:hAnsi="inherit"/>
          <w:strike w:val="false"/>
          <w:dstrike w:val="false"/>
          <w:color w:val="000000"/>
          <w:sz w:val="17"/>
          <w:u w:val="none"/>
          <w:effect w:val="none"/>
        </w:rPr>
        <w:t>12,430,000</w:t>
      </w:r>
      <w:r>
        <w:rPr>
          <w:sz w:val="17"/>
        </w:rPr>
        <w:t xml:space="preserve"> </w:t>
      </w:r>
      <w:r>
        <w:rPr>
          <w:rFonts w:ascii="inherit" w:hAnsi="inherit"/>
          <w:sz w:val="17"/>
        </w:rPr>
        <w:t xml:space="preserve">shares that we acquired in November 2012 for approximately </w:t>
      </w:r>
      <w:r>
        <w:rPr>
          <w:rFonts w:ascii="inherit" w:hAnsi="inherit"/>
          <w:strike w:val="false"/>
          <w:dstrike w:val="false"/>
          <w:color w:val="000000"/>
          <w:sz w:val="17"/>
          <w:u w:val="none"/>
          <w:effect w:val="none"/>
        </w:rPr>
        <w:t>$11.0 million</w:t>
      </w:r>
      <w:r>
        <w:rPr>
          <w:sz w:val="17"/>
        </w:rPr>
        <w:t xml:space="preserve"> </w:t>
      </w:r>
      <w:r>
        <w:rPr>
          <w:rFonts w:ascii="inherit" w:hAnsi="inherit"/>
          <w:sz w:val="17"/>
        </w:rPr>
        <w:t xml:space="preserve">in cash as part of a share placement. Our total investment in Cash Converters International was acquired between November 2009 and November 2012 for approximately </w:t>
      </w:r>
      <w:r>
        <w:rPr>
          <w:rFonts w:ascii="inherit" w:hAnsi="inherit"/>
          <w:strike w:val="false"/>
          <w:dstrike w:val="false"/>
          <w:color w:val="000000"/>
          <w:sz w:val="17"/>
          <w:u w:val="none"/>
          <w:effect w:val="none"/>
        </w:rPr>
        <w:t>$68.8 million</w:t>
      </w:r>
      <w:r>
        <w:rPr>
          <w:rFonts w:ascii="inherit" w:hAnsi="inherit"/>
          <w:sz w:val="17"/>
        </w:rPr>
        <w:t>.</w:t>
      </w:r>
    </w:p>
    <w:p>
      <w:pPr>
        <w:pStyle w:val="TextBody"/>
        <w:spacing w:lineRule="auto" w:line="288" w:before="0" w:after="0"/>
        <w:rPr>
          <w:sz w:val="17"/>
        </w:rPr>
      </w:pPr>
      <w:r>
        <w:rPr>
          <w:rFonts w:ascii="inherit" w:hAnsi="inherit"/>
          <w:sz w:val="17"/>
        </w:rPr>
        <w:t xml:space="preserve">We account for our investment in Cash Converters International using the equity method. Since Cash Converters International’s fiscal year ends three months prior to ours, we report the income from this investment on a three-month lag. Cash Converters International files semi-annual financial reports for its fiscal periods ending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June 30</w:t>
      </w:r>
      <w:r>
        <w:rPr>
          <w:rFonts w:ascii="inherit" w:hAnsi="inherit"/>
          <w:sz w:val="17"/>
        </w:rPr>
        <w:t xml:space="preserve">. Due to the </w:t>
      </w:r>
      <w:r>
        <w:rPr>
          <w:rFonts w:ascii="inherit" w:hAnsi="inherit"/>
          <w:strike w:val="false"/>
          <w:dstrike w:val="false"/>
          <w:color w:val="000000"/>
          <w:sz w:val="17"/>
          <w:u w:val="none"/>
          <w:effect w:val="none"/>
        </w:rPr>
        <w:t>three</w:t>
      </w:r>
      <w:r>
        <w:rPr>
          <w:rFonts w:ascii="inherit" w:hAnsi="inherit"/>
          <w:sz w:val="17"/>
        </w:rPr>
        <w:t xml:space="preserve">-month lag, income reported for our </w:t>
      </w:r>
      <w:r>
        <w:rPr>
          <w:rFonts w:ascii="inherit" w:hAnsi="inherit"/>
          <w:strike w:val="false"/>
          <w:dstrike w:val="false"/>
          <w:color w:val="000000"/>
          <w:sz w:val="17"/>
          <w:u w:val="none"/>
          <w:effect w:val="none"/>
        </w:rPr>
        <w:t>nine</w:t>
      </w:r>
      <w:r>
        <w:rPr>
          <w:rFonts w:ascii="inherit" w:hAnsi="inherit"/>
          <w:sz w:val="17"/>
        </w:rPr>
        <w:t xml:space="preserve">-month periods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represents our percentage interest in the results of Cash Converters International’s operations from July 1, 2012 to March 31, 2013 and July 1, 2011 to March 31, 2012, respectively.</w:t>
      </w:r>
    </w:p>
    <w:p>
      <w:pPr>
        <w:pStyle w:val="TextBody"/>
        <w:spacing w:lineRule="auto" w:line="288" w:before="0" w:after="0"/>
        <w:rPr>
          <w:rFonts w:ascii="inherit" w:hAnsi="inherit"/>
          <w:sz w:val="17"/>
        </w:rPr>
      </w:pPr>
      <w:r>
        <w:rPr>
          <w:rFonts w:ascii="inherit" w:hAnsi="inherit"/>
          <w:sz w:val="17"/>
        </w:rPr>
        <w:t>Conversion of Cash Converters International’s financial statements into U.S. GAAP resulted in no material differences from those reported by Cash Converters following IFRS.</w:t>
      </w:r>
    </w:p>
    <w:p>
      <w:pPr>
        <w:pStyle w:val="TextBody"/>
        <w:spacing w:lineRule="auto" w:line="288" w:before="0" w:after="0"/>
        <w:rPr>
          <w:sz w:val="17"/>
        </w:rPr>
      </w:pPr>
      <w:r>
        <w:rPr>
          <w:rFonts w:ascii="inherit" w:hAnsi="inherit"/>
          <w:sz w:val="17"/>
        </w:rPr>
        <w:t xml:space="preserve">In its functional currency of Australian dollars, Cash Converters International’s total assets increased </w:t>
      </w:r>
      <w:r>
        <w:rPr>
          <w:rFonts w:ascii="inherit" w:hAnsi="inherit"/>
          <w:strike w:val="false"/>
          <w:dstrike w:val="false"/>
          <w:color w:val="000000"/>
          <w:sz w:val="17"/>
          <w:u w:val="none"/>
          <w:effect w:val="none"/>
        </w:rPr>
        <w:t>22%</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December 31, 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December 31, 2012</w:t>
      </w:r>
      <w:r>
        <w:rPr>
          <w:sz w:val="17"/>
        </w:rPr>
        <w:t xml:space="preserve"> </w:t>
      </w:r>
      <w:r>
        <w:rPr>
          <w:rFonts w:ascii="inherit" w:hAnsi="inherit"/>
          <w:sz w:val="17"/>
        </w:rPr>
        <w:t xml:space="preserve">and its net income improved </w:t>
      </w:r>
      <w:r>
        <w:rPr>
          <w:rFonts w:ascii="inherit" w:hAnsi="inherit"/>
          <w:strike w:val="false"/>
          <w:dstrike w:val="false"/>
          <w:color w:val="000000"/>
          <w:sz w:val="17"/>
          <w:u w:val="none"/>
          <w:effect w:val="none"/>
        </w:rPr>
        <w:t>39%</w:t>
      </w:r>
      <w:r>
        <w:rPr>
          <w:sz w:val="17"/>
        </w:rPr>
        <w:t xml:space="preserve"> </w:t>
      </w:r>
      <w:r>
        <w:rPr>
          <w:rFonts w:ascii="inherit" w:hAnsi="inherit"/>
          <w:sz w:val="17"/>
        </w:rPr>
        <w:t xml:space="preserve">for the six months ended </w:t>
      </w:r>
      <w:r>
        <w:rPr>
          <w:rFonts w:ascii="inherit" w:hAnsi="inherit"/>
          <w:strike w:val="false"/>
          <w:dstrike w:val="false"/>
          <w:color w:val="000000"/>
          <w:sz w:val="17"/>
          <w:u w:val="none"/>
          <w:effect w:val="none"/>
        </w:rPr>
        <w:t>December 31, 2012</w:t>
      </w:r>
      <w:r>
        <w:rPr>
          <w:rFonts w:ascii="inherit" w:hAnsi="inherit"/>
          <w:sz w:val="17"/>
        </w:rPr>
        <w:t>. The following table presents summary financial information for Cash Converters International’s most recently reported results after translation to U.S. dollars (using the exchange rate as of December 31 of each year for balance sheet items and average exchange rates for the income statement items for the periods indicated):</w:t>
      </w:r>
    </w:p>
    <w:tbl>
      <w:tblPr>
        <w:tblW w:w="10205" w:type="dxa"/>
        <w:jc w:val="left"/>
        <w:tblInd w:w="0" w:type="dxa"/>
        <w:tblCellMar>
          <w:top w:w="0" w:type="dxa"/>
          <w:left w:w="0" w:type="dxa"/>
          <w:bottom w:w="0" w:type="dxa"/>
          <w:right w:w="0" w:type="dxa"/>
        </w:tblCellMar>
      </w:tblPr>
      <w:tblGrid>
        <w:gridCol w:w="6526"/>
        <w:gridCol w:w="178"/>
        <w:gridCol w:w="1317"/>
        <w:gridCol w:w="98"/>
        <w:gridCol w:w="148"/>
        <w:gridCol w:w="178"/>
        <w:gridCol w:w="1317"/>
        <w:gridCol w:w="44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of December 31,</w:t>
            </w:r>
          </w:p>
        </w:tc>
      </w:tr>
      <w:tr>
        <w:trPr/>
        <w:tc>
          <w:tcPr>
            <w:tcW w:w="6526" w:type="dxa"/>
            <w:tcBorders/>
            <w:shd w:fill="auto" w:val="clear"/>
            <w:vAlign w:val="center"/>
          </w:tcPr>
          <w:p>
            <w:pPr>
              <w:pStyle w:val="TableContents"/>
              <w:spacing w:before="0" w:after="0"/>
              <w:ind w:left="0" w:right="0" w:firstLine="30"/>
              <w:jc w:val="left"/>
              <w:rPr/>
            </w:pPr>
            <w:r>
              <w:rPr/>
              <w:t> </w:t>
            </w:r>
          </w:p>
        </w:tc>
        <w:tc>
          <w:tcPr>
            <w:tcW w:w="15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8" w:type="dxa"/>
            <w:tcBorders/>
            <w:shd w:fill="auto" w:val="clear"/>
            <w:vAlign w:val="center"/>
          </w:tcPr>
          <w:p>
            <w:pPr>
              <w:pStyle w:val="TableContents"/>
              <w:spacing w:before="0" w:after="0"/>
              <w:ind w:left="0" w:right="0" w:firstLine="30"/>
              <w:rPr/>
            </w:pPr>
            <w:r>
              <w:rPr/>
              <w:t> </w:t>
            </w:r>
          </w:p>
        </w:tc>
        <w:tc>
          <w:tcPr>
            <w:tcW w:w="19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169,739</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128,289</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141,258</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121,835</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310,997</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250,124</w:t>
            </w:r>
          </w:p>
        </w:tc>
        <w:tc>
          <w:tcPr>
            <w:tcW w:w="4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38,735</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33,290</w:t>
            </w:r>
          </w:p>
        </w:tc>
        <w:tc>
          <w:tcPr>
            <w:tcW w:w="4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31,591</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37,797</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240,671</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179,037</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310,997</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250,124</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7120"/>
        <w:gridCol w:w="147"/>
        <w:gridCol w:w="1221"/>
        <w:gridCol w:w="103"/>
        <w:gridCol w:w="131"/>
        <w:gridCol w:w="147"/>
        <w:gridCol w:w="1221"/>
        <w:gridCol w:w="115"/>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20" w:type="dxa"/>
            <w:tcBorders/>
            <w:shd w:fill="auto" w:val="clear"/>
            <w:vAlign w:val="center"/>
          </w:tcPr>
          <w:p>
            <w:pPr>
              <w:pStyle w:val="TableContents"/>
              <w:spacing w:before="0" w:after="0"/>
              <w:ind w:left="0" w:right="0" w:firstLine="30"/>
              <w:jc w:val="left"/>
              <w:rPr/>
            </w:pPr>
            <w:r>
              <w:rPr/>
              <w:t> </w:t>
            </w:r>
          </w:p>
        </w:tc>
        <w:tc>
          <w:tcPr>
            <w:tcW w:w="308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December 31,</w:t>
            </w:r>
          </w:p>
        </w:tc>
      </w:tr>
      <w:tr>
        <w:trPr/>
        <w:tc>
          <w:tcPr>
            <w:tcW w:w="7120" w:type="dxa"/>
            <w:tcBorders/>
            <w:shd w:fill="auto" w:val="clear"/>
            <w:vAlign w:val="center"/>
          </w:tcPr>
          <w:p>
            <w:pPr>
              <w:pStyle w:val="TableContents"/>
              <w:spacing w:before="0" w:after="0"/>
              <w:ind w:left="0" w:right="0" w:firstLine="30"/>
              <w:jc w:val="left"/>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1" w:type="dxa"/>
            <w:tcBorders/>
            <w:shd w:fill="auto" w:val="clear"/>
            <w:vAlign w:val="center"/>
          </w:tcPr>
          <w:p>
            <w:pPr>
              <w:pStyle w:val="TableContents"/>
              <w:spacing w:before="0" w:after="0"/>
              <w:ind w:left="0" w:right="0" w:firstLine="30"/>
              <w:rPr/>
            </w:pPr>
            <w:r>
              <w:rPr/>
              <w:t> </w:t>
            </w:r>
          </w:p>
        </w:tc>
        <w:tc>
          <w:tcPr>
            <w:tcW w:w="14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120" w:type="dxa"/>
            <w:tcBorders/>
            <w:shd w:fill="auto" w:val="clear"/>
            <w:vAlign w:val="center"/>
          </w:tcPr>
          <w:p>
            <w:pPr>
              <w:pStyle w:val="TableContents"/>
              <w:spacing w:before="0" w:after="0"/>
              <w:ind w:left="0" w:right="0" w:firstLine="30"/>
              <w:jc w:val="left"/>
              <w:rPr/>
            </w:pPr>
            <w:r>
              <w:rPr/>
              <w:t> </w:t>
            </w:r>
          </w:p>
        </w:tc>
        <w:tc>
          <w:tcPr>
            <w:tcW w:w="308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shd w:fill="CCEEFF" w:val="clear"/>
            <w:vAlign w:val="center"/>
          </w:tcPr>
          <w:p>
            <w:pPr>
              <w:pStyle w:val="TableContents"/>
              <w:spacing w:before="0" w:after="0"/>
              <w:jc w:val="right"/>
              <w:rPr>
                <w:rFonts w:ascii="inherit" w:hAnsi="inherit"/>
                <w:sz w:val="17"/>
              </w:rPr>
            </w:pPr>
            <w:r>
              <w:rPr>
                <w:rFonts w:ascii="inherit" w:hAnsi="inherit"/>
                <w:sz w:val="17"/>
              </w:rPr>
              <w:t>140,123</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shd w:fill="CCEEFF" w:val="clear"/>
            <w:vAlign w:val="center"/>
          </w:tcPr>
          <w:p>
            <w:pPr>
              <w:pStyle w:val="TableContents"/>
              <w:spacing w:before="0" w:after="0"/>
              <w:jc w:val="right"/>
              <w:rPr>
                <w:rFonts w:ascii="inherit" w:hAnsi="inherit"/>
                <w:sz w:val="17"/>
              </w:rPr>
            </w:pPr>
            <w:r>
              <w:rPr>
                <w:rFonts w:ascii="inherit" w:hAnsi="inherit"/>
                <w:sz w:val="17"/>
              </w:rPr>
              <w:t>115,256</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3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95,149</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76,405</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3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19,143</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13,668</w:t>
            </w:r>
          </w:p>
        </w:tc>
        <w:tc>
          <w:tcPr>
            <w:tcW w:w="11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The table below summarizes the recorded value and fair value of each of these strategic investments at the dates indicated. These fair values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 </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5206"/>
        <w:gridCol w:w="174"/>
        <w:gridCol w:w="1186"/>
        <w:gridCol w:w="93"/>
        <w:gridCol w:w="144"/>
        <w:gridCol w:w="174"/>
        <w:gridCol w:w="1186"/>
        <w:gridCol w:w="93"/>
        <w:gridCol w:w="144"/>
        <w:gridCol w:w="174"/>
        <w:gridCol w:w="1186"/>
        <w:gridCol w:w="445"/>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20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06" w:type="dxa"/>
            <w:tcBorders/>
            <w:shd w:fill="auto" w:val="clear"/>
            <w:vAlign w:val="center"/>
          </w:tcPr>
          <w:p>
            <w:pPr>
              <w:pStyle w:val="TableContents"/>
              <w:spacing w:before="0" w:after="0"/>
              <w:ind w:left="0" w:right="0" w:firstLine="30"/>
              <w:jc w:val="left"/>
              <w:rPr/>
            </w:pPr>
            <w:r>
              <w:rPr/>
              <w:t> </w:t>
            </w:r>
          </w:p>
        </w:tc>
        <w:tc>
          <w:tcPr>
            <w:tcW w:w="305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144" w:type="dxa"/>
            <w:tcBorders/>
            <w:shd w:fill="auto" w:val="clear"/>
            <w:vAlign w:val="center"/>
          </w:tcPr>
          <w:p>
            <w:pPr>
              <w:pStyle w:val="TableContents"/>
              <w:spacing w:before="0" w:after="0"/>
              <w:ind w:left="0" w:right="0" w:firstLine="30"/>
              <w:rPr/>
            </w:pPr>
            <w:r>
              <w:rPr/>
              <w:t> </w:t>
            </w:r>
          </w:p>
        </w:tc>
        <w:tc>
          <w:tcPr>
            <w:tcW w:w="18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206" w:type="dxa"/>
            <w:tcBorders/>
            <w:shd w:fill="auto" w:val="clear"/>
            <w:vAlign w:val="center"/>
          </w:tcPr>
          <w:p>
            <w:pPr>
              <w:pStyle w:val="TableContents"/>
              <w:spacing w:before="0" w:after="0"/>
              <w:ind w:left="0" w:right="0" w:firstLine="30"/>
              <w:jc w:val="left"/>
              <w:rPr/>
            </w:pPr>
            <w:r>
              <w:rPr/>
              <w:t> </w:t>
            </w:r>
          </w:p>
        </w:tc>
        <w:tc>
          <w:tcPr>
            <w:tcW w:w="14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4" w:type="dxa"/>
            <w:tcBorders/>
            <w:shd w:fill="auto" w:val="clear"/>
            <w:vAlign w:val="center"/>
          </w:tcPr>
          <w:p>
            <w:pPr>
              <w:pStyle w:val="TableContents"/>
              <w:spacing w:before="0" w:after="0"/>
              <w:ind w:left="0" w:right="0" w:firstLine="30"/>
              <w:rPr/>
            </w:pPr>
            <w:r>
              <w:rPr/>
              <w:t> </w:t>
            </w:r>
          </w:p>
        </w:tc>
        <w:tc>
          <w:tcPr>
            <w:tcW w:w="14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18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206" w:type="dxa"/>
            <w:tcBorders/>
            <w:shd w:fill="auto" w:val="clear"/>
            <w:vAlign w:val="center"/>
          </w:tcPr>
          <w:p>
            <w:pPr>
              <w:pStyle w:val="TableContents"/>
              <w:spacing w:before="0" w:after="0"/>
              <w:ind w:left="0" w:right="0" w:firstLine="30"/>
              <w:jc w:val="left"/>
              <w:rPr/>
            </w:pPr>
            <w:r>
              <w:rPr/>
              <w:t> </w:t>
            </w:r>
          </w:p>
        </w:tc>
        <w:tc>
          <w:tcPr>
            <w:tcW w:w="4999"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of U.S. dollars)</w:t>
            </w:r>
          </w:p>
        </w:tc>
      </w:tr>
      <w:tr>
        <w:trPr/>
        <w:tc>
          <w:tcPr>
            <w:tcW w:w="5206" w:type="dxa"/>
            <w:tcBorders/>
            <w:shd w:fill="CCEEFF"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Albemarle &amp; Bond:</w:t>
            </w:r>
          </w:p>
        </w:tc>
        <w:tc>
          <w:tcPr>
            <w:tcW w:w="1453"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453"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805" w:type="dxa"/>
            <w:gridSpan w:val="3"/>
            <w:tcBorders/>
            <w:shd w:fill="CCEEFF" w:val="clear"/>
            <w:vAlign w:val="center"/>
          </w:tcPr>
          <w:p>
            <w:pPr>
              <w:pStyle w:val="TableContents"/>
              <w:spacing w:before="0" w:after="0"/>
              <w:ind w:left="0" w:right="0" w:firstLine="420"/>
              <w:rPr/>
            </w:pPr>
            <w:r>
              <w:rPr/>
              <w:t> </w:t>
            </w:r>
          </w:p>
        </w:tc>
      </w:tr>
      <w:tr>
        <w:trPr/>
        <w:tc>
          <w:tcPr>
            <w:tcW w:w="5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auto" w:val="clear"/>
            <w:vAlign w:val="center"/>
          </w:tcPr>
          <w:p>
            <w:pPr>
              <w:pStyle w:val="TableContents"/>
              <w:spacing w:before="0" w:after="0"/>
              <w:jc w:val="right"/>
              <w:rPr>
                <w:rFonts w:ascii="inherit" w:hAnsi="inherit"/>
                <w:sz w:val="17"/>
              </w:rPr>
            </w:pPr>
            <w:r>
              <w:rPr>
                <w:rFonts w:ascii="inherit" w:hAnsi="inherit"/>
                <w:sz w:val="17"/>
              </w:rPr>
              <w:t>52,252</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auto" w:val="clear"/>
            <w:vAlign w:val="center"/>
          </w:tcPr>
          <w:p>
            <w:pPr>
              <w:pStyle w:val="TableContents"/>
              <w:spacing w:before="0" w:after="0"/>
              <w:jc w:val="right"/>
              <w:rPr>
                <w:rFonts w:ascii="inherit" w:hAnsi="inherit"/>
                <w:sz w:val="17"/>
              </w:rPr>
            </w:pPr>
            <w:r>
              <w:rPr>
                <w:rFonts w:ascii="inherit" w:hAnsi="inherit"/>
                <w:sz w:val="17"/>
              </w:rPr>
              <w:t>51,156</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auto" w:val="clear"/>
            <w:vAlign w:val="center"/>
          </w:tcPr>
          <w:p>
            <w:pPr>
              <w:pStyle w:val="TableContents"/>
              <w:spacing w:before="0" w:after="0"/>
              <w:jc w:val="right"/>
              <w:rPr>
                <w:rFonts w:ascii="inherit" w:hAnsi="inherit"/>
                <w:sz w:val="17"/>
              </w:rPr>
            </w:pPr>
            <w:r>
              <w:rPr>
                <w:rFonts w:ascii="inherit" w:hAnsi="inherit"/>
                <w:sz w:val="17"/>
              </w:rPr>
              <w:t>51,812</w:t>
            </w:r>
          </w:p>
        </w:tc>
        <w:tc>
          <w:tcPr>
            <w:tcW w:w="44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3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33,920</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63,677</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65,109</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06"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Cash Converters International:</w:t>
            </w:r>
          </w:p>
        </w:tc>
        <w:tc>
          <w:tcPr>
            <w:tcW w:w="1453"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1453"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1805" w:type="dxa"/>
            <w:gridSpan w:val="3"/>
            <w:tcBorders/>
            <w:shd w:fill="auto" w:val="clear"/>
            <w:vAlign w:val="center"/>
          </w:tcPr>
          <w:p>
            <w:pPr>
              <w:pStyle w:val="TableContents"/>
              <w:spacing w:before="0" w:after="0"/>
              <w:ind w:left="0" w:right="0" w:firstLine="420"/>
              <w:rPr/>
            </w:pPr>
            <w:r>
              <w:rPr/>
              <w:t> </w:t>
            </w:r>
          </w:p>
        </w:tc>
      </w:tr>
      <w:tr>
        <w:trPr/>
        <w:tc>
          <w:tcPr>
            <w:tcW w:w="5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CCEEFF" w:val="clear"/>
            <w:vAlign w:val="center"/>
          </w:tcPr>
          <w:p>
            <w:pPr>
              <w:pStyle w:val="TableContents"/>
              <w:spacing w:before="0" w:after="0"/>
              <w:jc w:val="right"/>
              <w:rPr>
                <w:rFonts w:ascii="inherit" w:hAnsi="inherit"/>
                <w:sz w:val="17"/>
              </w:rPr>
            </w:pPr>
            <w:r>
              <w:rPr>
                <w:rFonts w:ascii="inherit" w:hAnsi="inherit"/>
                <w:sz w:val="17"/>
              </w:rPr>
              <w:t>94,455</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CCEEFF" w:val="clear"/>
            <w:vAlign w:val="center"/>
          </w:tcPr>
          <w:p>
            <w:pPr>
              <w:pStyle w:val="TableContents"/>
              <w:spacing w:before="0" w:after="0"/>
              <w:jc w:val="right"/>
              <w:rPr>
                <w:rFonts w:ascii="inherit" w:hAnsi="inherit"/>
                <w:sz w:val="17"/>
              </w:rPr>
            </w:pPr>
            <w:r>
              <w:rPr>
                <w:rFonts w:ascii="inherit" w:hAnsi="inherit"/>
                <w:sz w:val="17"/>
              </w:rPr>
              <w:t>74,153</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CCEEFF" w:val="clear"/>
            <w:vAlign w:val="center"/>
          </w:tcPr>
          <w:p>
            <w:pPr>
              <w:pStyle w:val="TableContents"/>
              <w:spacing w:before="0" w:after="0"/>
              <w:jc w:val="right"/>
              <w:rPr>
                <w:rFonts w:ascii="inherit" w:hAnsi="inherit"/>
                <w:sz w:val="17"/>
              </w:rPr>
            </w:pPr>
            <w:r>
              <w:rPr>
                <w:rFonts w:ascii="inherit" w:hAnsi="inherit"/>
                <w:sz w:val="17"/>
              </w:rPr>
              <w:t>74,254</w:t>
            </w:r>
          </w:p>
        </w:tc>
        <w:tc>
          <w:tcPr>
            <w:tcW w:w="44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3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133,732</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80,894</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100,705</w:t>
            </w:r>
          </w:p>
        </w:tc>
        <w:tc>
          <w:tcPr>
            <w:tcW w:w="4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On April 19, 2013, Albemarle &amp; Bond announced that it expected profits for their full fiscal year (ending June 30, 2013) to be materially below market expectations, citing reduction in gold buying profit and pressures on its pawn loan business due to the challenging gold environment and increased competition. In addition Albemarle &amp; Bond's Board of Directors announced that their CEO would step down earlier than planned and their former CEO and non-executive Chairman would assume the CEO role until a permanent replacement is found.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2013</w:t>
      </w:r>
      <w:r>
        <w:rPr>
          <w:rFonts w:ascii="inherit" w:hAnsi="inherit"/>
          <w:sz w:val="17"/>
        </w:rPr>
        <w:t xml:space="preserve">, the fair value of our investment in Albemarle &amp; Bond Holdings, PLC was less than our recorded value. We currently believe that the fair value decline is temporary due to the recent global gold environment challenges and the absence of a permanent CEO. </w:t>
      </w:r>
    </w:p>
    <w:p>
      <w:pPr>
        <w:pStyle w:val="TextBody"/>
        <w:spacing w:lineRule="auto" w:line="288" w:before="0" w:after="0"/>
        <w:rPr>
          <w:sz w:val="17"/>
        </w:rPr>
      </w:pPr>
      <w:bookmarkStart w:id="18" w:name="s42590A9CD87A5BA3BAB6CD28F9EE87B4"/>
      <w:bookmarkEnd w:id="18"/>
      <w:r>
        <w:rPr>
          <w:rFonts w:ascii="inherit" w:hAnsi="inherit"/>
          <w:b/>
          <w:strike w:val="false"/>
          <w:dstrike w:val="false"/>
          <w:color w:val="000000"/>
          <w:sz w:val="17"/>
          <w:u w:val="none"/>
          <w:effect w:val="none"/>
        </w:rPr>
        <w:t>NOTE 6: GOODWILL AND OTHER INTANGIBLE ASSETS</w:t>
      </w:r>
      <w:r>
        <w:rPr>
          <w:sz w:val="17"/>
        </w:rPr>
        <w:t xml:space="preserve"> </w:t>
      </w:r>
    </w:p>
    <w:p>
      <w:pPr>
        <w:pStyle w:val="TextBody"/>
        <w:spacing w:lineRule="auto" w:line="288" w:before="0" w:after="0"/>
        <w:rPr>
          <w:rFonts w:ascii="inherit" w:hAnsi="inherit"/>
          <w:sz w:val="17"/>
        </w:rPr>
      </w:pPr>
      <w:r>
        <w:rPr>
          <w:rFonts w:ascii="inherit" w:hAnsi="inherit"/>
          <w:sz w:val="17"/>
        </w:rPr>
        <w:t>The following table presents the balance of each major class of indefinite-lived intangible assets at the specified dates: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578"/>
        <w:gridCol w:w="144"/>
        <w:gridCol w:w="1176"/>
        <w:gridCol w:w="98"/>
        <w:gridCol w:w="127"/>
        <w:gridCol w:w="144"/>
        <w:gridCol w:w="1176"/>
        <w:gridCol w:w="98"/>
        <w:gridCol w:w="127"/>
        <w:gridCol w:w="159"/>
        <w:gridCol w:w="1261"/>
        <w:gridCol w:w="117"/>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7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78" w:type="dxa"/>
            <w:tcBorders/>
            <w:shd w:fill="auto" w:val="clear"/>
            <w:vAlign w:val="center"/>
          </w:tcPr>
          <w:p>
            <w:pPr>
              <w:pStyle w:val="TableContents"/>
              <w:spacing w:before="0" w:after="0"/>
              <w:ind w:left="0" w:right="0" w:firstLine="30"/>
              <w:jc w:val="left"/>
              <w:rPr/>
            </w:pPr>
            <w:r>
              <w:rPr/>
              <w:t> </w:t>
            </w:r>
          </w:p>
        </w:tc>
        <w:tc>
          <w:tcPr>
            <w:tcW w:w="296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127" w:type="dxa"/>
            <w:tcBorders/>
            <w:shd w:fill="auto" w:val="clear"/>
            <w:vAlign w:val="center"/>
          </w:tcPr>
          <w:p>
            <w:pPr>
              <w:pStyle w:val="TableContents"/>
              <w:spacing w:before="0" w:after="0"/>
              <w:ind w:left="0" w:right="0" w:firstLine="30"/>
              <w:rPr/>
            </w:pPr>
            <w:r>
              <w:rPr/>
              <w:t> </w:t>
            </w:r>
          </w:p>
        </w:tc>
        <w:tc>
          <w:tcPr>
            <w:tcW w:w="15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578" w:type="dxa"/>
            <w:tcBorders/>
            <w:shd w:fill="auto" w:val="clear"/>
            <w:vAlign w:val="center"/>
          </w:tcPr>
          <w:p>
            <w:pPr>
              <w:pStyle w:val="TableContents"/>
              <w:spacing w:before="0" w:after="0"/>
              <w:ind w:left="0" w:right="0" w:firstLine="30"/>
              <w:jc w:val="left"/>
              <w:rPr/>
            </w:pPr>
            <w:r>
              <w:rPr/>
              <w:t> </w:t>
            </w:r>
          </w:p>
        </w:tc>
        <w:tc>
          <w:tcPr>
            <w:tcW w:w="14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7" w:type="dxa"/>
            <w:tcBorders/>
            <w:shd w:fill="auto" w:val="clear"/>
            <w:vAlign w:val="center"/>
          </w:tcPr>
          <w:p>
            <w:pPr>
              <w:pStyle w:val="TableContents"/>
              <w:spacing w:before="0" w:after="0"/>
              <w:ind w:left="0" w:right="0" w:firstLine="30"/>
              <w:rPr/>
            </w:pPr>
            <w:r>
              <w:rPr/>
              <w:t> </w:t>
            </w:r>
          </w:p>
        </w:tc>
        <w:tc>
          <w:tcPr>
            <w:tcW w:w="14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7" w:type="dxa"/>
            <w:tcBorders/>
            <w:shd w:fill="auto" w:val="clear"/>
            <w:vAlign w:val="center"/>
          </w:tcPr>
          <w:p>
            <w:pPr>
              <w:pStyle w:val="TableContents"/>
              <w:spacing w:before="0" w:after="0"/>
              <w:ind w:left="0" w:right="0" w:firstLine="30"/>
              <w:rPr/>
            </w:pPr>
            <w:r>
              <w:rPr/>
              <w:t> </w:t>
            </w:r>
          </w:p>
        </w:tc>
        <w:tc>
          <w:tcPr>
            <w:tcW w:w="15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578" w:type="dxa"/>
            <w:tcBorders/>
            <w:shd w:fill="auto" w:val="clear"/>
            <w:vAlign w:val="center"/>
          </w:tcPr>
          <w:p>
            <w:pPr>
              <w:pStyle w:val="TableContents"/>
              <w:spacing w:before="0" w:after="0"/>
              <w:ind w:left="0" w:right="0" w:firstLine="30"/>
              <w:jc w:val="left"/>
              <w:rPr/>
            </w:pPr>
            <w:r>
              <w:rPr/>
              <w:t> </w:t>
            </w:r>
          </w:p>
        </w:tc>
        <w:tc>
          <w:tcPr>
            <w:tcW w:w="4627"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licenses</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61"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 name</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9,654</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9,621</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9,845</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Domain name</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pPr>
            <w:r>
              <w:rPr/>
              <w:t>—</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20" w:type="dxa"/>
            <w:gridSpan w:val="2"/>
            <w:tcBorders/>
            <w:shd w:fill="CCEEFF" w:val="clear"/>
            <w:vAlign w:val="center"/>
          </w:tcPr>
          <w:p>
            <w:pPr>
              <w:pStyle w:val="TableContents"/>
              <w:spacing w:before="0" w:after="0"/>
              <w:jc w:val="right"/>
              <w:rPr/>
            </w:pPr>
            <w:r>
              <w:rPr/>
              <w:t>—</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426,148</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366,286</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374,663</w:t>
            </w:r>
          </w:p>
        </w:tc>
        <w:tc>
          <w:tcPr>
            <w:tcW w:w="11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444,853</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384,743</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393,344</w:t>
            </w:r>
          </w:p>
        </w:tc>
        <w:tc>
          <w:tcPr>
            <w:tcW w:w="11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tables present the changes in the carrying value of goodwill, by segment, over the periods presented: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525"/>
        <w:gridCol w:w="164"/>
        <w:gridCol w:w="1148"/>
        <w:gridCol w:w="151"/>
        <w:gridCol w:w="133"/>
        <w:gridCol w:w="164"/>
        <w:gridCol w:w="1148"/>
        <w:gridCol w:w="151"/>
        <w:gridCol w:w="133"/>
        <w:gridCol w:w="187"/>
        <w:gridCol w:w="1162"/>
        <w:gridCol w:w="172"/>
        <w:gridCol w:w="133"/>
        <w:gridCol w:w="164"/>
        <w:gridCol w:w="1148"/>
        <w:gridCol w:w="52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2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25" w:type="dxa"/>
            <w:tcBorders/>
            <w:shd w:fill="auto" w:val="clear"/>
            <w:vAlign w:val="center"/>
          </w:tcPr>
          <w:p>
            <w:pPr>
              <w:pStyle w:val="TableContents"/>
              <w:spacing w:before="0" w:after="0"/>
              <w:ind w:left="0" w:right="0" w:firstLine="30"/>
              <w:rPr/>
            </w:pPr>
            <w:r>
              <w:rPr/>
              <w:t> </w:t>
            </w:r>
          </w:p>
        </w:tc>
        <w:tc>
          <w:tcPr>
            <w:tcW w:w="146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46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5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rPr/>
            </w:pPr>
            <w:r>
              <w:rPr/>
              <w:t> </w:t>
            </w:r>
          </w:p>
        </w:tc>
        <w:tc>
          <w:tcPr>
            <w:tcW w:w="18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25" w:type="dxa"/>
            <w:tcBorders/>
            <w:shd w:fill="auto" w:val="clear"/>
            <w:vAlign w:val="center"/>
          </w:tcPr>
          <w:p>
            <w:pPr>
              <w:pStyle w:val="TableContents"/>
              <w:spacing w:before="0" w:after="0"/>
              <w:ind w:left="0" w:right="0" w:firstLine="30"/>
              <w:jc w:val="left"/>
              <w:rPr/>
            </w:pPr>
            <w:r>
              <w:rPr/>
              <w:t> </w:t>
            </w:r>
          </w:p>
        </w:tc>
        <w:tc>
          <w:tcPr>
            <w:tcW w:w="6680"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2012</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shd w:fill="CCEEFF" w:val="clear"/>
            <w:vAlign w:val="center"/>
          </w:tcPr>
          <w:p>
            <w:pPr>
              <w:pStyle w:val="TableContents"/>
              <w:spacing w:before="0" w:after="0"/>
              <w:jc w:val="right"/>
              <w:rPr>
                <w:rFonts w:ascii="inherit" w:hAnsi="inherit"/>
                <w:sz w:val="17"/>
              </w:rPr>
            </w:pPr>
            <w:r>
              <w:rPr>
                <w:rFonts w:ascii="inherit" w:hAnsi="inherit"/>
                <w:sz w:val="17"/>
              </w:rPr>
              <w:t>224,306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shd w:fill="CCEEFF" w:val="clear"/>
            <w:vAlign w:val="center"/>
          </w:tcPr>
          <w:p>
            <w:pPr>
              <w:pStyle w:val="TableContents"/>
              <w:spacing w:before="0" w:after="0"/>
              <w:jc w:val="right"/>
              <w:rPr>
                <w:rFonts w:ascii="inherit" w:hAnsi="inherit"/>
                <w:sz w:val="17"/>
              </w:rPr>
            </w:pPr>
            <w:r>
              <w:rPr>
                <w:rFonts w:ascii="inherit" w:hAnsi="inherit"/>
                <w:sz w:val="17"/>
              </w:rPr>
              <w:t>110,401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shd w:fill="CCEEFF" w:val="clear"/>
            <w:vAlign w:val="center"/>
          </w:tcPr>
          <w:p>
            <w:pPr>
              <w:pStyle w:val="TableContents"/>
              <w:spacing w:before="0" w:after="0"/>
              <w:jc w:val="right"/>
              <w:rPr>
                <w:rFonts w:ascii="inherit" w:hAnsi="inherit"/>
                <w:sz w:val="17"/>
              </w:rPr>
            </w:pPr>
            <w:r>
              <w:rPr>
                <w:rFonts w:ascii="inherit" w:hAnsi="inherit"/>
                <w:sz w:val="17"/>
              </w:rPr>
              <w:t>39,956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shd w:fill="CCEEFF" w:val="clear"/>
            <w:vAlign w:val="center"/>
          </w:tcPr>
          <w:p>
            <w:pPr>
              <w:pStyle w:val="TableContents"/>
              <w:spacing w:before="0" w:after="0"/>
              <w:jc w:val="right"/>
              <w:rPr>
                <w:rFonts w:ascii="inherit" w:hAnsi="inherit"/>
                <w:sz w:val="17"/>
              </w:rPr>
            </w:pPr>
            <w:r>
              <w:rPr>
                <w:rFonts w:ascii="inherit" w:hAnsi="inherit"/>
                <w:sz w:val="17"/>
              </w:rPr>
              <w:t>374,663</w:t>
            </w:r>
          </w:p>
        </w:tc>
        <w:tc>
          <w:tcPr>
            <w:tcW w:w="52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53,033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2,282</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49"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55,315</w:t>
            </w:r>
          </w:p>
        </w:tc>
        <w:tc>
          <w:tcPr>
            <w:tcW w:w="52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2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Goodwill impairment</w:t>
            </w:r>
          </w:p>
        </w:tc>
        <w:tc>
          <w:tcPr>
            <w:tcW w:w="13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49"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w:t>
            </w:r>
          </w:p>
        </w:tc>
        <w:tc>
          <w:tcPr>
            <w:tcW w:w="52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(1,446</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(2,353</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(3,801</w:t>
            </w:r>
          </w:p>
        </w:tc>
        <w:tc>
          <w:tcPr>
            <w:tcW w:w="52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Balances at June 30, 2013</w:t>
            </w:r>
          </w:p>
        </w:tc>
        <w:tc>
          <w:tcPr>
            <w:tcW w:w="16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277,308</w:t>
            </w:r>
          </w:p>
        </w:tc>
        <w:tc>
          <w:tcPr>
            <w:tcW w:w="15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111,237</w:t>
            </w:r>
          </w:p>
        </w:tc>
        <w:tc>
          <w:tcPr>
            <w:tcW w:w="15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8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37,603</w:t>
            </w:r>
          </w:p>
        </w:tc>
        <w:tc>
          <w:tcPr>
            <w:tcW w:w="17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426,148</w:t>
            </w:r>
          </w:p>
        </w:tc>
        <w:tc>
          <w:tcPr>
            <w:tcW w:w="52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3600"/>
        <w:gridCol w:w="163"/>
        <w:gridCol w:w="1151"/>
        <w:gridCol w:w="150"/>
        <w:gridCol w:w="133"/>
        <w:gridCol w:w="163"/>
        <w:gridCol w:w="1151"/>
        <w:gridCol w:w="150"/>
        <w:gridCol w:w="133"/>
        <w:gridCol w:w="185"/>
        <w:gridCol w:w="1165"/>
        <w:gridCol w:w="171"/>
        <w:gridCol w:w="133"/>
        <w:gridCol w:w="163"/>
        <w:gridCol w:w="1151"/>
        <w:gridCol w:w="44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60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00" w:type="dxa"/>
            <w:tcBorders/>
            <w:shd w:fill="auto" w:val="clear"/>
            <w:vAlign w:val="center"/>
          </w:tcPr>
          <w:p>
            <w:pPr>
              <w:pStyle w:val="TableContents"/>
              <w:spacing w:before="0" w:after="0"/>
              <w:ind w:left="0" w:right="0" w:firstLine="30"/>
              <w:rPr/>
            </w:pPr>
            <w:r>
              <w:rPr/>
              <w:t> </w:t>
            </w:r>
          </w:p>
        </w:tc>
        <w:tc>
          <w:tcPr>
            <w:tcW w:w="146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46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5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rPr/>
            </w:pPr>
            <w:r>
              <w:rPr/>
              <w:t> </w:t>
            </w:r>
          </w:p>
        </w:tc>
        <w:tc>
          <w:tcPr>
            <w:tcW w:w="17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600" w:type="dxa"/>
            <w:tcBorders/>
            <w:shd w:fill="auto" w:val="clear"/>
            <w:vAlign w:val="center"/>
          </w:tcPr>
          <w:p>
            <w:pPr>
              <w:pStyle w:val="TableContents"/>
              <w:spacing w:before="0" w:after="0"/>
              <w:ind w:left="0" w:right="0" w:firstLine="30"/>
              <w:jc w:val="left"/>
              <w:rPr/>
            </w:pPr>
            <w:r>
              <w:rPr/>
              <w:t> </w:t>
            </w:r>
          </w:p>
        </w:tc>
        <w:tc>
          <w:tcPr>
            <w:tcW w:w="660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6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2011</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163,897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9,309</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5" w:type="dxa"/>
            <w:tcBorders/>
            <w:shd w:fill="CCEEFF" w:val="clear"/>
            <w:vAlign w:val="center"/>
          </w:tcPr>
          <w:p>
            <w:pPr>
              <w:pStyle w:val="TableContents"/>
              <w:spacing w:before="0" w:after="0"/>
              <w:jc w:val="right"/>
              <w:rPr/>
            </w:pPr>
            <w:r>
              <w:rPr/>
              <w:t>—</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173,206</w:t>
            </w:r>
          </w:p>
        </w:tc>
        <w:tc>
          <w:tcPr>
            <w:tcW w:w="44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57,750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99,486</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39,338</w:t>
            </w:r>
          </w:p>
        </w:tc>
        <w:tc>
          <w:tcPr>
            <w:tcW w:w="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196,574</w:t>
            </w:r>
          </w:p>
        </w:tc>
        <w:tc>
          <w:tcPr>
            <w:tcW w:w="44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(2,752</w:t>
            </w:r>
          </w:p>
        </w:tc>
        <w:tc>
          <w:tcPr>
            <w:tcW w:w="1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(741</w:t>
            </w:r>
          </w:p>
        </w:tc>
        <w:tc>
          <w:tcPr>
            <w:tcW w:w="17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(3,494</w:t>
            </w:r>
          </w:p>
        </w:tc>
        <w:tc>
          <w:tcPr>
            <w:tcW w:w="44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Balances at June 30, 2012</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221,646</w:t>
            </w:r>
          </w:p>
        </w:tc>
        <w:tc>
          <w:tcPr>
            <w:tcW w:w="1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106,043</w:t>
            </w:r>
          </w:p>
        </w:tc>
        <w:tc>
          <w:tcPr>
            <w:tcW w:w="1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8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38,597</w:t>
            </w:r>
          </w:p>
        </w:tc>
        <w:tc>
          <w:tcPr>
            <w:tcW w:w="17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366,286</w:t>
            </w:r>
          </w:p>
        </w:tc>
        <w:tc>
          <w:tcPr>
            <w:tcW w:w="443"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 presents the gross carrying amount and accumulated amortization for each major class of definite-lived intangible asset at the specified dates: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1463"/>
        <w:gridCol w:w="120"/>
        <w:gridCol w:w="574"/>
        <w:gridCol w:w="58"/>
        <w:gridCol w:w="104"/>
        <w:gridCol w:w="139"/>
        <w:gridCol w:w="830"/>
        <w:gridCol w:w="141"/>
        <w:gridCol w:w="104"/>
        <w:gridCol w:w="120"/>
        <w:gridCol w:w="610"/>
        <w:gridCol w:w="58"/>
        <w:gridCol w:w="104"/>
        <w:gridCol w:w="120"/>
        <w:gridCol w:w="574"/>
        <w:gridCol w:w="58"/>
        <w:gridCol w:w="104"/>
        <w:gridCol w:w="139"/>
        <w:gridCol w:w="794"/>
        <w:gridCol w:w="141"/>
        <w:gridCol w:w="104"/>
        <w:gridCol w:w="120"/>
        <w:gridCol w:w="610"/>
        <w:gridCol w:w="58"/>
        <w:gridCol w:w="104"/>
        <w:gridCol w:w="120"/>
        <w:gridCol w:w="574"/>
        <w:gridCol w:w="58"/>
        <w:gridCol w:w="104"/>
        <w:gridCol w:w="152"/>
        <w:gridCol w:w="768"/>
        <w:gridCol w:w="154"/>
        <w:gridCol w:w="104"/>
        <w:gridCol w:w="120"/>
        <w:gridCol w:w="610"/>
        <w:gridCol w:w="90"/>
      </w:tblGrid>
      <w:tr>
        <w:trPr/>
        <w:tc>
          <w:tcPr>
            <w:tcW w:w="10205" w:type="dxa"/>
            <w:gridSpan w:val="36"/>
            <w:tcBorders/>
            <w:shd w:fill="auto" w:val="clear"/>
            <w:vAlign w:val="center"/>
          </w:tcPr>
          <w:p>
            <w:pPr>
              <w:pStyle w:val="TableContents"/>
              <w:spacing w:before="0" w:after="283"/>
              <w:rPr>
                <w:sz w:val="4"/>
                <w:szCs w:val="4"/>
              </w:rPr>
            </w:pPr>
            <w:r>
              <w:rPr>
                <w:sz w:val="4"/>
                <w:szCs w:val="4"/>
              </w:rPr>
            </w:r>
          </w:p>
        </w:tc>
      </w:tr>
      <w:tr>
        <w:trPr/>
        <w:tc>
          <w:tcPr>
            <w:tcW w:w="146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63" w:type="dxa"/>
            <w:tcBorders/>
            <w:shd w:fill="auto" w:val="clear"/>
            <w:vAlign w:val="center"/>
          </w:tcPr>
          <w:p>
            <w:pPr>
              <w:pStyle w:val="TableContents"/>
              <w:spacing w:before="0" w:after="0"/>
              <w:ind w:left="0" w:right="0" w:firstLine="30"/>
              <w:jc w:val="left"/>
              <w:rPr/>
            </w:pPr>
            <w:r>
              <w:rPr/>
              <w:t> </w:t>
            </w:r>
          </w:p>
        </w:tc>
        <w:tc>
          <w:tcPr>
            <w:tcW w:w="5784"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104" w:type="dxa"/>
            <w:tcBorders/>
            <w:shd w:fill="auto" w:val="clear"/>
            <w:vAlign w:val="center"/>
          </w:tcPr>
          <w:p>
            <w:pPr>
              <w:pStyle w:val="TableContents"/>
              <w:spacing w:before="0" w:after="0"/>
              <w:ind w:left="0" w:right="0" w:firstLine="30"/>
              <w:rPr/>
            </w:pPr>
            <w:r>
              <w:rPr/>
              <w:t> </w:t>
            </w:r>
          </w:p>
        </w:tc>
        <w:tc>
          <w:tcPr>
            <w:tcW w:w="285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1463" w:type="dxa"/>
            <w:tcBorders/>
            <w:shd w:fill="auto" w:val="clear"/>
            <w:vAlign w:val="center"/>
          </w:tcPr>
          <w:p>
            <w:pPr>
              <w:pStyle w:val="TableContents"/>
              <w:spacing w:before="0" w:after="0"/>
              <w:ind w:left="0" w:right="0" w:firstLine="30"/>
              <w:jc w:val="left"/>
              <w:rPr/>
            </w:pPr>
            <w:r>
              <w:rPr/>
              <w:t> </w:t>
            </w:r>
          </w:p>
        </w:tc>
        <w:tc>
          <w:tcPr>
            <w:tcW w:w="285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04" w:type="dxa"/>
            <w:tcBorders/>
            <w:shd w:fill="auto" w:val="clear"/>
            <w:vAlign w:val="center"/>
          </w:tcPr>
          <w:p>
            <w:pPr>
              <w:pStyle w:val="TableContents"/>
              <w:spacing w:before="0" w:after="0"/>
              <w:ind w:left="0" w:right="0" w:firstLine="30"/>
              <w:rPr/>
            </w:pPr>
            <w:r>
              <w:rPr/>
              <w:t> </w:t>
            </w:r>
          </w:p>
        </w:tc>
        <w:tc>
          <w:tcPr>
            <w:tcW w:w="282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04" w:type="dxa"/>
            <w:tcBorders/>
            <w:shd w:fill="auto" w:val="clear"/>
            <w:vAlign w:val="center"/>
          </w:tcPr>
          <w:p>
            <w:pPr>
              <w:pStyle w:val="TableContents"/>
              <w:spacing w:before="0" w:after="0"/>
              <w:ind w:left="0" w:right="0" w:firstLine="30"/>
              <w:rPr/>
            </w:pPr>
            <w:r>
              <w:rPr/>
              <w:t> </w:t>
            </w:r>
          </w:p>
        </w:tc>
        <w:tc>
          <w:tcPr>
            <w:tcW w:w="285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1463" w:type="dxa"/>
            <w:tcBorders/>
            <w:shd w:fill="auto" w:val="clear"/>
            <w:vAlign w:val="center"/>
          </w:tcPr>
          <w:p>
            <w:pPr>
              <w:pStyle w:val="TableContents"/>
              <w:spacing w:before="0" w:after="0"/>
              <w:ind w:left="0" w:right="0" w:firstLine="30"/>
              <w:jc w:val="left"/>
              <w:rPr/>
            </w:pPr>
            <w:r>
              <w:rPr/>
              <w:t> </w:t>
            </w:r>
          </w:p>
        </w:tc>
        <w:tc>
          <w:tcPr>
            <w:tcW w:w="7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4" w:type="dxa"/>
            <w:tcBorders/>
            <w:shd w:fill="auto" w:val="clear"/>
            <w:vAlign w:val="center"/>
          </w:tcPr>
          <w:p>
            <w:pPr>
              <w:pStyle w:val="TableContents"/>
              <w:spacing w:before="0" w:after="0"/>
              <w:ind w:left="0" w:right="0" w:firstLine="30"/>
              <w:rPr/>
            </w:pPr>
            <w:r>
              <w:rPr/>
              <w:t> </w:t>
            </w:r>
          </w:p>
        </w:tc>
        <w:tc>
          <w:tcPr>
            <w:tcW w:w="111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4" w:type="dxa"/>
            <w:tcBorders/>
            <w:shd w:fill="auto" w:val="clear"/>
            <w:vAlign w:val="center"/>
          </w:tcPr>
          <w:p>
            <w:pPr>
              <w:pStyle w:val="TableContents"/>
              <w:spacing w:before="0" w:after="0"/>
              <w:ind w:left="0" w:right="0" w:firstLine="30"/>
              <w:rPr/>
            </w:pPr>
            <w:r>
              <w:rPr/>
              <w:t> </w:t>
            </w:r>
          </w:p>
        </w:tc>
        <w:tc>
          <w:tcPr>
            <w:tcW w:w="78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c>
          <w:tcPr>
            <w:tcW w:w="104" w:type="dxa"/>
            <w:tcBorders/>
            <w:shd w:fill="auto" w:val="clear"/>
            <w:vAlign w:val="center"/>
          </w:tcPr>
          <w:p>
            <w:pPr>
              <w:pStyle w:val="TableContents"/>
              <w:spacing w:before="0" w:after="0"/>
              <w:ind w:left="0" w:right="0" w:firstLine="30"/>
              <w:rPr/>
            </w:pPr>
            <w:r>
              <w:rPr/>
              <w:t> </w:t>
            </w:r>
          </w:p>
        </w:tc>
        <w:tc>
          <w:tcPr>
            <w:tcW w:w="7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4" w:type="dxa"/>
            <w:tcBorders/>
            <w:shd w:fill="auto" w:val="clear"/>
            <w:vAlign w:val="center"/>
          </w:tcPr>
          <w:p>
            <w:pPr>
              <w:pStyle w:val="TableContents"/>
              <w:spacing w:before="0" w:after="0"/>
              <w:ind w:left="0" w:right="0" w:firstLine="30"/>
              <w:rPr/>
            </w:pPr>
            <w:r>
              <w:rPr/>
              <w:t> </w:t>
            </w:r>
          </w:p>
        </w:tc>
        <w:tc>
          <w:tcPr>
            <w:tcW w:w="107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4" w:type="dxa"/>
            <w:tcBorders/>
            <w:shd w:fill="auto" w:val="clear"/>
            <w:vAlign w:val="center"/>
          </w:tcPr>
          <w:p>
            <w:pPr>
              <w:pStyle w:val="TableContents"/>
              <w:spacing w:before="0" w:after="0"/>
              <w:ind w:left="0" w:right="0" w:firstLine="30"/>
              <w:rPr/>
            </w:pPr>
            <w:r>
              <w:rPr/>
              <w:t> </w:t>
            </w:r>
          </w:p>
        </w:tc>
        <w:tc>
          <w:tcPr>
            <w:tcW w:w="78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c>
          <w:tcPr>
            <w:tcW w:w="104" w:type="dxa"/>
            <w:tcBorders/>
            <w:shd w:fill="auto" w:val="clear"/>
            <w:vAlign w:val="center"/>
          </w:tcPr>
          <w:p>
            <w:pPr>
              <w:pStyle w:val="TableContents"/>
              <w:spacing w:before="0" w:after="0"/>
              <w:ind w:left="0" w:right="0" w:firstLine="30"/>
              <w:rPr/>
            </w:pPr>
            <w:r>
              <w:rPr/>
              <w:t> </w:t>
            </w:r>
          </w:p>
        </w:tc>
        <w:tc>
          <w:tcPr>
            <w:tcW w:w="7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4" w:type="dxa"/>
            <w:tcBorders/>
            <w:shd w:fill="auto" w:val="clear"/>
            <w:vAlign w:val="center"/>
          </w:tcPr>
          <w:p>
            <w:pPr>
              <w:pStyle w:val="TableContents"/>
              <w:spacing w:before="0" w:after="0"/>
              <w:ind w:left="0" w:right="0" w:firstLine="30"/>
              <w:rPr/>
            </w:pPr>
            <w:r>
              <w:rPr/>
              <w:t> </w:t>
            </w:r>
          </w:p>
        </w:tc>
        <w:tc>
          <w:tcPr>
            <w:tcW w:w="107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4" w:type="dxa"/>
            <w:tcBorders/>
            <w:shd w:fill="auto" w:val="clear"/>
            <w:vAlign w:val="center"/>
          </w:tcPr>
          <w:p>
            <w:pPr>
              <w:pStyle w:val="TableContents"/>
              <w:spacing w:before="0" w:after="0"/>
              <w:ind w:left="0" w:right="0" w:firstLine="30"/>
              <w:rPr/>
            </w:pPr>
            <w:r>
              <w:rPr/>
              <w:t> </w:t>
            </w:r>
          </w:p>
        </w:tc>
        <w:tc>
          <w:tcPr>
            <w:tcW w:w="82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r>
      <w:tr>
        <w:trPr/>
        <w:tc>
          <w:tcPr>
            <w:tcW w:w="1463" w:type="dxa"/>
            <w:tcBorders/>
            <w:shd w:fill="auto" w:val="clear"/>
            <w:vAlign w:val="center"/>
          </w:tcPr>
          <w:p>
            <w:pPr>
              <w:pStyle w:val="TableContents"/>
              <w:spacing w:before="0" w:after="0"/>
              <w:ind w:left="0" w:right="0" w:firstLine="30"/>
              <w:jc w:val="left"/>
              <w:rPr/>
            </w:pPr>
            <w:r>
              <w:rPr/>
              <w:t> </w:t>
            </w:r>
          </w:p>
        </w:tc>
        <w:tc>
          <w:tcPr>
            <w:tcW w:w="8742" w:type="dxa"/>
            <w:gridSpan w:val="3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Real estate finders’ fees</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shd w:fill="CCEEFF" w:val="clear"/>
            <w:vAlign w:val="center"/>
          </w:tcPr>
          <w:p>
            <w:pPr>
              <w:pStyle w:val="TableContents"/>
              <w:spacing w:before="0" w:after="0"/>
              <w:jc w:val="right"/>
              <w:rPr>
                <w:rFonts w:ascii="inherit" w:hAnsi="inherit"/>
                <w:sz w:val="13"/>
              </w:rPr>
            </w:pPr>
            <w:r>
              <w:rPr>
                <w:rFonts w:ascii="inherit" w:hAnsi="inherit"/>
                <w:sz w:val="13"/>
              </w:rPr>
              <w:t>1,518</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30" w:type="dxa"/>
            <w:tcBorders/>
            <w:shd w:fill="CCEEFF" w:val="clear"/>
            <w:vAlign w:val="center"/>
          </w:tcPr>
          <w:p>
            <w:pPr>
              <w:pStyle w:val="TableContents"/>
              <w:spacing w:before="0" w:after="0"/>
              <w:jc w:val="right"/>
              <w:rPr>
                <w:rFonts w:ascii="inherit" w:hAnsi="inherit"/>
                <w:sz w:val="13"/>
              </w:rPr>
            </w:pPr>
            <w:r>
              <w:rPr>
                <w:rFonts w:ascii="inherit" w:hAnsi="inherit"/>
                <w:sz w:val="13"/>
              </w:rPr>
              <w:t>(578</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shd w:fill="CCEEFF" w:val="clear"/>
            <w:vAlign w:val="center"/>
          </w:tcPr>
          <w:p>
            <w:pPr>
              <w:pStyle w:val="TableContents"/>
              <w:spacing w:before="0" w:after="0"/>
              <w:jc w:val="right"/>
              <w:rPr>
                <w:rFonts w:ascii="inherit" w:hAnsi="inherit"/>
                <w:sz w:val="13"/>
              </w:rPr>
            </w:pPr>
            <w:r>
              <w:rPr>
                <w:rFonts w:ascii="inherit" w:hAnsi="inherit"/>
                <w:sz w:val="13"/>
              </w:rPr>
              <w:t>940</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shd w:fill="CCEEFF" w:val="clear"/>
            <w:vAlign w:val="center"/>
          </w:tcPr>
          <w:p>
            <w:pPr>
              <w:pStyle w:val="TableContents"/>
              <w:spacing w:before="0" w:after="0"/>
              <w:jc w:val="right"/>
              <w:rPr>
                <w:rFonts w:ascii="inherit" w:hAnsi="inherit"/>
                <w:sz w:val="13"/>
              </w:rPr>
            </w:pPr>
            <w:r>
              <w:rPr>
                <w:rFonts w:ascii="inherit" w:hAnsi="inherit"/>
                <w:sz w:val="13"/>
              </w:rPr>
              <w:t>1,373</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94" w:type="dxa"/>
            <w:tcBorders/>
            <w:shd w:fill="CCEEFF" w:val="clear"/>
            <w:vAlign w:val="center"/>
          </w:tcPr>
          <w:p>
            <w:pPr>
              <w:pStyle w:val="TableContents"/>
              <w:spacing w:before="0" w:after="0"/>
              <w:jc w:val="right"/>
              <w:rPr>
                <w:rFonts w:ascii="inherit" w:hAnsi="inherit"/>
                <w:sz w:val="13"/>
              </w:rPr>
            </w:pPr>
            <w:r>
              <w:rPr>
                <w:rFonts w:ascii="inherit" w:hAnsi="inherit"/>
                <w:sz w:val="13"/>
              </w:rPr>
              <w:t>(553</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shd w:fill="CCEEFF" w:val="clear"/>
            <w:vAlign w:val="center"/>
          </w:tcPr>
          <w:p>
            <w:pPr>
              <w:pStyle w:val="TableContents"/>
              <w:spacing w:before="0" w:after="0"/>
              <w:jc w:val="right"/>
              <w:rPr>
                <w:rFonts w:ascii="inherit" w:hAnsi="inherit"/>
                <w:sz w:val="13"/>
              </w:rPr>
            </w:pPr>
            <w:r>
              <w:rPr>
                <w:rFonts w:ascii="inherit" w:hAnsi="inherit"/>
                <w:sz w:val="13"/>
              </w:rPr>
              <w:t>820</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shd w:fill="CCEEFF" w:val="clear"/>
            <w:vAlign w:val="center"/>
          </w:tcPr>
          <w:p>
            <w:pPr>
              <w:pStyle w:val="TableContents"/>
              <w:spacing w:before="0" w:after="0"/>
              <w:jc w:val="right"/>
              <w:rPr>
                <w:rFonts w:ascii="inherit" w:hAnsi="inherit"/>
                <w:sz w:val="13"/>
              </w:rPr>
            </w:pPr>
            <w:r>
              <w:rPr>
                <w:rFonts w:ascii="inherit" w:hAnsi="inherit"/>
                <w:sz w:val="13"/>
              </w:rPr>
              <w:t>1,457</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68" w:type="dxa"/>
            <w:tcBorders/>
            <w:shd w:fill="CCEEFF" w:val="clear"/>
            <w:vAlign w:val="center"/>
          </w:tcPr>
          <w:p>
            <w:pPr>
              <w:pStyle w:val="TableContents"/>
              <w:spacing w:before="0" w:after="0"/>
              <w:jc w:val="right"/>
              <w:rPr>
                <w:rFonts w:ascii="inherit" w:hAnsi="inherit"/>
                <w:sz w:val="13"/>
              </w:rPr>
            </w:pPr>
            <w:r>
              <w:rPr>
                <w:rFonts w:ascii="inherit" w:hAnsi="inherit"/>
                <w:sz w:val="13"/>
              </w:rPr>
              <w:t>(590</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shd w:fill="CCEEFF" w:val="clear"/>
            <w:vAlign w:val="center"/>
          </w:tcPr>
          <w:p>
            <w:pPr>
              <w:pStyle w:val="TableContents"/>
              <w:spacing w:before="0" w:after="0"/>
              <w:jc w:val="right"/>
              <w:rPr>
                <w:rFonts w:ascii="inherit" w:hAnsi="inherit"/>
                <w:sz w:val="13"/>
              </w:rPr>
            </w:pPr>
            <w:r>
              <w:rPr>
                <w:rFonts w:ascii="inherit" w:hAnsi="inherit"/>
                <w:sz w:val="13"/>
              </w:rPr>
              <w:t>867</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Non-compete agreements</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4,079</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6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(3,290</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789</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4,356</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(2,993</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1,363</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4,504</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(3,290</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1,214</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Favorable lease</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1,001</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6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(361</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640</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1,159</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(409</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750</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1,159</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(436</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723</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Franchise rights</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1,519</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6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(143</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1,376</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1,559</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(82</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1,477</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1,625</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(102</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1,523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financing costs</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11,647</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6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(5,868</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5,779</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9,441</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(4,874</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4,567</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10,584</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(3,459</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7,125</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Contractual relationship</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14,818</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6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(2,217</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12,601</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11,726</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(2,299</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9,427</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14,517</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(1,075</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13,442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Internally developed software</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25,399</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6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(1,934</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23,465</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33"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1,344</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1,325</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w:t>
            </w:r>
          </w:p>
        </w:tc>
        <w:tc>
          <w:tcPr>
            <w:tcW w:w="6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280</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238</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333</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305</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321</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(36</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285</w:t>
            </w:r>
          </w:p>
        </w:tc>
        <w:tc>
          <w:tcPr>
            <w:tcW w:w="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60,261</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(14,433</w:t>
            </w:r>
          </w:p>
        </w:tc>
        <w:tc>
          <w:tcPr>
            <w:tcW w:w="141"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45,828</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29,947</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(11,238</w:t>
            </w:r>
          </w:p>
        </w:tc>
        <w:tc>
          <w:tcPr>
            <w:tcW w:w="141"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18,709</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35,511</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5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6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(9,007</w:t>
            </w:r>
          </w:p>
        </w:tc>
        <w:tc>
          <w:tcPr>
            <w:tcW w:w="154"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26,504</w:t>
            </w:r>
          </w:p>
        </w:tc>
        <w:tc>
          <w:tcPr>
            <w:tcW w:w="9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 The following table presents the amount and classification of amortization recognized as expense in each of the periods presented: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202"/>
        <w:gridCol w:w="153"/>
        <w:gridCol w:w="1149"/>
        <w:gridCol w:w="95"/>
        <w:gridCol w:w="132"/>
        <w:gridCol w:w="153"/>
        <w:gridCol w:w="1149"/>
        <w:gridCol w:w="95"/>
        <w:gridCol w:w="132"/>
        <w:gridCol w:w="153"/>
        <w:gridCol w:w="1149"/>
        <w:gridCol w:w="95"/>
        <w:gridCol w:w="132"/>
        <w:gridCol w:w="153"/>
        <w:gridCol w:w="1149"/>
        <w:gridCol w:w="11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20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02" w:type="dxa"/>
            <w:tcBorders/>
            <w:shd w:fill="auto" w:val="clear"/>
            <w:vAlign w:val="center"/>
          </w:tcPr>
          <w:p>
            <w:pPr>
              <w:pStyle w:val="TableContents"/>
              <w:spacing w:before="0" w:after="0"/>
              <w:ind w:left="0" w:right="0" w:firstLine="30"/>
              <w:rPr/>
            </w:pPr>
            <w:r>
              <w:rPr/>
              <w:t> </w:t>
            </w:r>
          </w:p>
        </w:tc>
        <w:tc>
          <w:tcPr>
            <w:tcW w:w="292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32" w:type="dxa"/>
            <w:tcBorders/>
            <w:shd w:fill="auto" w:val="clear"/>
            <w:vAlign w:val="center"/>
          </w:tcPr>
          <w:p>
            <w:pPr>
              <w:pStyle w:val="TableContents"/>
              <w:spacing w:before="0" w:after="0"/>
              <w:ind w:left="0" w:right="0" w:firstLine="30"/>
              <w:rPr/>
            </w:pPr>
            <w:r>
              <w:rPr/>
              <w:t> </w:t>
            </w:r>
          </w:p>
        </w:tc>
        <w:tc>
          <w:tcPr>
            <w:tcW w:w="294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4202" w:type="dxa"/>
            <w:tcBorders/>
            <w:shd w:fill="auto" w:val="clear"/>
            <w:vAlign w:val="center"/>
          </w:tcPr>
          <w:p>
            <w:pPr>
              <w:pStyle w:val="TableContents"/>
              <w:spacing w:before="0" w:after="0"/>
              <w:ind w:left="0" w:right="0" w:firstLine="30"/>
              <w:jc w:val="left"/>
              <w:rPr/>
            </w:pPr>
            <w:r>
              <w:rPr/>
              <w:t> </w:t>
            </w:r>
          </w:p>
        </w:tc>
        <w:tc>
          <w:tcPr>
            <w:tcW w:w="13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2" w:type="dxa"/>
            <w:tcBorders/>
            <w:shd w:fill="auto" w:val="clear"/>
            <w:vAlign w:val="center"/>
          </w:tcPr>
          <w:p>
            <w:pPr>
              <w:pStyle w:val="TableContents"/>
              <w:spacing w:before="0" w:after="0"/>
              <w:ind w:left="0" w:right="0" w:firstLine="30"/>
              <w:rPr/>
            </w:pPr>
            <w:r>
              <w:rPr/>
              <w:t> </w:t>
            </w:r>
          </w:p>
        </w:tc>
        <w:tc>
          <w:tcPr>
            <w:tcW w:w="13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2" w:type="dxa"/>
            <w:tcBorders/>
            <w:shd w:fill="auto" w:val="clear"/>
            <w:vAlign w:val="center"/>
          </w:tcPr>
          <w:p>
            <w:pPr>
              <w:pStyle w:val="TableContents"/>
              <w:spacing w:before="0" w:after="0"/>
              <w:ind w:left="0" w:right="0" w:firstLine="30"/>
              <w:rPr/>
            </w:pPr>
            <w:r>
              <w:rPr/>
              <w:t> </w:t>
            </w:r>
          </w:p>
        </w:tc>
        <w:tc>
          <w:tcPr>
            <w:tcW w:w="139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202" w:type="dxa"/>
            <w:tcBorders/>
            <w:shd w:fill="auto" w:val="clear"/>
            <w:vAlign w:val="center"/>
          </w:tcPr>
          <w:p>
            <w:pPr>
              <w:pStyle w:val="TableContents"/>
              <w:spacing w:before="0" w:after="0"/>
              <w:ind w:left="0" w:right="0" w:firstLine="30"/>
              <w:jc w:val="left"/>
              <w:rPr/>
            </w:pPr>
            <w:r>
              <w:rPr/>
              <w:t> </w:t>
            </w:r>
          </w:p>
        </w:tc>
        <w:tc>
          <w:tcPr>
            <w:tcW w:w="292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32" w:type="dxa"/>
            <w:tcBorders/>
            <w:shd w:fill="auto" w:val="clear"/>
            <w:vAlign w:val="center"/>
          </w:tcPr>
          <w:p>
            <w:pPr>
              <w:pStyle w:val="TableContents"/>
              <w:spacing w:before="0" w:after="0"/>
              <w:ind w:left="0" w:right="0" w:firstLine="30"/>
              <w:rPr/>
            </w:pPr>
            <w:r>
              <w:rPr/>
              <w:t> </w:t>
            </w:r>
          </w:p>
        </w:tc>
        <w:tc>
          <w:tcPr>
            <w:tcW w:w="1397"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r>
      <w:tr>
        <w:trPr/>
        <w:tc>
          <w:tcPr>
            <w:tcW w:w="4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expense</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9" w:type="dxa"/>
            <w:tcBorders/>
            <w:shd w:fill="CCEEFF" w:val="clear"/>
            <w:vAlign w:val="center"/>
          </w:tcPr>
          <w:p>
            <w:pPr>
              <w:pStyle w:val="TableContents"/>
              <w:spacing w:before="0" w:after="0"/>
              <w:jc w:val="right"/>
              <w:rPr>
                <w:rFonts w:ascii="inherit" w:hAnsi="inherit"/>
                <w:sz w:val="17"/>
              </w:rPr>
            </w:pPr>
            <w:r>
              <w:rPr>
                <w:rFonts w:ascii="inherit" w:hAnsi="inherit"/>
                <w:sz w:val="17"/>
              </w:rPr>
              <w:t>1,598</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9" w:type="dxa"/>
            <w:tcBorders/>
            <w:shd w:fill="CCEEFF" w:val="clear"/>
            <w:vAlign w:val="center"/>
          </w:tcPr>
          <w:p>
            <w:pPr>
              <w:pStyle w:val="TableContents"/>
              <w:spacing w:before="0" w:after="0"/>
              <w:jc w:val="right"/>
              <w:rPr>
                <w:rFonts w:ascii="inherit" w:hAnsi="inherit"/>
                <w:sz w:val="17"/>
              </w:rPr>
            </w:pPr>
            <w:r>
              <w:rPr>
                <w:rFonts w:ascii="inherit" w:hAnsi="inherit"/>
                <w:sz w:val="17"/>
              </w:rPr>
              <w:t>1,162</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9" w:type="dxa"/>
            <w:tcBorders/>
            <w:shd w:fill="CCEEFF" w:val="clear"/>
            <w:vAlign w:val="center"/>
          </w:tcPr>
          <w:p>
            <w:pPr>
              <w:pStyle w:val="TableContents"/>
              <w:spacing w:before="0" w:after="0"/>
              <w:jc w:val="right"/>
              <w:rPr>
                <w:rFonts w:ascii="inherit" w:hAnsi="inherit"/>
                <w:sz w:val="17"/>
              </w:rPr>
            </w:pPr>
            <w:r>
              <w:rPr>
                <w:rFonts w:ascii="inherit" w:hAnsi="inherit"/>
                <w:sz w:val="17"/>
              </w:rPr>
              <w:t>3,643</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9" w:type="dxa"/>
            <w:tcBorders/>
            <w:shd w:fill="CCEEFF" w:val="clear"/>
            <w:vAlign w:val="center"/>
          </w:tcPr>
          <w:p>
            <w:pPr>
              <w:pStyle w:val="TableContents"/>
              <w:spacing w:before="0" w:after="0"/>
              <w:jc w:val="right"/>
              <w:rPr>
                <w:rFonts w:ascii="inherit" w:hAnsi="inherit"/>
                <w:sz w:val="17"/>
              </w:rPr>
            </w:pPr>
            <w:r>
              <w:rPr>
                <w:rFonts w:ascii="inherit" w:hAnsi="inherit"/>
                <w:sz w:val="17"/>
              </w:rPr>
              <w:t>3,086</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3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3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820</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569</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2,344</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1,164</w:t>
            </w:r>
          </w:p>
        </w:tc>
        <w:tc>
          <w:tcPr>
            <w:tcW w:w="11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expense from the amortization of definite-lived intangible assets</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49" w:type="dxa"/>
            <w:tcBorders/>
            <w:shd w:fill="auto" w:val="clear"/>
            <w:vAlign w:val="center"/>
          </w:tcPr>
          <w:p>
            <w:pPr>
              <w:pStyle w:val="TableContents"/>
              <w:spacing w:before="0" w:after="0"/>
              <w:jc w:val="right"/>
              <w:rPr>
                <w:rFonts w:ascii="inherit" w:hAnsi="inherit"/>
                <w:sz w:val="17"/>
              </w:rPr>
            </w:pPr>
            <w:r>
              <w:rPr>
                <w:rFonts w:ascii="inherit" w:hAnsi="inherit"/>
                <w:sz w:val="17"/>
              </w:rPr>
              <w:t>2,482</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49" w:type="dxa"/>
            <w:tcBorders/>
            <w:shd w:fill="auto" w:val="clear"/>
            <w:vAlign w:val="center"/>
          </w:tcPr>
          <w:p>
            <w:pPr>
              <w:pStyle w:val="TableContents"/>
              <w:spacing w:before="0" w:after="0"/>
              <w:jc w:val="right"/>
              <w:rPr>
                <w:rFonts w:ascii="inherit" w:hAnsi="inherit"/>
                <w:sz w:val="17"/>
              </w:rPr>
            </w:pPr>
            <w:r>
              <w:rPr>
                <w:rFonts w:ascii="inherit" w:hAnsi="inherit"/>
                <w:sz w:val="17"/>
              </w:rPr>
              <w:t>1,780</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49" w:type="dxa"/>
            <w:tcBorders/>
            <w:shd w:fill="auto" w:val="clear"/>
            <w:vAlign w:val="center"/>
          </w:tcPr>
          <w:p>
            <w:pPr>
              <w:pStyle w:val="TableContents"/>
              <w:spacing w:before="0" w:after="0"/>
              <w:jc w:val="right"/>
              <w:rPr>
                <w:rFonts w:ascii="inherit" w:hAnsi="inherit"/>
                <w:sz w:val="17"/>
              </w:rPr>
            </w:pPr>
            <w:r>
              <w:rPr>
                <w:rFonts w:ascii="inherit" w:hAnsi="inherit"/>
                <w:sz w:val="17"/>
              </w:rPr>
              <w:t>6,118</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49" w:type="dxa"/>
            <w:tcBorders/>
            <w:shd w:fill="auto" w:val="clear"/>
            <w:vAlign w:val="center"/>
          </w:tcPr>
          <w:p>
            <w:pPr>
              <w:pStyle w:val="TableContents"/>
              <w:spacing w:before="0" w:after="0"/>
              <w:jc w:val="right"/>
              <w:rPr>
                <w:rFonts w:ascii="inherit" w:hAnsi="inherit"/>
                <w:sz w:val="17"/>
              </w:rPr>
            </w:pPr>
            <w:r>
              <w:rPr>
                <w:rFonts w:ascii="inherit" w:hAnsi="inherit"/>
                <w:sz w:val="17"/>
              </w:rPr>
              <w:t>4,353</w:t>
            </w:r>
          </w:p>
        </w:tc>
        <w:tc>
          <w:tcPr>
            <w:tcW w:w="11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The following table presents our estimate of future amortization expense for definite-lived intangible assets: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215"/>
        <w:gridCol w:w="130"/>
        <w:gridCol w:w="341"/>
        <w:gridCol w:w="2220"/>
        <w:gridCol w:w="119"/>
        <w:gridCol w:w="130"/>
        <w:gridCol w:w="495"/>
        <w:gridCol w:w="1906"/>
        <w:gridCol w:w="157"/>
        <w:gridCol w:w="130"/>
        <w:gridCol w:w="339"/>
        <w:gridCol w:w="1862"/>
        <w:gridCol w:w="161"/>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221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86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1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c>
          <w:tcPr>
            <w:tcW w:w="130" w:type="dxa"/>
            <w:tcBorders/>
            <w:shd w:fill="auto" w:val="clear"/>
            <w:vAlign w:val="center"/>
          </w:tcPr>
          <w:p>
            <w:pPr>
              <w:pStyle w:val="TableContents"/>
              <w:spacing w:before="0" w:after="0"/>
              <w:ind w:left="0" w:right="0" w:firstLine="30"/>
              <w:rPr/>
            </w:pPr>
            <w:r>
              <w:rPr/>
              <w:t> </w:t>
            </w:r>
          </w:p>
        </w:tc>
        <w:tc>
          <w:tcPr>
            <w:tcW w:w="26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Amortization expense</w:t>
            </w:r>
          </w:p>
        </w:tc>
        <w:tc>
          <w:tcPr>
            <w:tcW w:w="130" w:type="dxa"/>
            <w:tcBorders/>
            <w:shd w:fill="auto" w:val="clear"/>
            <w:vAlign w:val="center"/>
          </w:tcPr>
          <w:p>
            <w:pPr>
              <w:pStyle w:val="TableContents"/>
              <w:spacing w:before="0" w:after="0"/>
              <w:ind w:left="0" w:right="0" w:firstLine="30"/>
              <w:rPr/>
            </w:pPr>
            <w:r>
              <w:rPr/>
              <w:t> </w:t>
            </w:r>
          </w:p>
        </w:tc>
        <w:tc>
          <w:tcPr>
            <w:tcW w:w="25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Operations expense</w:t>
            </w:r>
          </w:p>
        </w:tc>
        <w:tc>
          <w:tcPr>
            <w:tcW w:w="130" w:type="dxa"/>
            <w:tcBorders/>
            <w:shd w:fill="auto" w:val="clear"/>
            <w:vAlign w:val="center"/>
          </w:tcPr>
          <w:p>
            <w:pPr>
              <w:pStyle w:val="TableContents"/>
              <w:spacing w:before="0" w:after="0"/>
              <w:ind w:left="0" w:right="0" w:firstLine="30"/>
              <w:rPr/>
            </w:pPr>
            <w:r>
              <w:rPr/>
              <w:t> </w:t>
            </w:r>
          </w:p>
        </w:tc>
        <w:tc>
          <w:tcPr>
            <w:tcW w:w="23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Interest expense</w:t>
            </w:r>
          </w:p>
        </w:tc>
      </w:tr>
      <w:tr>
        <w:trPr/>
        <w:tc>
          <w:tcPr>
            <w:tcW w:w="2215" w:type="dxa"/>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786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21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30" w:type="dxa"/>
            <w:tcBorders/>
            <w:shd w:fill="CCEEFF" w:val="clear"/>
            <w:vAlign w:val="center"/>
          </w:tcPr>
          <w:p>
            <w:pPr>
              <w:pStyle w:val="TableContents"/>
              <w:spacing w:before="0" w:after="0"/>
              <w:ind w:left="0" w:right="0" w:firstLine="30"/>
              <w:rPr/>
            </w:pPr>
            <w:r>
              <w:rPr/>
              <w:t> </w:t>
            </w:r>
          </w:p>
        </w:tc>
        <w:tc>
          <w:tcPr>
            <w:tcW w:w="3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220" w:type="dxa"/>
            <w:tcBorders/>
            <w:shd w:fill="CCEEFF" w:val="clear"/>
            <w:vAlign w:val="center"/>
          </w:tcPr>
          <w:p>
            <w:pPr>
              <w:pStyle w:val="TableContents"/>
              <w:spacing w:before="0" w:after="0"/>
              <w:jc w:val="right"/>
              <w:rPr>
                <w:rFonts w:ascii="inherit" w:hAnsi="inherit"/>
                <w:sz w:val="17"/>
              </w:rPr>
            </w:pPr>
            <w:r>
              <w:rPr>
                <w:rFonts w:ascii="inherit" w:hAnsi="inherit"/>
                <w:sz w:val="17"/>
              </w:rPr>
              <w:t>1,754</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49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906" w:type="dxa"/>
            <w:tcBorders/>
            <w:shd w:fill="CCEEFF" w:val="clear"/>
            <w:vAlign w:val="center"/>
          </w:tcPr>
          <w:p>
            <w:pPr>
              <w:pStyle w:val="TableContents"/>
              <w:spacing w:before="0" w:after="0"/>
              <w:jc w:val="right"/>
              <w:rPr>
                <w:rFonts w:ascii="inherit" w:hAnsi="inherit"/>
                <w:sz w:val="17"/>
              </w:rPr>
            </w:pPr>
            <w:r>
              <w:rPr>
                <w:rFonts w:ascii="inherit" w:hAnsi="inherit"/>
                <w:sz w:val="17"/>
              </w:rPr>
              <w:t>31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3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62" w:type="dxa"/>
            <w:tcBorders/>
            <w:shd w:fill="CCEEFF" w:val="clear"/>
            <w:vAlign w:val="center"/>
          </w:tcPr>
          <w:p>
            <w:pPr>
              <w:pStyle w:val="TableContents"/>
              <w:spacing w:before="0" w:after="0"/>
              <w:jc w:val="right"/>
              <w:rPr>
                <w:rFonts w:ascii="inherit" w:hAnsi="inherit"/>
                <w:sz w:val="17"/>
              </w:rPr>
            </w:pPr>
            <w:r>
              <w:rPr>
                <w:rFonts w:ascii="inherit" w:hAnsi="inherit"/>
                <w:sz w:val="17"/>
              </w:rPr>
              <w:t>867</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1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2014</w:t>
            </w:r>
          </w:p>
        </w:tc>
        <w:tc>
          <w:tcPr>
            <w:tcW w:w="130" w:type="dxa"/>
            <w:tcBorders/>
            <w:shd w:fill="auto" w:val="clear"/>
            <w:vAlign w:val="center"/>
          </w:tcPr>
          <w:p>
            <w:pPr>
              <w:pStyle w:val="TableContents"/>
              <w:spacing w:before="0" w:after="0"/>
              <w:ind w:left="0" w:right="0" w:firstLine="30"/>
              <w:rPr/>
            </w:pPr>
            <w:r>
              <w:rPr/>
              <w:t> </w:t>
            </w:r>
          </w:p>
        </w:tc>
        <w:tc>
          <w:tcPr>
            <w:tcW w:w="25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6,887</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4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2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2,485</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1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2015</w:t>
            </w:r>
          </w:p>
        </w:tc>
        <w:tc>
          <w:tcPr>
            <w:tcW w:w="130" w:type="dxa"/>
            <w:tcBorders/>
            <w:shd w:fill="CCEEFF" w:val="clear"/>
            <w:vAlign w:val="center"/>
          </w:tcPr>
          <w:p>
            <w:pPr>
              <w:pStyle w:val="TableContents"/>
              <w:spacing w:before="0" w:after="0"/>
              <w:ind w:left="0" w:right="0" w:firstLine="30"/>
              <w:rPr/>
            </w:pPr>
            <w:r>
              <w:rPr/>
              <w:t> </w:t>
            </w:r>
          </w:p>
        </w:tc>
        <w:tc>
          <w:tcPr>
            <w:tcW w:w="25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6,213</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4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2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1,425</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1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2016</w:t>
            </w:r>
          </w:p>
        </w:tc>
        <w:tc>
          <w:tcPr>
            <w:tcW w:w="130" w:type="dxa"/>
            <w:tcBorders/>
            <w:shd w:fill="auto" w:val="clear"/>
            <w:vAlign w:val="center"/>
          </w:tcPr>
          <w:p>
            <w:pPr>
              <w:pStyle w:val="TableContents"/>
              <w:spacing w:before="0" w:after="0"/>
              <w:ind w:left="0" w:right="0" w:firstLine="30"/>
              <w:rPr/>
            </w:pPr>
            <w:r>
              <w:rPr/>
              <w:t> </w:t>
            </w:r>
          </w:p>
        </w:tc>
        <w:tc>
          <w:tcPr>
            <w:tcW w:w="25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6,157</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4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2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559</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1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2017</w:t>
            </w:r>
          </w:p>
        </w:tc>
        <w:tc>
          <w:tcPr>
            <w:tcW w:w="130" w:type="dxa"/>
            <w:tcBorders/>
            <w:shd w:fill="CCEEFF" w:val="clear"/>
            <w:vAlign w:val="center"/>
          </w:tcPr>
          <w:p>
            <w:pPr>
              <w:pStyle w:val="TableContents"/>
              <w:spacing w:before="0" w:after="0"/>
              <w:ind w:left="0" w:right="0" w:firstLine="30"/>
              <w:rPr/>
            </w:pPr>
            <w:r>
              <w:rPr/>
              <w:t> </w:t>
            </w:r>
          </w:p>
        </w:tc>
        <w:tc>
          <w:tcPr>
            <w:tcW w:w="25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5,874</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4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2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As acquisitions and dispositions occur in the future, amortization expense may vary from these estimates.</w:t>
      </w:r>
    </w:p>
    <w:p>
      <w:pPr>
        <w:pStyle w:val="TextBody"/>
        <w:spacing w:lineRule="auto" w:line="288" w:before="0" w:after="0"/>
        <w:rPr/>
      </w:pPr>
      <w:bookmarkStart w:id="19" w:name="sA8127AD366222468FBF8CD28F9FBE4F6"/>
      <w:bookmarkEnd w:id="19"/>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trike w:val="false"/>
          <w:dstrike w:val="false"/>
          <w:color w:val="000000"/>
          <w:sz w:val="17"/>
          <w:u w:val="none"/>
          <w:effect w:val="none"/>
        </w:rPr>
        <w:t>NOTE 7: LONG-TERM DEBT AND CAPITAL LEASE OBLIGATIONS</w:t>
      </w:r>
      <w:r>
        <w:rPr>
          <w:sz w:val="17"/>
        </w:rPr>
        <w:t xml:space="preserve"> </w:t>
      </w:r>
    </w:p>
    <w:p>
      <w:pPr>
        <w:pStyle w:val="TextBody"/>
        <w:spacing w:lineRule="auto" w:line="288" w:before="0" w:after="0"/>
        <w:rPr>
          <w:sz w:val="17"/>
        </w:rPr>
      </w:pPr>
      <w:r>
        <w:rPr>
          <w:rFonts w:ascii="inherit" w:hAnsi="inherit"/>
          <w:sz w:val="17"/>
        </w:rPr>
        <w:t xml:space="preserve">The following table presents our long-term debt instruments and balances under capital lease obligations outstanding 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308"/>
        <w:gridCol w:w="151"/>
        <w:gridCol w:w="913"/>
        <w:gridCol w:w="72"/>
        <w:gridCol w:w="122"/>
        <w:gridCol w:w="198"/>
        <w:gridCol w:w="643"/>
        <w:gridCol w:w="84"/>
        <w:gridCol w:w="122"/>
        <w:gridCol w:w="151"/>
        <w:gridCol w:w="913"/>
        <w:gridCol w:w="72"/>
        <w:gridCol w:w="122"/>
        <w:gridCol w:w="151"/>
        <w:gridCol w:w="730"/>
        <w:gridCol w:w="72"/>
        <w:gridCol w:w="122"/>
        <w:gridCol w:w="151"/>
        <w:gridCol w:w="913"/>
        <w:gridCol w:w="72"/>
        <w:gridCol w:w="122"/>
        <w:gridCol w:w="196"/>
        <w:gridCol w:w="686"/>
        <w:gridCol w:w="119"/>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8" w:type="dxa"/>
            <w:tcBorders/>
            <w:shd w:fill="auto" w:val="clear"/>
            <w:vAlign w:val="center"/>
          </w:tcPr>
          <w:p>
            <w:pPr>
              <w:pStyle w:val="TableContents"/>
              <w:spacing w:before="0" w:after="0"/>
              <w:ind w:left="0" w:right="0" w:firstLine="30"/>
              <w:jc w:val="left"/>
              <w:rPr/>
            </w:pPr>
            <w:r>
              <w:rPr/>
              <w:t> </w:t>
            </w:r>
          </w:p>
        </w:tc>
        <w:tc>
          <w:tcPr>
            <w:tcW w:w="218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2013</w:t>
            </w:r>
          </w:p>
        </w:tc>
        <w:tc>
          <w:tcPr>
            <w:tcW w:w="122" w:type="dxa"/>
            <w:tcBorders/>
            <w:shd w:fill="auto" w:val="clear"/>
            <w:vAlign w:val="center"/>
          </w:tcPr>
          <w:p>
            <w:pPr>
              <w:pStyle w:val="TableContents"/>
              <w:spacing w:before="0" w:after="0"/>
              <w:ind w:left="0" w:right="0" w:firstLine="30"/>
              <w:rPr/>
            </w:pPr>
            <w:r>
              <w:rPr/>
              <w:t> </w:t>
            </w:r>
          </w:p>
        </w:tc>
        <w:tc>
          <w:tcPr>
            <w:tcW w:w="221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2012</w:t>
            </w:r>
          </w:p>
        </w:tc>
        <w:tc>
          <w:tcPr>
            <w:tcW w:w="122" w:type="dxa"/>
            <w:tcBorders/>
            <w:shd w:fill="auto" w:val="clear"/>
            <w:vAlign w:val="center"/>
          </w:tcPr>
          <w:p>
            <w:pPr>
              <w:pStyle w:val="TableContents"/>
              <w:spacing w:before="0" w:after="0"/>
              <w:ind w:left="0" w:right="0" w:firstLine="30"/>
              <w:rPr/>
            </w:pPr>
            <w:r>
              <w:rPr/>
              <w:t> </w:t>
            </w:r>
          </w:p>
        </w:tc>
        <w:tc>
          <w:tcPr>
            <w:tcW w:w="225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r>
      <w:tr>
        <w:trPr/>
        <w:tc>
          <w:tcPr>
            <w:tcW w:w="3308" w:type="dxa"/>
            <w:tcBorders/>
            <w:shd w:fill="auto" w:val="clear"/>
            <w:vAlign w:val="center"/>
          </w:tcPr>
          <w:p>
            <w:pPr>
              <w:pStyle w:val="TableContents"/>
              <w:spacing w:before="0" w:after="0"/>
              <w:ind w:left="0" w:right="0" w:firstLine="30"/>
              <w:jc w:val="left"/>
              <w:rPr/>
            </w:pPr>
            <w:r>
              <w:rPr/>
              <w:t> </w:t>
            </w:r>
          </w:p>
        </w:tc>
        <w:tc>
          <w:tcPr>
            <w:tcW w:w="113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22" w:type="dxa"/>
            <w:tcBorders/>
            <w:shd w:fill="auto" w:val="clear"/>
            <w:vAlign w:val="center"/>
          </w:tcPr>
          <w:p>
            <w:pPr>
              <w:pStyle w:val="TableContents"/>
              <w:spacing w:before="0" w:after="0"/>
              <w:ind w:left="0" w:right="0" w:firstLine="30"/>
              <w:rPr/>
            </w:pPr>
            <w:r>
              <w:rPr/>
              <w:t> </w:t>
            </w:r>
          </w:p>
        </w:tc>
        <w:tc>
          <w:tcPr>
            <w:tcW w:w="9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c>
          <w:tcPr>
            <w:tcW w:w="122" w:type="dxa"/>
            <w:tcBorders/>
            <w:shd w:fill="auto" w:val="clear"/>
            <w:vAlign w:val="center"/>
          </w:tcPr>
          <w:p>
            <w:pPr>
              <w:pStyle w:val="TableContents"/>
              <w:spacing w:before="0" w:after="0"/>
              <w:ind w:left="0" w:right="0" w:firstLine="30"/>
              <w:rPr/>
            </w:pPr>
            <w:r>
              <w:rPr/>
              <w:t> </w:t>
            </w:r>
          </w:p>
        </w:tc>
        <w:tc>
          <w:tcPr>
            <w:tcW w:w="113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22" w:type="dxa"/>
            <w:tcBorders/>
            <w:shd w:fill="auto" w:val="clear"/>
            <w:vAlign w:val="center"/>
          </w:tcPr>
          <w:p>
            <w:pPr>
              <w:pStyle w:val="TableContents"/>
              <w:spacing w:before="0" w:after="0"/>
              <w:ind w:left="0" w:right="0" w:firstLine="30"/>
              <w:rPr/>
            </w:pPr>
            <w:r>
              <w:rPr/>
              <w:t> </w:t>
            </w:r>
          </w:p>
        </w:tc>
        <w:tc>
          <w:tcPr>
            <w:tcW w:w="95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c>
          <w:tcPr>
            <w:tcW w:w="122" w:type="dxa"/>
            <w:tcBorders/>
            <w:shd w:fill="auto" w:val="clear"/>
            <w:vAlign w:val="center"/>
          </w:tcPr>
          <w:p>
            <w:pPr>
              <w:pStyle w:val="TableContents"/>
              <w:spacing w:before="0" w:after="0"/>
              <w:ind w:left="0" w:right="0" w:firstLine="30"/>
              <w:rPr/>
            </w:pPr>
            <w:r>
              <w:rPr/>
              <w:t> </w:t>
            </w:r>
          </w:p>
        </w:tc>
        <w:tc>
          <w:tcPr>
            <w:tcW w:w="113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22" w:type="dxa"/>
            <w:tcBorders/>
            <w:shd w:fill="auto" w:val="clear"/>
            <w:vAlign w:val="center"/>
          </w:tcPr>
          <w:p>
            <w:pPr>
              <w:pStyle w:val="TableContents"/>
              <w:spacing w:before="0" w:after="0"/>
              <w:ind w:left="0" w:right="0" w:firstLine="30"/>
              <w:rPr/>
            </w:pPr>
            <w:r>
              <w:rPr/>
              <w:t> </w:t>
            </w:r>
          </w:p>
        </w:tc>
        <w:tc>
          <w:tcPr>
            <w:tcW w:w="100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r>
      <w:tr>
        <w:trPr/>
        <w:tc>
          <w:tcPr>
            <w:tcW w:w="3308" w:type="dxa"/>
            <w:tcBorders/>
            <w:shd w:fill="CCEEFF" w:val="clear"/>
            <w:vAlign w:val="center"/>
          </w:tcPr>
          <w:p>
            <w:pPr>
              <w:pStyle w:val="TableContents"/>
              <w:spacing w:before="0" w:after="0"/>
              <w:ind w:left="0" w:right="0" w:firstLine="30"/>
              <w:rPr/>
            </w:pPr>
            <w:r>
              <w:rPr/>
              <w:t> </w:t>
            </w:r>
          </w:p>
        </w:tc>
        <w:tc>
          <w:tcPr>
            <w:tcW w:w="5774" w:type="dxa"/>
            <w:gridSpan w:val="19"/>
            <w:tcBorders/>
            <w:shd w:fill="CCEEFF"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22" w:type="dxa"/>
            <w:tcBorders/>
            <w:shd w:fill="CCEEFF" w:val="clear"/>
            <w:vAlign w:val="center"/>
          </w:tcPr>
          <w:p>
            <w:pPr>
              <w:pStyle w:val="TableContents"/>
              <w:spacing w:before="0" w:after="0"/>
              <w:ind w:left="0" w:right="0" w:firstLine="30"/>
              <w:rPr/>
            </w:pPr>
            <w:r>
              <w:rPr/>
              <w:t> </w:t>
            </w:r>
          </w:p>
        </w:tc>
        <w:tc>
          <w:tcPr>
            <w:tcW w:w="1001" w:type="dxa"/>
            <w:gridSpan w:val="3"/>
            <w:tcBorders/>
            <w:shd w:fill="CCEEFF" w:val="clear"/>
            <w:vAlign w:val="center"/>
          </w:tcPr>
          <w:p>
            <w:pPr>
              <w:pStyle w:val="TableContents"/>
              <w:spacing w:before="0" w:after="0"/>
              <w:ind w:left="0" w:right="0" w:firstLine="30"/>
              <w:rPr/>
            </w:pPr>
            <w:r>
              <w:rPr/>
              <w:t> </w:t>
            </w:r>
          </w:p>
        </w:tc>
      </w:tr>
      <w:tr>
        <w:trPr/>
        <w:tc>
          <w:tcPr>
            <w:tcW w:w="3308"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Recourse to EZCORP:</w:t>
            </w:r>
          </w:p>
        </w:tc>
        <w:tc>
          <w:tcPr>
            <w:tcW w:w="1136"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92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136"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953"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136"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001" w:type="dxa"/>
            <w:gridSpan w:val="3"/>
            <w:tcBorders/>
            <w:shd w:fill="auto" w:val="clear"/>
            <w:vAlign w:val="center"/>
          </w:tcPr>
          <w:p>
            <w:pPr>
              <w:pStyle w:val="TableContents"/>
              <w:spacing w:before="0" w:after="0"/>
              <w:ind w:left="0" w:right="0" w:firstLine="30"/>
              <w:rPr/>
            </w:pPr>
            <w:r>
              <w:rPr/>
              <w:t> </w:t>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Domestic line of credit up to $200,000 due 2015</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CCEEFF" w:val="clear"/>
            <w:vAlign w:val="center"/>
          </w:tcPr>
          <w:p>
            <w:pPr>
              <w:pStyle w:val="TableContents"/>
              <w:spacing w:before="0" w:after="0"/>
              <w:jc w:val="right"/>
              <w:rPr>
                <w:rFonts w:ascii="inherit" w:hAnsi="inherit"/>
                <w:sz w:val="17"/>
              </w:rPr>
            </w:pPr>
            <w:r>
              <w:rPr>
                <w:rFonts w:ascii="inherit" w:hAnsi="inherit"/>
                <w:sz w:val="17"/>
              </w:rPr>
              <w:t>122,500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3" w:type="dxa"/>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CCEEFF" w:val="clear"/>
            <w:vAlign w:val="center"/>
          </w:tcPr>
          <w:p>
            <w:pPr>
              <w:pStyle w:val="TableContents"/>
              <w:spacing w:before="0" w:after="0"/>
              <w:jc w:val="right"/>
              <w:rPr>
                <w:rFonts w:ascii="inherit" w:hAnsi="inherit"/>
                <w:sz w:val="17"/>
              </w:rPr>
            </w:pPr>
            <w:r>
              <w:rPr>
                <w:rFonts w:ascii="inherit" w:hAnsi="inherit"/>
                <w:sz w:val="17"/>
              </w:rPr>
              <w:t>114,700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0" w:type="dxa"/>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CCEEFF" w:val="clear"/>
            <w:vAlign w:val="center"/>
          </w:tcPr>
          <w:p>
            <w:pPr>
              <w:pStyle w:val="TableContents"/>
              <w:spacing w:before="0" w:after="0"/>
              <w:jc w:val="right"/>
              <w:rPr>
                <w:rFonts w:ascii="inherit" w:hAnsi="inherit"/>
                <w:sz w:val="17"/>
              </w:rPr>
            </w:pPr>
            <w:r>
              <w:rPr>
                <w:rFonts w:ascii="inherit" w:hAnsi="inherit"/>
                <w:sz w:val="17"/>
              </w:rPr>
              <w:t>130,000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6" w:type="dxa"/>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1,054</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Non-recourse to EZCORP:</w:t>
            </w:r>
          </w:p>
        </w:tc>
        <w:tc>
          <w:tcPr>
            <w:tcW w:w="1136"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92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136"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953"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136"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001" w:type="dxa"/>
            <w:gridSpan w:val="3"/>
            <w:tcBorders/>
            <w:shd w:fill="CCEEFF" w:val="clear"/>
            <w:vAlign w:val="center"/>
          </w:tcPr>
          <w:p>
            <w:pPr>
              <w:pStyle w:val="TableContents"/>
              <w:spacing w:before="0" w:after="0"/>
              <w:ind w:left="0" w:right="0" w:firstLine="30"/>
              <w:rPr/>
            </w:pPr>
            <w:r>
              <w:rPr/>
              <w:t> </w:t>
            </w:r>
          </w:p>
        </w:tc>
      </w:tr>
      <w:tr>
        <w:trPr/>
        <w:tc>
          <w:tcPr>
            <w:tcW w:w="330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Secured foreign currency line of credit up to $3,840 due 2014</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1,562</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2,629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Secured foreign currency line of credit up to $19,200 due 2015</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8,929</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58,455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9,004</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16,073</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Secured foreign currency line of credit up to $23,035 due 2017</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23,035</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6,903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11,263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loans facility due 2017</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32,251</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32,679</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2013</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1,766</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15% unsecured notes due 2013</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13,272</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514</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14,262</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1,334</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16% unsecured notes due 2013</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5,013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5,248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20% unsecured notes due 2013</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11,725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1,511</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2014</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9,008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906</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11% unsecured notes due 2014</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8.5 % unsecured notes due 2015</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15,905</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2015</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421</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15% secured notes due 2015</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4,275</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436</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597</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18% secured notes due 2015</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4,273</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611</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2016</w:t>
            </w:r>
          </w:p>
        </w:tc>
        <w:tc>
          <w:tcPr>
            <w:tcW w:w="11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122</w:t>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123</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obligations</w:t>
            </w:r>
          </w:p>
        </w:tc>
        <w:tc>
          <w:tcPr>
            <w:tcW w:w="1136" w:type="dxa"/>
            <w:gridSpan w:val="3"/>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232,953</w:t>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1,074</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208,025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11,510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221,510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2,238</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current portion</w:t>
            </w:r>
          </w:p>
        </w:tc>
        <w:tc>
          <w:tcPr>
            <w:tcW w:w="11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34,058</w:t>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815</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31,521</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21,679</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1,497</w:t>
            </w:r>
          </w:p>
        </w:tc>
        <w:tc>
          <w:tcPr>
            <w:tcW w:w="11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Total long-term and capital lease obligations</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198,895</w:t>
            </w:r>
          </w:p>
        </w:tc>
        <w:tc>
          <w:tcPr>
            <w:tcW w:w="7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259</w:t>
            </w:r>
          </w:p>
        </w:tc>
        <w:tc>
          <w:tcPr>
            <w:tcW w:w="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176,504</w:t>
            </w:r>
          </w:p>
        </w:tc>
        <w:tc>
          <w:tcPr>
            <w:tcW w:w="7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11,510</w:t>
            </w:r>
          </w:p>
        </w:tc>
        <w:tc>
          <w:tcPr>
            <w:tcW w:w="7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199,831</w:t>
            </w:r>
          </w:p>
        </w:tc>
        <w:tc>
          <w:tcPr>
            <w:tcW w:w="7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741</w:t>
            </w:r>
          </w:p>
        </w:tc>
        <w:tc>
          <w:tcPr>
            <w:tcW w:w="11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May 10, 2011</w:t>
      </w:r>
      <w:r>
        <w:rPr>
          <w:rFonts w:ascii="inherit" w:hAnsi="inherit"/>
          <w:sz w:val="17"/>
        </w:rPr>
        <w:t xml:space="preserve">, we entered into a new senior secured credit agreement with a syndicate of </w:t>
      </w:r>
      <w:r>
        <w:rPr>
          <w:rFonts w:ascii="inherit" w:hAnsi="inherit"/>
          <w:strike w:val="false"/>
          <w:dstrike w:val="false"/>
          <w:color w:val="000000"/>
          <w:sz w:val="17"/>
          <w:u w:val="none"/>
          <w:effect w:val="none"/>
        </w:rPr>
        <w:t>five</w:t>
      </w:r>
      <w:r>
        <w:rPr>
          <w:sz w:val="17"/>
        </w:rPr>
        <w:t xml:space="preserve"> </w:t>
      </w:r>
      <w:r>
        <w:rPr>
          <w:rFonts w:ascii="inherit" w:hAnsi="inherit"/>
          <w:sz w:val="17"/>
        </w:rPr>
        <w:t xml:space="preserve">banks, replacing our previous credit agreement. Among other things, the new credit agreement provides for a </w:t>
      </w:r>
      <w:r>
        <w:rPr>
          <w:rFonts w:ascii="inherit" w:hAnsi="inherit"/>
          <w:strike w:val="false"/>
          <w:dstrike w:val="false"/>
          <w:color w:val="000000"/>
          <w:sz w:val="17"/>
          <w:u w:val="none"/>
          <w:effect w:val="none"/>
        </w:rPr>
        <w:t>four</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our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outstanding debt. On </w:t>
      </w:r>
      <w:r>
        <w:rPr>
          <w:rFonts w:ascii="inherit" w:hAnsi="inherit"/>
          <w:strike w:val="false"/>
          <w:dstrike w:val="false"/>
          <w:color w:val="000000"/>
          <w:sz w:val="17"/>
          <w:u w:val="none"/>
          <w:effect w:val="none"/>
        </w:rPr>
        <w:t>May 31, 2013</w:t>
      </w:r>
      <w:r>
        <w:rPr>
          <w:rFonts w:ascii="inherit" w:hAnsi="inherit"/>
          <w:sz w:val="17"/>
        </w:rPr>
        <w:t xml:space="preserve">, we amended the senior secured credit agreement to increase our revolving credit facility from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$200 million</w:t>
      </w:r>
      <w:r>
        <w:rPr>
          <w:rFonts w:ascii="inherit" w:hAnsi="inherit"/>
          <w:sz w:val="17"/>
        </w:rPr>
        <w:t xml:space="preserve">. The new credit facility increases our available credit and provides greater flexibility to make investments and acquisitions both domestically and internationally. No other terms of our senior secured credit agreement were modified. </w:t>
      </w:r>
    </w:p>
    <w:p>
      <w:pPr>
        <w:pStyle w:val="TextBody"/>
        <w:spacing w:lineRule="auto" w:line="288" w:before="0" w:after="0"/>
        <w:rPr>
          <w:sz w:val="17"/>
        </w:rPr>
      </w:pPr>
      <w:r>
        <w:rPr>
          <w:rFonts w:ascii="inherit" w:hAnsi="inherit"/>
          <w:sz w:val="17"/>
        </w:rPr>
        <w:t xml:space="preserve">Pursuant to the credit agreement, we may choose to pay interest to the lenders for outstanding borrowings at </w:t>
      </w:r>
      <w:r>
        <w:rPr>
          <w:rFonts w:ascii="inherit" w:hAnsi="inherit"/>
          <w:strike w:val="false"/>
          <w:dstrike w:val="false"/>
          <w:color w:val="000000"/>
          <w:sz w:val="17"/>
          <w:u w:val="none"/>
          <w:effect w:val="none"/>
        </w:rPr>
        <w:t>LIBOR plus 200 to 275 basis points or the banks' base rate plus 100 to 175 basis points</w:t>
      </w:r>
      <w:r>
        <w:rPr>
          <w:rFonts w:ascii="inherit" w:hAnsi="inherit"/>
          <w:sz w:val="17"/>
        </w:rPr>
        <w:t xml:space="preserve">, depending on our leverage ratio computed at the end of each calendar quarter. On the unused amount of the credit facility, we pay a </w:t>
      </w:r>
      <w:r>
        <w:rPr>
          <w:rFonts w:ascii="inherit" w:hAnsi="inherit"/>
          <w:strike w:val="false"/>
          <w:dstrike w:val="false"/>
          <w:color w:val="000000"/>
          <w:sz w:val="17"/>
          <w:u w:val="none"/>
          <w:effect w:val="none"/>
        </w:rPr>
        <w:t>commitment fee of 37.5 to 50 basis points depending on our leverage ratio calculated at the end of each quarter</w:t>
      </w:r>
      <w:r>
        <w:rPr>
          <w:rFonts w:ascii="inherit" w:hAnsi="inherit"/>
          <w:sz w:val="17"/>
        </w:rPr>
        <w:t xml:space="preserve">. Terms of the credit agreement require, among other things, that we meet certain financial covenants, restrict dividend payments and limit other and non-recourse debt. At </w:t>
      </w:r>
      <w:r>
        <w:rPr>
          <w:rFonts w:ascii="inherit" w:hAnsi="inherit"/>
          <w:strike w:val="false"/>
          <w:dstrike w:val="false"/>
          <w:color w:val="000000"/>
          <w:sz w:val="17"/>
          <w:u w:val="none"/>
          <w:effect w:val="none"/>
        </w:rPr>
        <w:t>June 30, 2013</w:t>
      </w:r>
      <w:r>
        <w:rPr>
          <w:rFonts w:ascii="inherit" w:hAnsi="inherit"/>
          <w:sz w:val="17"/>
        </w:rPr>
        <w:t>, we were in compliance with all covenants. We expect the recorded value of our debt to approximate its fair value, as it is all variable rate debt and carries no pre-payment penalty, and would be considered a Level 2 estimate within the fair value hierarchy.</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2013</w:t>
      </w:r>
      <w:r>
        <w:rPr>
          <w:rFonts w:ascii="inherit" w:hAnsi="inherit"/>
          <w:sz w:val="17"/>
        </w:rPr>
        <w:t xml:space="preserve">, </w:t>
      </w:r>
      <w:r>
        <w:rPr>
          <w:rFonts w:ascii="inherit" w:hAnsi="inherit"/>
          <w:strike w:val="false"/>
          <w:dstrike w:val="false"/>
          <w:color w:val="000000"/>
          <w:sz w:val="17"/>
          <w:u w:val="none"/>
          <w:effect w:val="none"/>
        </w:rPr>
        <w:t>$122.5 million</w:t>
      </w:r>
      <w:r>
        <w:rPr>
          <w:sz w:val="17"/>
        </w:rPr>
        <w:t xml:space="preserve"> </w:t>
      </w:r>
      <w:r>
        <w:rPr>
          <w:rFonts w:ascii="inherit" w:hAnsi="inherit"/>
          <w:sz w:val="17"/>
        </w:rPr>
        <w:t xml:space="preserve">was outstanding under our revolving credit agreement. We also issued a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letter of credit, leaving </w:t>
      </w:r>
      <w:r>
        <w:rPr>
          <w:rFonts w:ascii="inherit" w:hAnsi="inherit"/>
          <w:strike w:val="false"/>
          <w:dstrike w:val="false"/>
          <w:color w:val="000000"/>
          <w:sz w:val="17"/>
          <w:u w:val="none"/>
          <w:effect w:val="none"/>
        </w:rPr>
        <w:t>$75.7 million</w:t>
      </w:r>
      <w:r>
        <w:rPr>
          <w:sz w:val="17"/>
        </w:rPr>
        <w:t xml:space="preserve"> </w:t>
      </w:r>
      <w:r>
        <w:rPr>
          <w:rFonts w:ascii="inherit" w:hAnsi="inherit"/>
          <w:sz w:val="17"/>
        </w:rPr>
        <w:t xml:space="preserve">available on our revolving credit facility. The outstanding bank letters of credit were required under our workers' compensation insurance program and for our international office in Miami, Florida. </w:t>
      </w:r>
    </w:p>
    <w:p>
      <w:pPr>
        <w:pStyle w:val="TextBody"/>
        <w:spacing w:lineRule="auto" w:line="288" w:before="0" w:after="0"/>
        <w:rPr>
          <w:rFonts w:ascii="inherit" w:hAnsi="inherit"/>
          <w:sz w:val="17"/>
        </w:rPr>
      </w:pPr>
      <w:r>
        <w:rPr>
          <w:rFonts w:ascii="inherit" w:hAnsi="inherit"/>
          <w:sz w:val="17"/>
        </w:rPr>
        <w:t>Deferred financing costs related to our credit agreement are included in intangible assets, net on the balance sheet and are being amortized to interest expense over the term of the agreement.</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January 30, 2012</w:t>
      </w:r>
      <w:r>
        <w:rPr>
          <w:rFonts w:ascii="inherit" w:hAnsi="inherit"/>
          <w:sz w:val="17"/>
        </w:rPr>
        <w:t xml:space="preserve">, we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ownership interest in Grupo Finmart. Non-recourse debt amounts in the table above represent Grupo Finmart’s third party debt. All lines of credit are guaranteed by Grupo Finmart's loan portfolio. Interest on lines of credit due 2014 and 2015 is charged at the Mexican Interbank Equilibrium ("TIIE") plus a margin varying from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w:t>
      </w:r>
      <w:r>
        <w:rPr>
          <w:rFonts w:ascii="inherit" w:hAnsi="inherit"/>
          <w:sz w:val="17"/>
        </w:rPr>
        <w:t xml:space="preserve">. The line of credit due 2014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with remaining principal due at maturity. The line of credit due 2015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 xml:space="preserve">with the remaining principal due at maturity. The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secured notes require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with remaining principal due at maturity. </w:t>
      </w:r>
    </w:p>
    <w:p>
      <w:pPr>
        <w:pStyle w:val="TextBody"/>
        <w:spacing w:lineRule="auto" w:line="288" w:before="0" w:after="0"/>
        <w:rPr>
          <w:sz w:val="17"/>
        </w:rPr>
      </w:pPr>
      <w:r>
        <w:rPr>
          <w:rFonts w:ascii="inherit" w:hAnsi="inherit"/>
          <w:sz w:val="17"/>
        </w:rPr>
        <w:t xml:space="preserve">At acquisition, we performed a valuation to determine the fair value of Grupo Finmart's debt. As a result, we recorded a debt premium on Grupo Finmart’s debt. This debt premium is being amortized as a reduction of interest expense over the life of the debt. The fair value was determined by using an income approach, specifically the discounted cash flows method based on the contractual terms of the debt and risk adjusted discount rates. The significant inputs used for the valuation are not observable in the market and thus this fair value measurement represents a Level 3 measurement within the fair value hierarchy. We expect the recorded value of our debt 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to approximate its fair value and to be considered a Level 3 estimate within the fair value hierarchy.</w:t>
      </w:r>
    </w:p>
    <w:p>
      <w:pPr>
        <w:pStyle w:val="TextBody"/>
        <w:spacing w:lineRule="auto" w:line="288" w:before="0" w:after="0"/>
        <w:jc w:val="left"/>
        <w:rPr>
          <w:sz w:val="17"/>
        </w:rPr>
      </w:pPr>
      <w:r>
        <w:rPr>
          <w:rFonts w:ascii="inherit" w:hAnsi="inherit"/>
          <w:sz w:val="17"/>
        </w:rPr>
        <w:t xml:space="preserve">On July 10, 2012, Grupo Finmart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Grupo Finmart. The securitization agreement calls for a </w:t>
      </w:r>
      <w:r>
        <w:rPr>
          <w:rFonts w:ascii="inherit" w:hAnsi="inherit"/>
          <w:strike w:val="false"/>
          <w:dstrike w:val="false"/>
          <w:color w:val="000000"/>
          <w:sz w:val="17"/>
          <w:u w:val="none"/>
          <w:effect w:val="none"/>
        </w:rPr>
        <w:t>two</w:t>
      </w:r>
      <w:r>
        <w:rPr>
          <w:rFonts w:ascii="inherit" w:hAnsi="inherit"/>
          <w:sz w:val="17"/>
        </w:rPr>
        <w:t xml:space="preserve">-year revolving period in which the trust will use principal collections of the consumer loan portfolio to acquire additional collection rights up to </w:t>
      </w:r>
      <w:r>
        <w:rPr>
          <w:rFonts w:ascii="inherit" w:hAnsi="inherit"/>
          <w:strike w:val="false"/>
          <w:dstrike w:val="false"/>
          <w:color w:val="000000"/>
          <w:sz w:val="17"/>
          <w:u w:val="none"/>
          <w:effect w:val="none"/>
        </w:rPr>
        <w:t>$115.2 million</w:t>
      </w:r>
      <w:r>
        <w:rPr>
          <w:sz w:val="17"/>
        </w:rPr>
        <w:t xml:space="preserve"> </w:t>
      </w:r>
      <w:r>
        <w:rPr>
          <w:rFonts w:ascii="inherit" w:hAnsi="inherit"/>
          <w:sz w:val="17"/>
        </w:rPr>
        <w:t>in eligible loans from Grupo Finmart. Upon the termination of the revolving period, the collection received by the trust will be used to repay the debt. Grupo Finmart will continue to service the underlying loans in the trust.</w:t>
      </w:r>
    </w:p>
    <w:p>
      <w:pPr>
        <w:pStyle w:val="TextBody"/>
        <w:spacing w:lineRule="auto" w:line="288" w:before="0" w:after="0"/>
        <w:jc w:val="left"/>
        <w:rPr>
          <w:rFonts w:ascii="inherit" w:hAnsi="inherit"/>
          <w:sz w:val="17"/>
        </w:rPr>
      </w:pPr>
      <w:r>
        <w:rPr>
          <w:rFonts w:ascii="inherit" w:hAnsi="inherit"/>
          <w:sz w:val="17"/>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pStyle w:val="TextBody"/>
        <w:spacing w:lineRule="auto" w:line="288" w:before="0" w:after="0"/>
        <w:jc w:val="left"/>
        <w:rPr>
          <w:sz w:val="17"/>
        </w:rPr>
      </w:pPr>
      <w:r>
        <w:rPr>
          <w:rFonts w:ascii="inherit" w:hAnsi="inherit"/>
          <w:sz w:val="17"/>
        </w:rPr>
        <w:t xml:space="preserve">As of </w:t>
      </w:r>
      <w:r>
        <w:rPr>
          <w:rFonts w:ascii="inherit" w:hAnsi="inherit"/>
          <w:strike w:val="false"/>
          <w:dstrike w:val="false"/>
          <w:color w:val="000000"/>
          <w:sz w:val="17"/>
          <w:u w:val="none"/>
          <w:effect w:val="none"/>
        </w:rPr>
        <w:t>June 30, 2013</w:t>
      </w:r>
      <w:r>
        <w:rPr>
          <w:rFonts w:ascii="inherit" w:hAnsi="inherit"/>
          <w:sz w:val="17"/>
        </w:rPr>
        <w:t xml:space="preserve">, borrowings under the securitization borrowing facility amounted to </w:t>
      </w:r>
      <w:r>
        <w:rPr>
          <w:rFonts w:ascii="inherit" w:hAnsi="inherit"/>
          <w:strike w:val="false"/>
          <w:dstrike w:val="false"/>
          <w:color w:val="000000"/>
          <w:sz w:val="17"/>
          <w:u w:val="none"/>
          <w:effect w:val="none"/>
        </w:rPr>
        <w:t>$32.3 million</w:t>
      </w:r>
      <w:r>
        <w:rPr>
          <w:rFonts w:ascii="inherit" w:hAnsi="inherit"/>
          <w:sz w:val="17"/>
        </w:rPr>
        <w:t xml:space="preserve">. Interest is charged at TIIE plus a </w:t>
      </w:r>
      <w:r>
        <w:rPr>
          <w:rFonts w:ascii="inherit" w:hAnsi="inherit"/>
          <w:strike w:val="false"/>
          <w:dstrike w:val="false"/>
          <w:color w:val="000000"/>
          <w:sz w:val="17"/>
          <w:u w:val="none"/>
          <w:effect w:val="none"/>
        </w:rPr>
        <w:t>2.5%</w:t>
      </w:r>
      <w:r>
        <w:rPr>
          <w:sz w:val="17"/>
        </w:rPr>
        <w:t xml:space="preserve"> </w:t>
      </w:r>
      <w:r>
        <w:rPr>
          <w:rFonts w:ascii="inherit" w:hAnsi="inherit"/>
          <w:sz w:val="17"/>
        </w:rPr>
        <w:t xml:space="preserve">margin, or a total of </w:t>
      </w:r>
      <w:r>
        <w:rPr>
          <w:rFonts w:ascii="inherit" w:hAnsi="inherit"/>
          <w:strike w:val="false"/>
          <w:dstrike w:val="false"/>
          <w:color w:val="000000"/>
          <w:sz w:val="17"/>
          <w:u w:val="none"/>
          <w:effect w:val="none"/>
        </w:rPr>
        <w:t>6.8%</w:t>
      </w:r>
      <w:r>
        <w:rPr>
          <w:sz w:val="17"/>
        </w:rPr>
        <w:t xml:space="preserve"> </w:t>
      </w:r>
      <w:r>
        <w:rPr>
          <w:rFonts w:ascii="inherit" w:hAnsi="inherit"/>
          <w:sz w:val="17"/>
        </w:rPr>
        <w:t xml:space="preserve">as of </w:t>
      </w:r>
      <w:r>
        <w:rPr>
          <w:rFonts w:ascii="inherit" w:hAnsi="inherit"/>
          <w:strike w:val="false"/>
          <w:dstrike w:val="false"/>
          <w:color w:val="000000"/>
          <w:sz w:val="17"/>
          <w:u w:val="none"/>
          <w:effect w:val="none"/>
        </w:rPr>
        <w:t>June 30, 2013</w:t>
      </w:r>
      <w:r>
        <w:rPr>
          <w:rFonts w:ascii="inherit" w:hAnsi="inherit"/>
          <w:sz w:val="17"/>
        </w:rPr>
        <w:t>. The debt issued by the trust will be paid solely from the collections of the consumer loans transferred to the trust, and therefore there is no recourse to Grupo Finmart or EZCORP.</w:t>
      </w:r>
    </w:p>
    <w:p>
      <w:pPr>
        <w:pStyle w:val="TextBody"/>
        <w:spacing w:lineRule="auto" w:line="288" w:before="0" w:after="0"/>
        <w:rPr>
          <w:sz w:val="17"/>
        </w:rPr>
      </w:pPr>
      <w:r>
        <w:rPr>
          <w:rFonts w:ascii="inherit" w:hAnsi="inherit"/>
          <w:sz w:val="17"/>
        </w:rPr>
        <w:t xml:space="preserve">On May 15, 2013, Grupo Finmart issued and sold </w:t>
      </w:r>
      <w:r>
        <w:rPr>
          <w:rFonts w:ascii="inherit" w:hAnsi="inherit"/>
          <w:strike w:val="false"/>
          <w:dstrike w:val="false"/>
          <w:color w:val="000000"/>
          <w:sz w:val="17"/>
          <w:u w:val="none"/>
          <w:effect w:val="none"/>
        </w:rPr>
        <w:t>$30.0 million</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8.5%</w:t>
      </w:r>
      <w:r>
        <w:rPr>
          <w:sz w:val="17"/>
        </w:rPr>
        <w:t xml:space="preserve"> </w:t>
      </w:r>
      <w:r>
        <w:rPr>
          <w:rFonts w:ascii="inherit" w:hAnsi="inherit"/>
          <w:sz w:val="17"/>
        </w:rPr>
        <w:t xml:space="preserve">Global Registered Notes due November 16, 2015. Notes with an aggregate principal amount of </w:t>
      </w:r>
      <w:r>
        <w:rPr>
          <w:rFonts w:ascii="inherit" w:hAnsi="inherit"/>
          <w:strike w:val="false"/>
          <w:dstrike w:val="false"/>
          <w:color w:val="000000"/>
          <w:sz w:val="17"/>
          <w:u w:val="none"/>
          <w:effect w:val="none"/>
        </w:rPr>
        <w:t>$14.0 million</w:t>
      </w:r>
      <w:r>
        <w:rPr>
          <w:sz w:val="17"/>
        </w:rPr>
        <w:t xml:space="preserve"> </w:t>
      </w:r>
      <w:r>
        <w:rPr>
          <w:rFonts w:ascii="inherit" w:hAnsi="inherit"/>
          <w:sz w:val="17"/>
        </w:rPr>
        <w:t xml:space="preserve">were purchased by EZCORP and therefore eliminated in consolidation. Grupo Finmart used a portion of the net proceeds of the offering to repay existing indebtedness, and used the remaining portion for general operating purposes. </w:t>
      </w:r>
    </w:p>
    <w:p>
      <w:pPr>
        <w:pStyle w:val="TextBody"/>
        <w:spacing w:lineRule="auto" w:line="288" w:before="0" w:after="0"/>
        <w:rPr>
          <w:sz w:val="17"/>
        </w:rPr>
      </w:pPr>
      <w:bookmarkStart w:id="20" w:name="s2699F58B538F83943322CD28F9F81B39"/>
      <w:bookmarkEnd w:id="20"/>
      <w:r>
        <w:rPr>
          <w:rFonts w:ascii="inherit" w:hAnsi="inherit"/>
          <w:b/>
          <w:strike w:val="false"/>
          <w:dstrike w:val="false"/>
          <w:color w:val="000000"/>
          <w:sz w:val="17"/>
          <w:u w:val="none"/>
          <w:effect w:val="none"/>
        </w:rPr>
        <w:t>NOTE 8: COMMON STOCK, OPTIONS AND STOCK COMPENSATION</w:t>
      </w:r>
      <w:r>
        <w:rPr>
          <w:sz w:val="17"/>
        </w:rPr>
        <w:t xml:space="preserve"> </w:t>
      </w:r>
    </w:p>
    <w:p>
      <w:pPr>
        <w:pStyle w:val="TextBody"/>
        <w:spacing w:lineRule="auto" w:line="288" w:before="0" w:after="0"/>
        <w:rPr>
          <w:rFonts w:ascii="inherit" w:hAnsi="inherit"/>
          <w:sz w:val="17"/>
        </w:rPr>
      </w:pPr>
      <w:r>
        <w:rPr>
          <w:rFonts w:ascii="inherit" w:hAnsi="inherit"/>
          <w:sz w:val="17"/>
        </w:rPr>
        <w:t>Our net income includes the following compensation costs related to our stock compensation arrangements: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314"/>
        <w:gridCol w:w="148"/>
        <w:gridCol w:w="816"/>
        <w:gridCol w:w="139"/>
        <w:gridCol w:w="128"/>
        <w:gridCol w:w="148"/>
        <w:gridCol w:w="816"/>
        <w:gridCol w:w="139"/>
        <w:gridCol w:w="204"/>
        <w:gridCol w:w="148"/>
        <w:gridCol w:w="816"/>
        <w:gridCol w:w="139"/>
        <w:gridCol w:w="128"/>
        <w:gridCol w:w="148"/>
        <w:gridCol w:w="816"/>
        <w:gridCol w:w="158"/>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531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14" w:type="dxa"/>
            <w:tcBorders/>
            <w:shd w:fill="auto" w:val="clear"/>
            <w:vAlign w:val="center"/>
          </w:tcPr>
          <w:p>
            <w:pPr>
              <w:pStyle w:val="TableContents"/>
              <w:spacing w:before="0" w:after="0"/>
              <w:ind w:left="0" w:right="0" w:firstLine="30"/>
              <w:rPr/>
            </w:pPr>
            <w:r>
              <w:rPr/>
              <w:t> </w:t>
            </w:r>
          </w:p>
        </w:tc>
        <w:tc>
          <w:tcPr>
            <w:tcW w:w="233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204" w:type="dxa"/>
            <w:tcBorders/>
            <w:shd w:fill="auto" w:val="clear"/>
            <w:vAlign w:val="center"/>
          </w:tcPr>
          <w:p>
            <w:pPr>
              <w:pStyle w:val="TableContents"/>
              <w:spacing w:before="0" w:after="0"/>
              <w:ind w:left="0" w:right="0" w:firstLine="30"/>
              <w:rPr/>
            </w:pPr>
            <w:r>
              <w:rPr/>
              <w:t> </w:t>
            </w:r>
          </w:p>
        </w:tc>
        <w:tc>
          <w:tcPr>
            <w:tcW w:w="235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5314" w:type="dxa"/>
            <w:tcBorders/>
            <w:shd w:fill="auto" w:val="clear"/>
            <w:vAlign w:val="center"/>
          </w:tcPr>
          <w:p>
            <w:pPr>
              <w:pStyle w:val="TableContents"/>
              <w:spacing w:before="0" w:after="0"/>
              <w:ind w:left="0" w:right="0" w:firstLine="30"/>
              <w:jc w:val="left"/>
              <w:rPr/>
            </w:pPr>
            <w:r>
              <w:rPr/>
              <w:t> </w:t>
            </w:r>
          </w:p>
        </w:tc>
        <w:tc>
          <w:tcPr>
            <w:tcW w:w="11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8" w:type="dxa"/>
            <w:tcBorders/>
            <w:shd w:fill="auto" w:val="clear"/>
            <w:vAlign w:val="center"/>
          </w:tcPr>
          <w:p>
            <w:pPr>
              <w:pStyle w:val="TableContents"/>
              <w:spacing w:before="0" w:after="0"/>
              <w:ind w:left="0" w:right="0" w:firstLine="30"/>
              <w:rPr/>
            </w:pPr>
            <w:r>
              <w:rPr/>
              <w:t> </w:t>
            </w:r>
          </w:p>
        </w:tc>
        <w:tc>
          <w:tcPr>
            <w:tcW w:w="11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204" w:type="dxa"/>
            <w:tcBorders/>
            <w:shd w:fill="auto" w:val="clear"/>
            <w:vAlign w:val="center"/>
          </w:tcPr>
          <w:p>
            <w:pPr>
              <w:pStyle w:val="TableContents"/>
              <w:spacing w:before="0" w:after="0"/>
              <w:ind w:left="0" w:right="0" w:firstLine="30"/>
              <w:rPr/>
            </w:pPr>
            <w:r>
              <w:rPr/>
              <w:t> </w:t>
            </w:r>
          </w:p>
        </w:tc>
        <w:tc>
          <w:tcPr>
            <w:tcW w:w="11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314" w:type="dxa"/>
            <w:tcBorders/>
            <w:shd w:fill="auto" w:val="clear"/>
            <w:vAlign w:val="center"/>
          </w:tcPr>
          <w:p>
            <w:pPr>
              <w:pStyle w:val="TableContents"/>
              <w:spacing w:before="0" w:after="0"/>
              <w:ind w:left="0" w:right="0" w:firstLine="30"/>
              <w:jc w:val="left"/>
              <w:rPr/>
            </w:pPr>
            <w:r>
              <w:rPr/>
              <w:t> </w:t>
            </w:r>
          </w:p>
        </w:tc>
        <w:tc>
          <w:tcPr>
            <w:tcW w:w="489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compensation costs</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shd w:fill="CCEEFF" w:val="clear"/>
            <w:vAlign w:val="center"/>
          </w:tcPr>
          <w:p>
            <w:pPr>
              <w:pStyle w:val="TableContents"/>
              <w:spacing w:before="0" w:after="0"/>
              <w:jc w:val="right"/>
              <w:rPr>
                <w:rFonts w:ascii="inherit" w:hAnsi="inherit"/>
                <w:sz w:val="17"/>
              </w:rPr>
            </w:pPr>
            <w:r>
              <w:rPr>
                <w:rFonts w:ascii="inherit" w:hAnsi="inherit"/>
                <w:sz w:val="17"/>
              </w:rPr>
              <w:t>2,148</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shd w:fill="CCEEFF" w:val="clear"/>
            <w:vAlign w:val="center"/>
          </w:tcPr>
          <w:p>
            <w:pPr>
              <w:pStyle w:val="TableContents"/>
              <w:spacing w:before="0" w:after="0"/>
              <w:jc w:val="right"/>
              <w:rPr>
                <w:rFonts w:ascii="inherit" w:hAnsi="inherit"/>
                <w:sz w:val="17"/>
              </w:rPr>
            </w:pPr>
            <w:r>
              <w:rPr>
                <w:rFonts w:ascii="inherit" w:hAnsi="inherit"/>
                <w:sz w:val="17"/>
              </w:rPr>
              <w:t>1,953</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4"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shd w:fill="CCEEFF" w:val="clear"/>
            <w:vAlign w:val="center"/>
          </w:tcPr>
          <w:p>
            <w:pPr>
              <w:pStyle w:val="TableContents"/>
              <w:spacing w:before="0" w:after="0"/>
              <w:jc w:val="right"/>
              <w:rPr>
                <w:rFonts w:ascii="inherit" w:hAnsi="inherit"/>
                <w:sz w:val="17"/>
              </w:rPr>
            </w:pPr>
            <w:r>
              <w:rPr>
                <w:rFonts w:ascii="inherit" w:hAnsi="inherit"/>
                <w:sz w:val="17"/>
              </w:rPr>
              <w:t>5,202</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shd w:fill="CCEEFF" w:val="clear"/>
            <w:vAlign w:val="center"/>
          </w:tcPr>
          <w:p>
            <w:pPr>
              <w:pStyle w:val="TableContents"/>
              <w:spacing w:before="0" w:after="0"/>
              <w:jc w:val="right"/>
              <w:rPr>
                <w:rFonts w:ascii="inherit" w:hAnsi="inherit"/>
                <w:sz w:val="17"/>
              </w:rPr>
            </w:pPr>
            <w:r>
              <w:rPr>
                <w:rFonts w:ascii="inherit" w:hAnsi="inherit"/>
                <w:sz w:val="17"/>
              </w:rPr>
              <w:t>5,191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benefits</w:t>
            </w:r>
          </w:p>
        </w:tc>
        <w:tc>
          <w:tcPr>
            <w:tcW w:w="9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(727</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shd w:fill="auto" w:val="clear"/>
            <w:vAlign w:val="center"/>
          </w:tcPr>
          <w:p>
            <w:pPr>
              <w:pStyle w:val="TableContents"/>
              <w:spacing w:before="0" w:after="0"/>
              <w:ind w:left="0" w:right="0" w:firstLine="30"/>
              <w:rPr/>
            </w:pPr>
            <w:r>
              <w:rPr/>
              <w:t> </w:t>
            </w:r>
          </w:p>
        </w:tc>
        <w:tc>
          <w:tcPr>
            <w:tcW w:w="9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(650</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4" w:type="dxa"/>
            <w:tcBorders/>
            <w:shd w:fill="auto" w:val="clear"/>
            <w:vAlign w:val="center"/>
          </w:tcPr>
          <w:p>
            <w:pPr>
              <w:pStyle w:val="TableContents"/>
              <w:spacing w:before="0" w:after="0"/>
              <w:ind w:left="0" w:right="0" w:firstLine="30"/>
              <w:rPr/>
            </w:pPr>
            <w:r>
              <w:rPr/>
              <w:t> </w:t>
            </w:r>
          </w:p>
        </w:tc>
        <w:tc>
          <w:tcPr>
            <w:tcW w:w="9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(1,746</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(1,666</w:t>
            </w:r>
          </w:p>
        </w:tc>
        <w:tc>
          <w:tcPr>
            <w:tcW w:w="15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compensation expense</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1,421</w:t>
            </w:r>
          </w:p>
        </w:tc>
        <w:tc>
          <w:tcPr>
            <w:tcW w:w="13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1,303</w:t>
            </w:r>
          </w:p>
        </w:tc>
        <w:tc>
          <w:tcPr>
            <w:tcW w:w="13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4" w:type="dxa"/>
            <w:tcBorders/>
            <w:shd w:fill="CCEEFF" w:val="clear"/>
            <w:vAlign w:val="center"/>
          </w:tcPr>
          <w:p>
            <w:pPr>
              <w:pStyle w:val="TableContents"/>
              <w:spacing w:before="0" w:after="0"/>
              <w:ind w:left="0" w:right="0" w:firstLine="30"/>
              <w:rPr/>
            </w:pPr>
            <w:r>
              <w:rPr/>
              <w:t> </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3,456</w:t>
            </w:r>
          </w:p>
        </w:tc>
        <w:tc>
          <w:tcPr>
            <w:tcW w:w="13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bottom w:val="double" w:sz="6" w:space="0" w:color="000000"/>
            </w:tcBorders>
            <w:shd w:fill="CCEEFF" w:val="clear"/>
            <w:tcMar>
              <w:bottom w:w="30" w:type="dxa"/>
            </w:tcMar>
            <w:vAlign w:val="center"/>
          </w:tcPr>
          <w:p>
            <w:pPr>
              <w:pStyle w:val="TableContents"/>
              <w:spacing w:before="0" w:after="0"/>
              <w:ind w:left="0" w:right="0" w:firstLine="30"/>
              <w:rPr/>
            </w:pPr>
            <w:r>
              <w:rPr/>
              <w:t> </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3,525</w:t>
            </w:r>
          </w:p>
        </w:tc>
        <w:tc>
          <w:tcPr>
            <w:tcW w:w="158"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In the current three-month period ended </w:t>
      </w:r>
      <w:r>
        <w:rPr>
          <w:rFonts w:ascii="inherit" w:hAnsi="inherit"/>
          <w:strike w:val="false"/>
          <w:dstrike w:val="false"/>
          <w:color w:val="000000"/>
          <w:sz w:val="17"/>
          <w:u w:val="none"/>
          <w:effect w:val="none"/>
        </w:rPr>
        <w:t>June 30, 2013</w:t>
      </w:r>
      <w:r>
        <w:rPr>
          <w:rFonts w:ascii="inherit" w:hAnsi="inherit"/>
          <w:sz w:val="17"/>
        </w:rPr>
        <w:t xml:space="preserve">, stock option exercises resulted in the issuance of </w:t>
      </w:r>
      <w:r>
        <w:rPr>
          <w:rFonts w:ascii="inherit" w:hAnsi="inherit"/>
          <w:strike w:val="false"/>
          <w:dstrike w:val="false"/>
          <w:color w:val="000000"/>
          <w:sz w:val="17"/>
          <w:u w:val="none"/>
          <w:effect w:val="none"/>
        </w:rPr>
        <w:t>15,000</w:t>
      </w:r>
      <w:r>
        <w:rPr>
          <w:sz w:val="17"/>
        </w:rPr>
        <w:t xml:space="preserve"> </w:t>
      </w:r>
      <w:r>
        <w:rPr>
          <w:rFonts w:ascii="inherit" w:hAnsi="inherit"/>
          <w:sz w:val="17"/>
        </w:rPr>
        <w:t xml:space="preserve">shares for nominal proceeds. In the current nine-month period ended </w:t>
      </w:r>
      <w:r>
        <w:rPr>
          <w:rFonts w:ascii="inherit" w:hAnsi="inherit"/>
          <w:strike w:val="false"/>
          <w:dstrike w:val="false"/>
          <w:color w:val="000000"/>
          <w:sz w:val="17"/>
          <w:u w:val="none"/>
          <w:effect w:val="none"/>
        </w:rPr>
        <w:t>June 30, 2013</w:t>
      </w:r>
      <w:r>
        <w:rPr>
          <w:rFonts w:ascii="inherit" w:hAnsi="inherit"/>
          <w:sz w:val="17"/>
        </w:rPr>
        <w:t xml:space="preserve">, stock option exercises resulted in the issuance of </w:t>
      </w:r>
      <w:r>
        <w:rPr>
          <w:rFonts w:ascii="inherit" w:hAnsi="inherit"/>
          <w:strike w:val="false"/>
          <w:dstrike w:val="false"/>
          <w:color w:val="000000"/>
          <w:sz w:val="17"/>
          <w:u w:val="none"/>
          <w:effect w:val="none"/>
        </w:rPr>
        <w:t>18,000</w:t>
      </w:r>
      <w:r>
        <w:rPr>
          <w:sz w:val="17"/>
        </w:rPr>
        <w:t xml:space="preserve"> </w:t>
      </w:r>
      <w:r>
        <w:rPr>
          <w:rFonts w:ascii="inherit" w:hAnsi="inherit"/>
          <w:sz w:val="17"/>
        </w:rPr>
        <w:t xml:space="preserve">shares for nominal proceeds. In the prior year three-month period ended </w:t>
      </w:r>
      <w:r>
        <w:rPr>
          <w:rFonts w:ascii="inherit" w:hAnsi="inherit"/>
          <w:strike w:val="false"/>
          <w:dstrike w:val="false"/>
          <w:color w:val="000000"/>
          <w:sz w:val="17"/>
          <w:u w:val="none"/>
          <w:effect w:val="none"/>
        </w:rPr>
        <w:t>June 30, 2012</w:t>
      </w:r>
      <w:r>
        <w:rPr>
          <w:rFonts w:ascii="inherit" w:hAnsi="inherit"/>
          <w:sz w:val="17"/>
        </w:rPr>
        <w:t xml:space="preserve">, stock option exercises resulted in the issuance of </w:t>
      </w:r>
      <w:r>
        <w:rPr>
          <w:rFonts w:ascii="inherit" w:hAnsi="inherit"/>
          <w:strike w:val="false"/>
          <w:dstrike w:val="false"/>
          <w:color w:val="000000"/>
          <w:sz w:val="17"/>
          <w:u w:val="none"/>
          <w:effect w:val="none"/>
        </w:rPr>
        <w:t>5,400</w:t>
      </w:r>
      <w:r>
        <w:rPr>
          <w:sz w:val="17"/>
        </w:rPr>
        <w:t xml:space="preserve"> </w:t>
      </w:r>
      <w:r>
        <w:rPr>
          <w:rFonts w:ascii="inherit" w:hAnsi="inherit"/>
          <w:sz w:val="17"/>
        </w:rPr>
        <w:t xml:space="preserve">shares for nominal proceeds. In the prior year nine-month period ended </w:t>
      </w:r>
      <w:r>
        <w:rPr>
          <w:rFonts w:ascii="inherit" w:hAnsi="inherit"/>
          <w:strike w:val="false"/>
          <w:dstrike w:val="false"/>
          <w:color w:val="000000"/>
          <w:sz w:val="17"/>
          <w:u w:val="none"/>
          <w:effect w:val="none"/>
        </w:rPr>
        <w:t>June 30, 2012</w:t>
      </w:r>
      <w:r>
        <w:rPr>
          <w:rFonts w:ascii="inherit" w:hAnsi="inherit"/>
          <w:sz w:val="17"/>
        </w:rPr>
        <w:t xml:space="preserve">, stock option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exercises resulted in the issuance of </w:t>
      </w:r>
      <w:r>
        <w:rPr>
          <w:rFonts w:ascii="inherit" w:hAnsi="inherit"/>
          <w:strike w:val="false"/>
          <w:dstrike w:val="false"/>
          <w:color w:val="000000"/>
          <w:sz w:val="17"/>
          <w:u w:val="none"/>
          <w:effect w:val="none"/>
        </w:rPr>
        <w:t>201,298</w:t>
      </w:r>
      <w:r>
        <w:rPr>
          <w:sz w:val="17"/>
        </w:rPr>
        <w:t xml:space="preserve"> </w:t>
      </w:r>
      <w:r>
        <w:rPr>
          <w:rFonts w:ascii="inherit" w:hAnsi="inherit"/>
          <w:sz w:val="17"/>
        </w:rPr>
        <w:t xml:space="preserve">shares for total proceeds of </w:t>
      </w:r>
      <w:r>
        <w:rPr>
          <w:rFonts w:ascii="inherit" w:hAnsi="inherit"/>
          <w:strike w:val="false"/>
          <w:dstrike w:val="false"/>
          <w:color w:val="000000"/>
          <w:sz w:val="17"/>
          <w:u w:val="none"/>
          <w:effect w:val="none"/>
        </w:rPr>
        <w:t>$0.6 million</w:t>
      </w:r>
      <w:r>
        <w:rPr>
          <w:rFonts w:ascii="inherit" w:hAnsi="inherit"/>
          <w:sz w:val="17"/>
        </w:rPr>
        <w:t xml:space="preserve">. All options and restricted stock are related to our Class A Non-voting Common Stock. </w:t>
      </w:r>
    </w:p>
    <w:p>
      <w:pPr>
        <w:pStyle w:val="TextBody"/>
        <w:spacing w:lineRule="auto" w:line="288" w:before="0" w:after="0"/>
        <w:rPr>
          <w:sz w:val="17"/>
        </w:rPr>
      </w:pPr>
      <w:bookmarkStart w:id="21" w:name="s1B3A08CAAB0D12CB898CCD28FB860065"/>
      <w:bookmarkEnd w:id="21"/>
      <w:r>
        <w:rPr>
          <w:rFonts w:ascii="inherit" w:hAnsi="inherit"/>
          <w:b/>
          <w:strike w:val="false"/>
          <w:dstrike w:val="false"/>
          <w:color w:val="000000"/>
          <w:sz w:val="17"/>
          <w:u w:val="none"/>
          <w:effect w:val="none"/>
        </w:rPr>
        <w:t>NOTE 9: REDEEMABLE NONCONTROLLING INTEREST</w:t>
      </w:r>
      <w:r>
        <w:rPr>
          <w:sz w:val="17"/>
        </w:rPr>
        <w:t xml:space="preserve"> </w:t>
      </w:r>
    </w:p>
    <w:p>
      <w:pPr>
        <w:pStyle w:val="TextBody"/>
        <w:spacing w:lineRule="auto" w:line="288" w:before="0" w:after="0"/>
        <w:jc w:val="left"/>
        <w:rPr>
          <w:sz w:val="17"/>
        </w:rPr>
      </w:pPr>
      <w:r>
        <w:rPr>
          <w:rFonts w:ascii="inherit" w:hAnsi="inherit"/>
          <w:sz w:val="17"/>
        </w:rPr>
        <w:t xml:space="preserve">The following table provides a summary of the activities in our redeemable noncontrolling interests as of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rFonts w:ascii="inherit" w:hAnsi="inherit"/>
          <w:sz w:val="17"/>
        </w:rPr>
        <w:t xml:space="preserve">: </w:t>
      </w:r>
    </w:p>
    <w:tbl>
      <w:tblPr>
        <w:tblW w:w="10205" w:type="dxa"/>
        <w:jc w:val="left"/>
        <w:tblInd w:w="0" w:type="dxa"/>
        <w:tblCellMar>
          <w:top w:w="0" w:type="dxa"/>
          <w:left w:w="0" w:type="dxa"/>
          <w:bottom w:w="0" w:type="dxa"/>
          <w:right w:w="0" w:type="dxa"/>
        </w:tblCellMar>
      </w:tblPr>
      <w:tblGrid>
        <w:gridCol w:w="7710"/>
        <w:gridCol w:w="198"/>
        <w:gridCol w:w="1838"/>
        <w:gridCol w:w="45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771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710" w:type="dxa"/>
            <w:tcBorders/>
            <w:shd w:fill="auto" w:val="clear"/>
            <w:vAlign w:val="center"/>
          </w:tcPr>
          <w:p>
            <w:pPr>
              <w:pStyle w:val="TableContents"/>
              <w:spacing w:before="0" w:after="0"/>
              <w:ind w:left="0" w:right="0" w:firstLine="30"/>
              <w:rPr/>
            </w:pPr>
            <w:r>
              <w:rPr/>
              <w:t> </w:t>
            </w:r>
          </w:p>
        </w:tc>
        <w:tc>
          <w:tcPr>
            <w:tcW w:w="24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Redeemable Noncontrolling Interests</w:t>
            </w:r>
          </w:p>
        </w:tc>
      </w:tr>
      <w:tr>
        <w:trPr/>
        <w:tc>
          <w:tcPr>
            <w:tcW w:w="7710" w:type="dxa"/>
            <w:tcBorders/>
            <w:shd w:fill="auto" w:val="clear"/>
            <w:vAlign w:val="center"/>
          </w:tcPr>
          <w:p>
            <w:pPr>
              <w:pStyle w:val="TableContents"/>
              <w:spacing w:before="0" w:after="0"/>
              <w:ind w:left="0" w:right="0" w:firstLine="30"/>
              <w:rPr/>
            </w:pPr>
            <w:r>
              <w:rPr/>
              <w:t> </w:t>
            </w:r>
          </w:p>
        </w:tc>
        <w:tc>
          <w:tcPr>
            <w:tcW w:w="2495"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September 30, 2011</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shd w:fill="CCEEFF" w:val="clear"/>
            <w:vAlign w:val="center"/>
          </w:tcPr>
          <w:p>
            <w:pPr>
              <w:pStyle w:val="TableContents"/>
              <w:spacing w:before="0" w:after="0"/>
              <w:jc w:val="right"/>
              <w:rPr/>
            </w:pPr>
            <w:r>
              <w:rPr/>
              <w:t>—</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 of redeemable noncontrolling interest</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45,857</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interests</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1,300</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 attributable to noncontrolling interests</w:t>
            </w:r>
          </w:p>
        </w:tc>
        <w:tc>
          <w:tcPr>
            <w:tcW w:w="20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(2,293</w:t>
            </w:r>
          </w:p>
        </w:tc>
        <w:tc>
          <w:tcPr>
            <w:tcW w:w="4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June 30, 2012</w:t>
            </w:r>
          </w:p>
        </w:tc>
        <w:tc>
          <w:tcPr>
            <w:tcW w:w="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44,864</w:t>
            </w:r>
          </w:p>
        </w:tc>
        <w:tc>
          <w:tcPr>
            <w:tcW w:w="45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rPr/>
            </w:pPr>
            <w:r>
              <w:rPr/>
              <w:t> </w:t>
            </w:r>
          </w:p>
        </w:tc>
        <w:tc>
          <w:tcPr>
            <w:tcW w:w="2495" w:type="dxa"/>
            <w:gridSpan w:val="3"/>
            <w:tcBorders/>
            <w:shd w:fill="auto" w:val="clear"/>
            <w:vAlign w:val="center"/>
          </w:tcPr>
          <w:p>
            <w:pPr>
              <w:pStyle w:val="TableContents"/>
              <w:spacing w:before="0" w:after="0"/>
              <w:ind w:left="0" w:right="0" w:firstLine="30"/>
              <w:rPr/>
            </w:pPr>
            <w:r>
              <w:rPr/>
              <w:t> </w:t>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September 30, 2012</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shd w:fill="CCEEFF" w:val="clear"/>
            <w:vAlign w:val="center"/>
          </w:tcPr>
          <w:p>
            <w:pPr>
              <w:pStyle w:val="TableContents"/>
              <w:spacing w:before="0" w:after="0"/>
              <w:jc w:val="right"/>
              <w:rPr>
                <w:rFonts w:ascii="inherit" w:hAnsi="inherit"/>
                <w:sz w:val="17"/>
              </w:rPr>
            </w:pPr>
            <w:r>
              <w:rPr>
                <w:rFonts w:ascii="inherit" w:hAnsi="inherit"/>
                <w:sz w:val="17"/>
              </w:rPr>
              <w:t>53,681</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 of redeemable noncontrolling interest</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2,836</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Sale of additional shares to parent</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(7,981</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interests</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3,378</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Contribution to maintain ownership percentage</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6,135</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 attributable to noncontrolling interests</w:t>
            </w:r>
          </w:p>
        </w:tc>
        <w:tc>
          <w:tcPr>
            <w:tcW w:w="20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(1,212</w:t>
            </w:r>
          </w:p>
        </w:tc>
        <w:tc>
          <w:tcPr>
            <w:tcW w:w="4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June 30, 2013</w:t>
            </w:r>
          </w:p>
        </w:tc>
        <w:tc>
          <w:tcPr>
            <w:tcW w:w="19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56,837</w:t>
            </w:r>
          </w:p>
        </w:tc>
        <w:tc>
          <w:tcPr>
            <w:tcW w:w="45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sz w:val="17"/>
        </w:rPr>
      </w:pPr>
      <w:r>
        <w:rPr>
          <w:rFonts w:ascii="inherit" w:hAnsi="inherit"/>
          <w:sz w:val="17"/>
        </w:rPr>
        <w:t xml:space="preserve">On November 1, 2012, we acquired a </w:t>
      </w:r>
      <w:r>
        <w:rPr>
          <w:rFonts w:ascii="inherit" w:hAnsi="inherit"/>
          <w:strike w:val="false"/>
          <w:dstrike w:val="false"/>
          <w:color w:val="000000"/>
          <w:sz w:val="17"/>
          <w:u w:val="none"/>
          <w:effect w:val="none"/>
        </w:rPr>
        <w:t>51%</w:t>
      </w:r>
      <w:r>
        <w:rPr>
          <w:sz w:val="17"/>
        </w:rPr>
        <w:t xml:space="preserve"> </w:t>
      </w:r>
      <w:r>
        <w:rPr>
          <w:rFonts w:ascii="inherit" w:hAnsi="inherit"/>
          <w:sz w:val="17"/>
        </w:rPr>
        <w:t xml:space="preserve">interest in TUYO (see Note 3 for details). </w:t>
      </w:r>
    </w:p>
    <w:p>
      <w:pPr>
        <w:pStyle w:val="TextBody"/>
        <w:spacing w:lineRule="auto" w:line="288" w:before="0" w:after="0"/>
        <w:jc w:val="both"/>
        <w:rPr>
          <w:sz w:val="17"/>
        </w:rPr>
      </w:pPr>
      <w:r>
        <w:rPr>
          <w:rFonts w:ascii="inherit" w:hAnsi="inherit"/>
          <w:sz w:val="17"/>
        </w:rPr>
        <w:t xml:space="preserve">On November 14, 2012, we acquired an additional </w:t>
      </w:r>
      <w:r>
        <w:rPr>
          <w:rFonts w:ascii="inherit" w:hAnsi="inherit"/>
          <w:strike w:val="false"/>
          <w:dstrike w:val="false"/>
          <w:color w:val="000000"/>
          <w:sz w:val="17"/>
          <w:u w:val="none"/>
          <w:effect w:val="none"/>
        </w:rPr>
        <w:t>23%</w:t>
      </w:r>
      <w:r>
        <w:rPr>
          <w:sz w:val="17"/>
        </w:rPr>
        <w:t xml:space="preserve"> </w:t>
      </w:r>
      <w:r>
        <w:rPr>
          <w:rFonts w:ascii="inherit" w:hAnsi="inherit"/>
          <w:sz w:val="17"/>
        </w:rPr>
        <w:t xml:space="preserve">of the ordinary shares outstanding of Cash Genie, our U.K. online lending business, for </w:t>
      </w:r>
      <w:r>
        <w:rPr>
          <w:rFonts w:ascii="inherit" w:hAnsi="inherit"/>
          <w:strike w:val="false"/>
          <w:dstrike w:val="false"/>
          <w:color w:val="000000"/>
          <w:sz w:val="17"/>
          <w:u w:val="none"/>
          <w:effect w:val="none"/>
        </w:rPr>
        <w:t>$10.4 million</w:t>
      </w:r>
      <w:r>
        <w:rPr>
          <w:rFonts w:ascii="inherit" w:hAnsi="inherit"/>
          <w:sz w:val="17"/>
        </w:rPr>
        <w:t xml:space="preserve">, increasing our ownership percentage from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95%</w:t>
      </w:r>
      <w:r>
        <w:rPr>
          <w:rFonts w:ascii="inherit" w:hAnsi="inherit"/>
          <w:sz w:val="17"/>
        </w:rPr>
        <w:t xml:space="preserve">, with the remaining </w:t>
      </w:r>
      <w:r>
        <w:rPr>
          <w:rFonts w:ascii="inherit" w:hAnsi="inherit"/>
          <w:strike w:val="false"/>
          <w:dstrike w:val="false"/>
          <w:color w:val="000000"/>
          <w:sz w:val="17"/>
          <w:u w:val="none"/>
          <w:effect w:val="none"/>
        </w:rPr>
        <w:t>5%</w:t>
      </w:r>
      <w:r>
        <w:rPr>
          <w:sz w:val="17"/>
        </w:rPr>
        <w:t xml:space="preserve"> </w:t>
      </w:r>
      <w:r>
        <w:rPr>
          <w:rFonts w:ascii="inherit" w:hAnsi="inherit"/>
          <w:sz w:val="17"/>
        </w:rPr>
        <w:t xml:space="preserve">held by local management. The consideration paid to the selling shareholder was paid in the form of </w:t>
      </w:r>
      <w:r>
        <w:rPr>
          <w:rFonts w:ascii="inherit" w:hAnsi="inherit"/>
          <w:strike w:val="false"/>
          <w:dstrike w:val="false"/>
          <w:color w:val="000000"/>
          <w:sz w:val="17"/>
          <w:u w:val="none"/>
          <w:effect w:val="none"/>
        </w:rPr>
        <w:t>592,461</w:t>
      </w:r>
      <w:r>
        <w:rPr>
          <w:sz w:val="17"/>
        </w:rPr>
        <w:t xml:space="preserve"> </w:t>
      </w:r>
      <w:r>
        <w:rPr>
          <w:rFonts w:ascii="inherit" w:hAnsi="inherit"/>
          <w:sz w:val="17"/>
        </w:rPr>
        <w:t xml:space="preserve">shares of EZCORP Class A Non-Voting Common Stock. This transaction was treated as an equity transaction and not an adjustment to the purchase price of the initial controlling interest acquisition of Cash Genie. On August 1, 2013, we acquired the remaining ordinary shares that were held by local management for </w:t>
      </w:r>
      <w:r>
        <w:rPr>
          <w:rFonts w:ascii="inherit" w:hAnsi="inherit"/>
          <w:strike w:val="false"/>
          <w:dstrike w:val="false"/>
          <w:color w:val="000000"/>
          <w:sz w:val="17"/>
          <w:u w:val="none"/>
          <w:effect w:val="none"/>
        </w:rPr>
        <w:t>$0.6 million</w:t>
      </w:r>
      <w:r>
        <w:rPr>
          <w:rFonts w:ascii="inherit" w:hAnsi="inherit"/>
          <w:sz w:val="17"/>
        </w:rPr>
        <w:t xml:space="preserve">. As of August 1, 2013, we own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Cash Genie's ordinary shares. </w:t>
      </w:r>
    </w:p>
    <w:p>
      <w:pPr>
        <w:pStyle w:val="TextBody"/>
        <w:spacing w:lineRule="auto" w:line="288" w:before="0" w:after="0"/>
        <w:rPr>
          <w:sz w:val="17"/>
        </w:rPr>
      </w:pPr>
      <w:r>
        <w:rPr>
          <w:rFonts w:ascii="inherit" w:hAnsi="inherit"/>
          <w:sz w:val="17"/>
        </w:rPr>
        <w:t xml:space="preserve">On April 1, 2013, Grupo Finmart completed a </w:t>
      </w:r>
      <w:r>
        <w:rPr>
          <w:rFonts w:ascii="inherit" w:hAnsi="inherit"/>
          <w:strike w:val="false"/>
          <w:dstrike w:val="false"/>
          <w:color w:val="000000"/>
          <w:sz w:val="17"/>
          <w:u w:val="none"/>
          <w:effect w:val="none"/>
        </w:rPr>
        <w:t>$15.3 million</w:t>
      </w:r>
      <w:r>
        <w:rPr>
          <w:sz w:val="17"/>
        </w:rPr>
        <w:t xml:space="preserve"> </w:t>
      </w:r>
      <w:r>
        <w:rPr>
          <w:rFonts w:ascii="inherit" w:hAnsi="inherit"/>
          <w:sz w:val="17"/>
        </w:rPr>
        <w:t xml:space="preserve">equity offering to its existing shareholders for the purpose of strengthening its balance sheet as it continues to seek additional debt to fund loan originations. EZCORP invested </w:t>
      </w:r>
      <w:r>
        <w:rPr>
          <w:rFonts w:ascii="inherit" w:hAnsi="inherit"/>
          <w:strike w:val="false"/>
          <w:dstrike w:val="false"/>
          <w:color w:val="000000"/>
          <w:sz w:val="17"/>
          <w:u w:val="none"/>
          <w:effect w:val="none"/>
        </w:rPr>
        <w:t>$9.2 million</w:t>
      </w:r>
      <w:r>
        <w:rPr>
          <w:sz w:val="17"/>
        </w:rPr>
        <w:t xml:space="preserve"> </w:t>
      </w:r>
      <w:r>
        <w:rPr>
          <w:rFonts w:ascii="inherit" w:hAnsi="inherit"/>
          <w:sz w:val="17"/>
        </w:rPr>
        <w:t xml:space="preserve">with the noncontrolling interest shareholders investing the remaining </w:t>
      </w:r>
      <w:r>
        <w:rPr>
          <w:rFonts w:ascii="inherit" w:hAnsi="inherit"/>
          <w:strike w:val="false"/>
          <w:dstrike w:val="false"/>
          <w:color w:val="000000"/>
          <w:sz w:val="17"/>
          <w:u w:val="none"/>
          <w:effect w:val="none"/>
        </w:rPr>
        <w:t>$6.1 million</w:t>
      </w:r>
      <w:r>
        <w:rPr>
          <w:rFonts w:ascii="inherit" w:hAnsi="inherit"/>
          <w:sz w:val="17"/>
        </w:rPr>
        <w:t xml:space="preserve">, which maintained our ownership at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and the noncontrolling shareholders' ownership at </w:t>
      </w:r>
      <w:r>
        <w:rPr>
          <w:rFonts w:ascii="inherit" w:hAnsi="inherit"/>
          <w:strike w:val="false"/>
          <w:dstrike w:val="false"/>
          <w:color w:val="000000"/>
          <w:sz w:val="17"/>
          <w:u w:val="none"/>
          <w:effect w:val="none"/>
        </w:rPr>
        <w:t>40%</w:t>
      </w:r>
      <w:r>
        <w:rPr>
          <w:rFonts w:ascii="inherit" w:hAnsi="inherit"/>
          <w:sz w:val="17"/>
        </w:rPr>
        <w:t xml:space="preserve">. </w:t>
      </w:r>
    </w:p>
    <w:p>
      <w:pPr>
        <w:pStyle w:val="TextBody"/>
        <w:spacing w:lineRule="auto" w:line="288" w:before="0" w:after="0"/>
        <w:rPr>
          <w:sz w:val="17"/>
        </w:rPr>
      </w:pPr>
      <w:bookmarkStart w:id="22" w:name="s68AACDDCF27BB5F83978CD28FAA4521E"/>
      <w:bookmarkEnd w:id="22"/>
      <w:r>
        <w:rPr>
          <w:rFonts w:ascii="inherit" w:hAnsi="inherit"/>
          <w:b/>
          <w:strike w:val="false"/>
          <w:dstrike w:val="false"/>
          <w:color w:val="000000"/>
          <w:sz w:val="17"/>
          <w:u w:val="none"/>
          <w:effect w:val="none"/>
        </w:rPr>
        <w:t>NOTE 10: INCOME TAXES</w:t>
      </w:r>
      <w:r>
        <w:rPr>
          <w:sz w:val="17"/>
        </w:rPr>
        <w:t xml:space="preserve"> </w:t>
      </w:r>
    </w:p>
    <w:p>
      <w:pPr>
        <w:pStyle w:val="TextBody"/>
        <w:spacing w:lineRule="auto" w:line="288" w:before="0" w:after="0"/>
        <w:jc w:val="left"/>
        <w:rPr>
          <w:rFonts w:ascii="inherit" w:hAnsi="inherit"/>
          <w:sz w:val="17"/>
        </w:rPr>
      </w:pPr>
      <w:r>
        <w:rPr>
          <w:rFonts w:ascii="inherit" w:hAnsi="inherit"/>
          <w:sz w:val="17"/>
        </w:rPr>
        <w:t>Income tax expense is provided at the U.S. tax rate on financial statement earnings, adjusted for the difference between the U.S. tax rate and the rate of tax in effect for non-U.S. earnings deemed to be permanently reinvested in our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pStyle w:val="TextBody"/>
        <w:spacing w:lineRule="auto" w:line="288" w:before="0" w:after="0"/>
        <w:rPr>
          <w:sz w:val="17"/>
        </w:rPr>
      </w:pPr>
      <w:r>
        <w:rPr>
          <w:rFonts w:ascii="inherit" w:hAnsi="inherit"/>
          <w:sz w:val="17"/>
        </w:rPr>
        <w:t xml:space="preserve">The current quarter’s effective tax rate from continuing operations is </w:t>
      </w:r>
      <w:r>
        <w:rPr>
          <w:rFonts w:ascii="Times New Roman" w:hAnsi="Times New Roman"/>
          <w:b w:val="false"/>
          <w:i w:val="false"/>
          <w:caps w:val="false"/>
          <w:smallCaps w:val="false"/>
          <w:strike w:val="false"/>
          <w:dstrike w:val="false"/>
          <w:color w:val="000000"/>
          <w:sz w:val="17"/>
          <w:u w:val="none"/>
          <w:effect w:val="none"/>
        </w:rPr>
        <w:t>35.4%</w:t>
      </w:r>
      <w:r>
        <w:rPr>
          <w:sz w:val="17"/>
        </w:rPr>
        <w:t xml:space="preserve"> </w:t>
      </w:r>
      <w:r>
        <w:rPr>
          <w:rFonts w:ascii="inherit" w:hAnsi="inherit"/>
          <w:sz w:val="17"/>
        </w:rPr>
        <w:t xml:space="preserve">of pretax income compared to </w:t>
      </w:r>
      <w:r>
        <w:rPr>
          <w:rFonts w:ascii="Times New Roman" w:hAnsi="Times New Roman"/>
          <w:b w:val="false"/>
          <w:i w:val="false"/>
          <w:caps w:val="false"/>
          <w:smallCaps w:val="false"/>
          <w:strike w:val="false"/>
          <w:dstrike w:val="false"/>
          <w:color w:val="000000"/>
          <w:sz w:val="17"/>
          <w:u w:val="none"/>
          <w:effect w:val="none"/>
        </w:rPr>
        <w:t>29.1%</w:t>
      </w:r>
      <w:r>
        <w:rPr>
          <w:sz w:val="17"/>
        </w:rPr>
        <w:t xml:space="preserve"> </w:t>
      </w:r>
      <w:r>
        <w:rPr>
          <w:rFonts w:ascii="inherit" w:hAnsi="inherit"/>
          <w:sz w:val="17"/>
        </w:rPr>
        <w:t xml:space="preserve">for the prior year quarter. The effective rate for the quarter ended June 30, 2012 was lower due to the decision in that quarter to treat foreign earnings as being permanently reinvested, with a resultant reversal of prior period deferred tax liabilities in that quarter. The current quarter's effective tax rate for the tax benefit from discontinued operations is </w:t>
      </w:r>
      <w:r>
        <w:rPr>
          <w:rFonts w:ascii="inherit" w:hAnsi="inherit"/>
          <w:strike w:val="false"/>
          <w:dstrike w:val="false"/>
          <w:color w:val="000000"/>
          <w:sz w:val="17"/>
          <w:u w:val="none"/>
          <w:effect w:val="none"/>
        </w:rPr>
        <w:t>15.8%</w:t>
      </w:r>
      <w:r>
        <w:rPr>
          <w:sz w:val="17"/>
        </w:rPr>
        <w:t xml:space="preserve"> </w:t>
      </w:r>
      <w:r>
        <w:rPr>
          <w:rFonts w:ascii="inherit" w:hAnsi="inherit"/>
          <w:sz w:val="17"/>
        </w:rPr>
        <w:t xml:space="preserve">compared to </w:t>
      </w:r>
      <w:r>
        <w:rPr>
          <w:rFonts w:ascii="inherit" w:hAnsi="inherit"/>
          <w:strike w:val="false"/>
          <w:dstrike w:val="false"/>
          <w:color w:val="000000"/>
          <w:sz w:val="17"/>
          <w:u w:val="none"/>
          <w:effect w:val="none"/>
        </w:rPr>
        <w:t>9.1%</w:t>
      </w:r>
      <w:r>
        <w:rPr>
          <w:sz w:val="17"/>
        </w:rPr>
        <w:t xml:space="preserve"> </w:t>
      </w:r>
      <w:r>
        <w:rPr>
          <w:rFonts w:ascii="inherit" w:hAnsi="inherit"/>
          <w:sz w:val="17"/>
        </w:rPr>
        <w:t xml:space="preserve">for the prior year quarter.  </w:t>
      </w:r>
    </w:p>
    <w:p>
      <w:pPr>
        <w:pStyle w:val="TextBody"/>
        <w:spacing w:lineRule="auto" w:line="288" w:before="0" w:after="0"/>
        <w:rPr>
          <w:sz w:val="17"/>
        </w:rPr>
      </w:pPr>
      <w:r>
        <w:rPr>
          <w:rFonts w:ascii="inherit" w:hAnsi="inherit"/>
          <w:sz w:val="17"/>
        </w:rPr>
        <w:t xml:space="preserve">For the current nine-month period, the effective tax rate from continuing operations is </w:t>
      </w:r>
      <w:r>
        <w:rPr>
          <w:rFonts w:ascii="Times New Roman" w:hAnsi="Times New Roman"/>
          <w:b w:val="false"/>
          <w:i w:val="false"/>
          <w:caps w:val="false"/>
          <w:smallCaps w:val="false"/>
          <w:strike w:val="false"/>
          <w:dstrike w:val="false"/>
          <w:color w:val="000000"/>
          <w:sz w:val="17"/>
          <w:u w:val="none"/>
          <w:effect w:val="none"/>
        </w:rPr>
        <w:t>32.6%</w:t>
      </w:r>
      <w:r>
        <w:rPr>
          <w:sz w:val="17"/>
        </w:rPr>
        <w:t xml:space="preserve"> </w:t>
      </w:r>
      <w:r>
        <w:rPr>
          <w:rFonts w:ascii="inherit" w:hAnsi="inherit"/>
          <w:sz w:val="17"/>
        </w:rPr>
        <w:t xml:space="preserve">compared to </w:t>
      </w:r>
      <w:r>
        <w:rPr>
          <w:rFonts w:ascii="Times New Roman" w:hAnsi="Times New Roman"/>
          <w:b w:val="false"/>
          <w:i w:val="false"/>
          <w:caps w:val="false"/>
          <w:smallCaps w:val="false"/>
          <w:strike w:val="false"/>
          <w:dstrike w:val="false"/>
          <w:color w:val="000000"/>
          <w:sz w:val="17"/>
          <w:u w:val="none"/>
          <w:effect w:val="none"/>
        </w:rPr>
        <w:t>32.5%</w:t>
      </w:r>
      <w:r>
        <w:rPr>
          <w:sz w:val="17"/>
        </w:rPr>
        <w:t xml:space="preserve"> </w:t>
      </w:r>
      <w:r>
        <w:rPr>
          <w:rFonts w:ascii="inherit" w:hAnsi="inherit"/>
          <w:sz w:val="17"/>
        </w:rPr>
        <w:t xml:space="preserve">in the prior year nine-month period. For the current nine-month period, the effective tax rate for the tax benefit from discontinued operations is </w:t>
      </w:r>
      <w:r>
        <w:rPr>
          <w:rFonts w:ascii="inherit" w:hAnsi="inherit"/>
          <w:strike w:val="false"/>
          <w:dstrike w:val="false"/>
          <w:color w:val="000000"/>
          <w:sz w:val="17"/>
          <w:u w:val="none"/>
          <w:effect w:val="none"/>
        </w:rPr>
        <w:t>15.1%</w:t>
      </w:r>
      <w:r>
        <w:rPr>
          <w:sz w:val="17"/>
        </w:rPr>
        <w:t xml:space="preserve"> </w:t>
      </w:r>
      <w:r>
        <w:rPr>
          <w:rFonts w:ascii="inherit" w:hAnsi="inherit"/>
          <w:sz w:val="17"/>
        </w:rPr>
        <w:t xml:space="preserve">compared to </w:t>
      </w:r>
      <w:r>
        <w:rPr>
          <w:rFonts w:ascii="inherit" w:hAnsi="inherit"/>
          <w:strike w:val="false"/>
          <w:dstrike w:val="false"/>
          <w:color w:val="000000"/>
          <w:sz w:val="17"/>
          <w:u w:val="none"/>
          <w:effect w:val="none"/>
        </w:rPr>
        <w:t>1.9%</w:t>
      </w:r>
      <w:r>
        <w:rPr>
          <w:sz w:val="17"/>
        </w:rPr>
        <w:t xml:space="preserve"> </w:t>
      </w:r>
      <w:r>
        <w:rPr>
          <w:rFonts w:ascii="inherit" w:hAnsi="inherit"/>
          <w:sz w:val="17"/>
        </w:rPr>
        <w:t xml:space="preserve">for the prior year nine-month period.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effective tax rate for discontinued operations is lower than the effective tax rate from continuing operations due to the inclusion of discontinued operations in Canada for which a valuation allowance has previously been recognized, resulting in no current benefit.</w:t>
      </w:r>
    </w:p>
    <w:p>
      <w:pPr>
        <w:pStyle w:val="TextBody"/>
        <w:spacing w:lineRule="auto" w:line="288" w:before="0" w:after="0"/>
        <w:rPr>
          <w:sz w:val="17"/>
        </w:rPr>
      </w:pPr>
      <w:r>
        <w:rPr>
          <w:rFonts w:ascii="inherit" w:hAnsi="inherit"/>
          <w:sz w:val="17"/>
        </w:rPr>
        <w:t xml:space="preserve">The effective tax rate for the three-month period ended </w:t>
      </w:r>
      <w:r>
        <w:rPr>
          <w:rFonts w:ascii="Times New Roman" w:hAnsi="Times New Roman"/>
          <w:b w:val="false"/>
          <w:i w:val="false"/>
          <w:caps w:val="false"/>
          <w:smallCaps w:val="false"/>
          <w:strike w:val="false"/>
          <w:dstrike w:val="false"/>
          <w:color w:val="000000"/>
          <w:sz w:val="17"/>
          <w:u w:val="none"/>
          <w:effect w:val="none"/>
        </w:rPr>
        <w:t>June 30, 2013</w:t>
      </w:r>
      <w:r>
        <w:rPr>
          <w:sz w:val="17"/>
        </w:rPr>
        <w:t xml:space="preserve"> </w:t>
      </w:r>
      <w:r>
        <w:rPr>
          <w:rFonts w:ascii="inherit" w:hAnsi="inherit"/>
          <w:sz w:val="17"/>
        </w:rPr>
        <w:t xml:space="preserve">was higher due to a reduction in foreign taxable income which is taxed at a lower rate than the U.S. rate. The effective tax rate from continuing operations for the nine-month period ended </w:t>
      </w:r>
      <w:r>
        <w:rPr>
          <w:rFonts w:ascii="Times New Roman" w:hAnsi="Times New Roman"/>
          <w:b w:val="false"/>
          <w:i w:val="false"/>
          <w:caps w:val="false"/>
          <w:smallCaps w:val="false"/>
          <w:strike w:val="false"/>
          <w:dstrike w:val="false"/>
          <w:color w:val="000000"/>
          <w:sz w:val="17"/>
          <w:u w:val="none"/>
          <w:effect w:val="none"/>
        </w:rPr>
        <w:t>June 30, 2013</w:t>
      </w:r>
      <w:r>
        <w:rPr>
          <w:sz w:val="17"/>
        </w:rPr>
        <w:t xml:space="preserve"> </w:t>
      </w:r>
      <w:r>
        <w:rPr>
          <w:rFonts w:ascii="inherit" w:hAnsi="inherit"/>
          <w:sz w:val="17"/>
        </w:rPr>
        <w:t>was lowered by a recognition of a tax benefit from tax credits not previously reported. </w:t>
      </w:r>
    </w:p>
    <w:p>
      <w:pPr>
        <w:pStyle w:val="TextBody"/>
        <w:spacing w:lineRule="auto" w:line="288" w:before="0" w:after="0"/>
        <w:rPr>
          <w:sz w:val="17"/>
        </w:rPr>
      </w:pPr>
      <w:bookmarkStart w:id="23" w:name="sB051EBF6F180EE5B6FCACD28F9FF8929"/>
      <w:bookmarkEnd w:id="23"/>
      <w:r>
        <w:rPr>
          <w:rFonts w:ascii="inherit" w:hAnsi="inherit"/>
          <w:b/>
          <w:strike w:val="false"/>
          <w:dstrike w:val="false"/>
          <w:color w:val="000000"/>
          <w:sz w:val="17"/>
          <w:u w:val="none"/>
          <w:effect w:val="none"/>
        </w:rPr>
        <w:t>NOTE 11: CONTINGENCIES</w:t>
      </w:r>
      <w:r>
        <w:rPr>
          <w:sz w:val="17"/>
        </w:rPr>
        <w:t xml:space="preserve"> </w:t>
      </w:r>
    </w:p>
    <w:p>
      <w:pPr>
        <w:pStyle w:val="TextBody"/>
        <w:spacing w:lineRule="auto" w:line="288" w:before="0" w:after="0"/>
        <w:rPr>
          <w:rFonts w:ascii="inherit" w:hAnsi="inherit"/>
          <w:sz w:val="17"/>
        </w:rPr>
      </w:pPr>
      <w:r>
        <w:rPr>
          <w:rFonts w:ascii="inherit" w:hAnsi="inherit"/>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w:t>
      </w:r>
    </w:p>
    <w:p>
      <w:pPr>
        <w:pStyle w:val="TextBody"/>
        <w:spacing w:lineRule="auto" w:line="288" w:before="0" w:after="0"/>
        <w:rPr>
          <w:sz w:val="17"/>
        </w:rPr>
      </w:pPr>
      <w:bookmarkStart w:id="24" w:name="sB2C10300DC731AF45CABCD28F9EFB7E4"/>
      <w:bookmarkEnd w:id="24"/>
      <w:r>
        <w:rPr>
          <w:rFonts w:ascii="inherit" w:hAnsi="inherit"/>
          <w:b/>
          <w:strike w:val="false"/>
          <w:dstrike w:val="false"/>
          <w:color w:val="000000"/>
          <w:sz w:val="17"/>
          <w:u w:val="none"/>
          <w:effect w:val="none"/>
        </w:rPr>
        <w:t>NOTE 12: OPERATING SEGMENT INFORMATION</w:t>
      </w:r>
      <w:r>
        <w:rPr>
          <w:sz w:val="17"/>
        </w:rPr>
        <w:t xml:space="preserve"> </w:t>
      </w:r>
    </w:p>
    <w:p>
      <w:pPr>
        <w:pStyle w:val="TextBody"/>
        <w:spacing w:lineRule="auto" w:line="288" w:before="0" w:after="0"/>
        <w:rPr>
          <w:sz w:val="17"/>
        </w:rPr>
      </w:pPr>
      <w:r>
        <w:rPr>
          <w:rFonts w:ascii="inherit" w:hAnsi="inherit"/>
          <w:sz w:val="17"/>
        </w:rPr>
        <w:t xml:space="preserve">Segment information is prepared on the same basis that our management reviews financial information for operational decision-making purposes. Our business consists of </w:t>
      </w:r>
      <w:r>
        <w:rPr>
          <w:rFonts w:ascii="inherit" w:hAnsi="inherit"/>
          <w:strike w:val="false"/>
          <w:dstrike w:val="false"/>
          <w:color w:val="000000"/>
          <w:sz w:val="17"/>
          <w:u w:val="none"/>
          <w:effect w:val="none"/>
        </w:rPr>
        <w:t>three</w:t>
      </w:r>
      <w:r>
        <w:rPr>
          <w:sz w:val="17"/>
        </w:rPr>
        <w:t xml:space="preserve"> </w:t>
      </w:r>
      <w:r>
        <w:rPr>
          <w:rFonts w:ascii="inherit" w:hAnsi="inherit"/>
          <w:sz w:val="17"/>
        </w:rPr>
        <w:t xml:space="preserve">reportable segments: </w:t>
      </w:r>
    </w:p>
    <w:tbl>
      <w:tblPr>
        <w:tblW w:w="7105" w:type="dxa"/>
        <w:jc w:val="left"/>
        <w:tblInd w:w="0" w:type="dxa"/>
        <w:tblCellMar>
          <w:top w:w="0" w:type="dxa"/>
          <w:left w:w="0" w:type="dxa"/>
          <w:bottom w:w="0" w:type="dxa"/>
          <w:right w:w="0" w:type="dxa"/>
        </w:tblCellMar>
      </w:tblPr>
      <w:tblGrid>
        <w:gridCol w:w="485"/>
        <w:gridCol w:w="6620"/>
      </w:tblGrid>
      <w:tr>
        <w:trPr/>
        <w:tc>
          <w:tcPr>
            <w:tcW w:w="485" w:type="dxa"/>
            <w:tcBorders/>
            <w:shd w:fill="auto" w:val="clear"/>
            <w:vAlign w:val="center"/>
          </w:tcPr>
          <w:p>
            <w:pPr>
              <w:pStyle w:val="TableContents"/>
              <w:spacing w:before="0" w:after="283"/>
              <w:rPr>
                <w:sz w:val="4"/>
                <w:szCs w:val="4"/>
              </w:rPr>
            </w:pPr>
            <w:r>
              <w:rPr>
                <w:sz w:val="4"/>
                <w:szCs w:val="4"/>
              </w:rPr>
            </w:r>
          </w:p>
        </w:tc>
        <w:tc>
          <w:tcPr>
            <w:tcW w:w="66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6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U.S. &amp; Canada – Includes all business activities in the United States and Canada</w:t>
            </w:r>
          </w:p>
        </w:tc>
      </w:tr>
    </w:tbl>
    <w:tbl>
      <w:tblPr>
        <w:tblW w:w="7930" w:type="dxa"/>
        <w:jc w:val="left"/>
        <w:tblInd w:w="0" w:type="dxa"/>
        <w:tblCellMar>
          <w:top w:w="0" w:type="dxa"/>
          <w:left w:w="0" w:type="dxa"/>
          <w:bottom w:w="0" w:type="dxa"/>
          <w:right w:w="0" w:type="dxa"/>
        </w:tblCellMar>
      </w:tblPr>
      <w:tblGrid>
        <w:gridCol w:w="485"/>
        <w:gridCol w:w="7445"/>
      </w:tblGrid>
      <w:tr>
        <w:trPr/>
        <w:tc>
          <w:tcPr>
            <w:tcW w:w="485" w:type="dxa"/>
            <w:tcBorders/>
            <w:shd w:fill="auto" w:val="clear"/>
            <w:vAlign w:val="center"/>
          </w:tcPr>
          <w:p>
            <w:pPr>
              <w:pStyle w:val="TableContents"/>
              <w:spacing w:before="0" w:after="283"/>
              <w:rPr>
                <w:sz w:val="4"/>
                <w:szCs w:val="4"/>
              </w:rPr>
            </w:pPr>
            <w:r>
              <w:rPr>
                <w:sz w:val="4"/>
                <w:szCs w:val="4"/>
              </w:rPr>
            </w:r>
          </w:p>
        </w:tc>
        <w:tc>
          <w:tcPr>
            <w:tcW w:w="74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4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Latin America – Includes all business activities in Mexico and other parts of Latin America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Other International – Includes all business activities in the rest of the world (currently consisting of consumer loans online in the U.K. and our equity interests in the net income of Albemarle &amp; Bond and Cash Converters International)</w:t>
            </w:r>
          </w:p>
        </w:tc>
      </w:tr>
    </w:tbl>
    <w:p>
      <w:pPr>
        <w:pStyle w:val="TextBody"/>
        <w:spacing w:lineRule="auto" w:line="288" w:before="0" w:after="0"/>
        <w:rPr>
          <w:rFonts w:ascii="inherit" w:hAnsi="inherit"/>
          <w:sz w:val="17"/>
        </w:rPr>
      </w:pPr>
      <w:r>
        <w:rPr>
          <w:rFonts w:ascii="inherit" w:hAnsi="inherit"/>
          <w:sz w:val="17"/>
        </w:rPr>
        <w:t xml:space="preserve">In connection with our decentralization strategy, we have changed the accountability for, and reporting of, certain items in administrative expenses, depreciation and amortization. When directly related to a segment, these items have been included in segment contribution.When shared by multiple segments, these items are being allocated to the segment and included in their segment contribution. Prior year figures have been reclassified to conform to this presentation. </w:t>
      </w:r>
    </w:p>
    <w:p>
      <w:pPr>
        <w:pStyle w:val="TextBody"/>
        <w:spacing w:lineRule="auto" w:line="288" w:before="0" w:after="0"/>
        <w:rPr>
          <w:sz w:val="17"/>
        </w:rPr>
      </w:pPr>
      <w:r>
        <w:rPr>
          <w:rFonts w:ascii="inherit" w:hAnsi="inherit"/>
          <w:sz w:val="17"/>
        </w:rPr>
        <w:t xml:space="preserve">There are no inter-segment revenues, and the amounts below were determined in accordance with the same accounting principles used in our consolidated financial statements. The following tables present operating segment information for the three and nine-month periods ending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rFonts w:ascii="inherit" w:hAnsi="inherit"/>
          <w:sz w:val="17"/>
        </w:rPr>
        <w: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024"/>
        <w:gridCol w:w="166"/>
        <w:gridCol w:w="943"/>
        <w:gridCol w:w="152"/>
        <w:gridCol w:w="133"/>
        <w:gridCol w:w="166"/>
        <w:gridCol w:w="943"/>
        <w:gridCol w:w="76"/>
        <w:gridCol w:w="133"/>
        <w:gridCol w:w="210"/>
        <w:gridCol w:w="1019"/>
        <w:gridCol w:w="192"/>
        <w:gridCol w:w="133"/>
        <w:gridCol w:w="166"/>
        <w:gridCol w:w="943"/>
        <w:gridCol w:w="80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0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24" w:type="dxa"/>
            <w:tcBorders/>
            <w:shd w:fill="auto" w:val="clear"/>
            <w:vAlign w:val="center"/>
          </w:tcPr>
          <w:p>
            <w:pPr>
              <w:pStyle w:val="TableContents"/>
              <w:spacing w:before="0" w:after="0"/>
              <w:ind w:left="0" w:right="0" w:firstLine="30"/>
              <w:jc w:val="left"/>
              <w:rPr/>
            </w:pPr>
            <w:r>
              <w:rPr/>
              <w:t> </w:t>
            </w:r>
          </w:p>
        </w:tc>
        <w:tc>
          <w:tcPr>
            <w:tcW w:w="6181"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2013</w:t>
            </w:r>
          </w:p>
        </w:tc>
      </w:tr>
      <w:tr>
        <w:trPr/>
        <w:tc>
          <w:tcPr>
            <w:tcW w:w="4024" w:type="dxa"/>
            <w:tcBorders/>
            <w:shd w:fill="auto" w:val="clear"/>
            <w:vAlign w:val="center"/>
          </w:tcPr>
          <w:p>
            <w:pPr>
              <w:pStyle w:val="TableContents"/>
              <w:spacing w:before="0" w:after="0"/>
              <w:ind w:left="0" w:right="0" w:firstLine="30"/>
              <w:rPr/>
            </w:pPr>
            <w:r>
              <w:rPr/>
              <w:t>  </w:t>
            </w:r>
          </w:p>
        </w:tc>
        <w:tc>
          <w:tcPr>
            <w:tcW w:w="126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4024" w:type="dxa"/>
            <w:tcBorders/>
            <w:shd w:fill="auto" w:val="clear"/>
            <w:vAlign w:val="center"/>
          </w:tcPr>
          <w:p>
            <w:pPr>
              <w:pStyle w:val="TableContents"/>
              <w:spacing w:before="0" w:after="0"/>
              <w:ind w:left="0" w:right="0" w:firstLine="30"/>
              <w:jc w:val="left"/>
              <w:rPr/>
            </w:pPr>
            <w:r>
              <w:rPr/>
              <w:t> </w:t>
            </w:r>
          </w:p>
        </w:tc>
        <w:tc>
          <w:tcPr>
            <w:tcW w:w="618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915" w:type="dxa"/>
            <w:gridSpan w:val="3"/>
            <w:tcBorders/>
            <w:shd w:fill="CCEEFF" w:val="clear"/>
            <w:vAlign w:val="center"/>
          </w:tcPr>
          <w:p>
            <w:pPr>
              <w:pStyle w:val="TableContents"/>
              <w:spacing w:before="0" w:after="0"/>
              <w:ind w:left="0" w:right="0" w:firstLine="420"/>
              <w:rPr/>
            </w:pPr>
            <w:r>
              <w:rPr/>
              <w:t> </w:t>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71,464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15,112</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21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9" w:type="dxa"/>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86,576</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26,288</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26,288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52,505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7,892</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60,397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40,279</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12,864</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6,091</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59,234</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1,058</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1,034</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2,671</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191,594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36,902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6,670</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235,166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41,795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9,255</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51,050</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20,285</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20,377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9,994</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685</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1,839</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119,520</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26,870</w:t>
            </w:r>
          </w:p>
        </w:tc>
        <w:tc>
          <w:tcPr>
            <w:tcW w:w="7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4,831</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151,221</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shd w:fill="auto" w:val="clear"/>
            <w:vAlign w:val="center"/>
          </w:tcPr>
          <w:p>
            <w:pPr>
              <w:pStyle w:val="TableContents"/>
              <w:spacing w:before="0" w:after="0"/>
              <w:ind w:left="0" w:right="0" w:firstLine="420"/>
              <w:rPr/>
            </w:pPr>
            <w:r>
              <w:rPr/>
              <w:t> </w:t>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Operations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84,194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16,513</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3,523</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104,230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1,854</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6,877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expense, net</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2,790</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2,765</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09"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(4,328</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expense</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30,272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5,652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21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9" w:type="dxa"/>
            <w:tcBorders/>
            <w:shd w:fill="CCEEFF" w:val="clear"/>
            <w:vAlign w:val="center"/>
          </w:tcPr>
          <w:p>
            <w:pPr>
              <w:pStyle w:val="TableContents"/>
              <w:spacing w:before="0" w:after="0"/>
              <w:jc w:val="right"/>
              <w:rPr>
                <w:rFonts w:ascii="inherit" w:hAnsi="inherit"/>
                <w:sz w:val="17"/>
              </w:rPr>
            </w:pPr>
            <w:r>
              <w:rPr>
                <w:rFonts w:ascii="inherit" w:hAnsi="inherit"/>
                <w:sz w:val="17"/>
              </w:rPr>
              <w:t>5,518</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41,442</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shd w:fill="auto" w:val="clear"/>
            <w:vAlign w:val="center"/>
          </w:tcPr>
          <w:p>
            <w:pPr>
              <w:pStyle w:val="TableContents"/>
              <w:spacing w:before="0" w:after="0"/>
              <w:ind w:left="0" w:right="0" w:firstLine="420"/>
              <w:rPr/>
            </w:pPr>
            <w:r>
              <w:rPr/>
              <w:t> </w:t>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12,644</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2,091</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872</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income taxes</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25,796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9,139</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16,657</w:t>
            </w:r>
          </w:p>
        </w:tc>
        <w:tc>
          <w:tcPr>
            <w:tcW w:w="80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loss</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(4,840</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redeemable noncontrolling interest</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1,041</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loss attributable to EZCORP, Inc.</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(5,881</w:t>
            </w:r>
          </w:p>
        </w:tc>
        <w:tc>
          <w:tcPr>
            <w:tcW w:w="80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024"/>
        <w:gridCol w:w="166"/>
        <w:gridCol w:w="943"/>
        <w:gridCol w:w="76"/>
        <w:gridCol w:w="133"/>
        <w:gridCol w:w="166"/>
        <w:gridCol w:w="943"/>
        <w:gridCol w:w="152"/>
        <w:gridCol w:w="133"/>
        <w:gridCol w:w="210"/>
        <w:gridCol w:w="1019"/>
        <w:gridCol w:w="192"/>
        <w:gridCol w:w="133"/>
        <w:gridCol w:w="166"/>
        <w:gridCol w:w="943"/>
        <w:gridCol w:w="80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0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24" w:type="dxa"/>
            <w:tcBorders/>
            <w:shd w:fill="auto" w:val="clear"/>
            <w:vAlign w:val="center"/>
          </w:tcPr>
          <w:p>
            <w:pPr>
              <w:pStyle w:val="TableContents"/>
              <w:spacing w:before="0" w:after="0"/>
              <w:ind w:left="0" w:right="0" w:firstLine="30"/>
              <w:jc w:val="left"/>
              <w:rPr/>
            </w:pPr>
            <w:r>
              <w:rPr/>
              <w:t> </w:t>
            </w:r>
          </w:p>
        </w:tc>
        <w:tc>
          <w:tcPr>
            <w:tcW w:w="6181"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2012</w:t>
            </w:r>
          </w:p>
        </w:tc>
      </w:tr>
      <w:tr>
        <w:trPr/>
        <w:tc>
          <w:tcPr>
            <w:tcW w:w="4024" w:type="dxa"/>
            <w:tcBorders/>
            <w:shd w:fill="auto" w:val="clear"/>
            <w:vAlign w:val="center"/>
          </w:tcPr>
          <w:p>
            <w:pPr>
              <w:pStyle w:val="TableContents"/>
              <w:spacing w:before="0" w:after="0"/>
              <w:ind w:left="0" w:right="0" w:firstLine="30"/>
              <w:rPr/>
            </w:pPr>
            <w:r>
              <w:rPr/>
              <w:t>  </w:t>
            </w:r>
          </w:p>
        </w:tc>
        <w:tc>
          <w:tcPr>
            <w:tcW w:w="118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4024" w:type="dxa"/>
            <w:tcBorders/>
            <w:shd w:fill="auto" w:val="clear"/>
            <w:vAlign w:val="center"/>
          </w:tcPr>
          <w:p>
            <w:pPr>
              <w:pStyle w:val="TableContents"/>
              <w:spacing w:before="0" w:after="0"/>
              <w:ind w:left="0" w:right="0" w:firstLine="30"/>
              <w:jc w:val="left"/>
              <w:rPr/>
            </w:pPr>
            <w:r>
              <w:rPr/>
              <w:t> </w:t>
            </w:r>
          </w:p>
        </w:tc>
        <w:tc>
          <w:tcPr>
            <w:tcW w:w="618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915" w:type="dxa"/>
            <w:gridSpan w:val="3"/>
            <w:tcBorders/>
            <w:shd w:fill="CCEEFF" w:val="clear"/>
            <w:vAlign w:val="center"/>
          </w:tcPr>
          <w:p>
            <w:pPr>
              <w:pStyle w:val="TableContents"/>
              <w:spacing w:before="0" w:after="0"/>
              <w:ind w:left="0" w:right="0" w:firstLine="420"/>
              <w:rPr/>
            </w:pPr>
            <w:r>
              <w:rPr/>
              <w:t> </w:t>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65,221</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10,065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21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9" w:type="dxa"/>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auto" w:val="clear"/>
            <w:vAlign w:val="center"/>
          </w:tcPr>
          <w:p>
            <w:pPr>
              <w:pStyle w:val="TableContents"/>
              <w:spacing w:before="0" w:after="0"/>
              <w:jc w:val="right"/>
              <w:rPr>
                <w:rFonts w:ascii="inherit" w:hAnsi="inherit"/>
                <w:sz w:val="17"/>
              </w:rPr>
            </w:pPr>
            <w:r>
              <w:rPr>
                <w:rFonts w:ascii="inherit" w:hAnsi="inherit"/>
                <w:sz w:val="17"/>
              </w:rPr>
              <w:t>75,286</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37,298</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3,232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40,530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49,969</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5,687</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55,656</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37,492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10,381</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3,880</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51,753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643</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547</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1,348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190,623</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29,912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224,573</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38,174</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5,668</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43,842</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24,337</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2,779</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27,116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8,806</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632</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10,689</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revenues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119,306</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20,833</w:t>
            </w:r>
          </w:p>
        </w:tc>
        <w:tc>
          <w:tcPr>
            <w:tcW w:w="15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2,787</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142,926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shd w:fill="auto" w:val="clear"/>
            <w:vAlign w:val="center"/>
          </w:tcPr>
          <w:p>
            <w:pPr>
              <w:pStyle w:val="TableContents"/>
              <w:spacing w:before="0" w:after="0"/>
              <w:ind w:left="0" w:right="0" w:firstLine="420"/>
              <w:rPr/>
            </w:pPr>
            <w:r>
              <w:rPr/>
              <w:t> </w:t>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70,666</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11,722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2,812</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85,200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3,608</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1,942</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5,644</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(gain) on sale or disposal of assets</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(income), net</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0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expense (income)</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497</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w:t>
            </w:r>
          </w:p>
        </w:tc>
        <w:tc>
          <w:tcPr>
            <w:tcW w:w="19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44,426</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7,164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21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9" w:type="dxa"/>
            <w:tcBorders/>
            <w:shd w:fill="CCEEFF" w:val="clear"/>
            <w:vAlign w:val="center"/>
          </w:tcPr>
          <w:p>
            <w:pPr>
              <w:pStyle w:val="TableContents"/>
              <w:spacing w:before="0" w:after="0"/>
              <w:jc w:val="right"/>
              <w:rPr>
                <w:rFonts w:ascii="inherit" w:hAnsi="inherit"/>
                <w:sz w:val="17"/>
              </w:rPr>
            </w:pPr>
            <w:r>
              <w:rPr>
                <w:rFonts w:ascii="inherit" w:hAnsi="inherit"/>
                <w:sz w:val="17"/>
              </w:rPr>
              <w:t>4,297</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shd w:fill="CCEEFF" w:val="clear"/>
            <w:vAlign w:val="center"/>
          </w:tcPr>
          <w:p>
            <w:pPr>
              <w:pStyle w:val="TableContents"/>
              <w:spacing w:before="0" w:after="0"/>
              <w:jc w:val="right"/>
              <w:rPr>
                <w:rFonts w:ascii="inherit" w:hAnsi="inherit"/>
                <w:sz w:val="17"/>
              </w:rPr>
            </w:pPr>
            <w:r>
              <w:rPr>
                <w:rFonts w:ascii="inherit" w:hAnsi="inherit"/>
                <w:sz w:val="17"/>
              </w:rPr>
              <w:t>55,887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915" w:type="dxa"/>
            <w:gridSpan w:val="3"/>
            <w:tcBorders/>
            <w:shd w:fill="auto" w:val="clear"/>
            <w:vAlign w:val="center"/>
          </w:tcPr>
          <w:p>
            <w:pPr>
              <w:pStyle w:val="TableContents"/>
              <w:spacing w:before="0" w:after="0"/>
              <w:ind w:left="0" w:right="0" w:firstLine="420"/>
              <w:rPr/>
            </w:pPr>
            <w:r>
              <w:rPr/>
              <w:t> </w:t>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9,857</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1,375</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income taxes</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43,677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12,718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30,959</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29,711</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redeemable noncontrolling interest</w:t>
            </w:r>
          </w:p>
        </w:tc>
        <w:tc>
          <w:tcPr>
            <w:tcW w:w="1185"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1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185"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6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1"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80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67"/>
        <w:gridCol w:w="163"/>
        <w:gridCol w:w="1021"/>
        <w:gridCol w:w="149"/>
        <w:gridCol w:w="130"/>
        <w:gridCol w:w="163"/>
        <w:gridCol w:w="922"/>
        <w:gridCol w:w="149"/>
        <w:gridCol w:w="130"/>
        <w:gridCol w:w="187"/>
        <w:gridCol w:w="1036"/>
        <w:gridCol w:w="172"/>
        <w:gridCol w:w="130"/>
        <w:gridCol w:w="163"/>
        <w:gridCol w:w="1021"/>
        <w:gridCol w:w="80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86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67" w:type="dxa"/>
            <w:tcBorders/>
            <w:shd w:fill="auto" w:val="clear"/>
            <w:vAlign w:val="center"/>
          </w:tcPr>
          <w:p>
            <w:pPr>
              <w:pStyle w:val="TableContents"/>
              <w:spacing w:before="0" w:after="0"/>
              <w:ind w:left="0" w:right="0" w:firstLine="30"/>
              <w:jc w:val="left"/>
              <w:rPr/>
            </w:pPr>
            <w:r>
              <w:rPr/>
              <w:t> </w:t>
            </w:r>
          </w:p>
        </w:tc>
        <w:tc>
          <w:tcPr>
            <w:tcW w:w="633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2013</w:t>
            </w:r>
          </w:p>
        </w:tc>
      </w:tr>
      <w:tr>
        <w:trPr/>
        <w:tc>
          <w:tcPr>
            <w:tcW w:w="3867" w:type="dxa"/>
            <w:tcBorders/>
            <w:shd w:fill="auto" w:val="clear"/>
            <w:vAlign w:val="center"/>
          </w:tcPr>
          <w:p>
            <w:pPr>
              <w:pStyle w:val="TableContents"/>
              <w:spacing w:before="0" w:after="0"/>
              <w:ind w:left="0" w:right="0" w:firstLine="30"/>
              <w:rPr/>
            </w:pPr>
            <w:r>
              <w:rPr/>
              <w:t>  </w:t>
            </w:r>
          </w:p>
        </w:tc>
        <w:tc>
          <w:tcPr>
            <w:tcW w:w="133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0" w:type="dxa"/>
            <w:tcBorders/>
            <w:shd w:fill="auto" w:val="clear"/>
            <w:vAlign w:val="center"/>
          </w:tcPr>
          <w:p>
            <w:pPr>
              <w:pStyle w:val="TableContents"/>
              <w:spacing w:before="0" w:after="0"/>
              <w:ind w:left="0" w:right="0" w:firstLine="30"/>
              <w:rPr/>
            </w:pPr>
            <w:r>
              <w:rPr/>
              <w:t> </w:t>
            </w:r>
          </w:p>
        </w:tc>
        <w:tc>
          <w:tcPr>
            <w:tcW w:w="19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867" w:type="dxa"/>
            <w:tcBorders/>
            <w:shd w:fill="auto" w:val="clear"/>
            <w:vAlign w:val="center"/>
          </w:tcPr>
          <w:p>
            <w:pPr>
              <w:pStyle w:val="TableContents"/>
              <w:spacing w:before="0" w:after="0"/>
              <w:ind w:left="0" w:right="0" w:firstLine="30"/>
              <w:jc w:val="left"/>
              <w:rPr/>
            </w:pPr>
            <w:r>
              <w:rPr/>
              <w:t> </w:t>
            </w:r>
          </w:p>
        </w:tc>
        <w:tc>
          <w:tcPr>
            <w:tcW w:w="633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986" w:type="dxa"/>
            <w:gridSpan w:val="3"/>
            <w:tcBorders/>
            <w:shd w:fill="CCEEFF" w:val="clear"/>
            <w:vAlign w:val="center"/>
          </w:tcPr>
          <w:p>
            <w:pPr>
              <w:pStyle w:val="TableContents"/>
              <w:spacing w:before="0" w:after="0"/>
              <w:ind w:left="0" w:right="0" w:firstLine="420"/>
              <w:rPr/>
            </w:pPr>
            <w:r>
              <w:rPr/>
              <w:t> </w:t>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237,577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auto" w:val="clear"/>
            <w:vAlign w:val="center"/>
          </w:tcPr>
          <w:p>
            <w:pPr>
              <w:pStyle w:val="TableContents"/>
              <w:spacing w:before="0" w:after="0"/>
              <w:jc w:val="right"/>
              <w:rPr>
                <w:rFonts w:ascii="inherit" w:hAnsi="inherit"/>
                <w:sz w:val="17"/>
              </w:rPr>
            </w:pPr>
            <w:r>
              <w:rPr>
                <w:rFonts w:ascii="inherit" w:hAnsi="inherit"/>
                <w:sz w:val="17"/>
              </w:rPr>
              <w:t>43,685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281,262</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108,777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4,802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113,579</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165,202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22,610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187,812</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126,873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36,583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19,663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183,119</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5,469</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2,880</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1,820</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10,169</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643,898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110,560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21,483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775,941</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138,936</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25,775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164,711</w:t>
            </w:r>
          </w:p>
        </w:tc>
        <w:tc>
          <w:tcPr>
            <w:tcW w:w="8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76,922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4,071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80,993</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27,363</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(1,024</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8,157</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34,496</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400,677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81,738</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13,326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495,741</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986" w:type="dxa"/>
            <w:gridSpan w:val="3"/>
            <w:tcBorders/>
            <w:shd w:fill="auto" w:val="clear"/>
            <w:vAlign w:val="center"/>
          </w:tcPr>
          <w:p>
            <w:pPr>
              <w:pStyle w:val="TableContents"/>
              <w:spacing w:before="0" w:after="0"/>
              <w:ind w:left="0" w:right="0" w:firstLine="420"/>
              <w:rPr/>
            </w:pPr>
            <w:r>
              <w:rPr/>
              <w:t> </w:t>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Operations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251,593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46,483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11,270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309,346</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13,395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5,067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18,799</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220</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(income), net</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8,205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8,211</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8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(13,491</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(13,491</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(238</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80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135,485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CCEEFF" w:val="clear"/>
            <w:vAlign w:val="center"/>
          </w:tcPr>
          <w:p>
            <w:pPr>
              <w:pStyle w:val="TableContents"/>
              <w:spacing w:before="0" w:after="0"/>
              <w:jc w:val="right"/>
              <w:rPr>
                <w:rFonts w:ascii="inherit" w:hAnsi="inherit"/>
                <w:sz w:val="17"/>
              </w:rPr>
            </w:pPr>
            <w:r>
              <w:rPr>
                <w:rFonts w:ascii="inherit" w:hAnsi="inherit"/>
                <w:sz w:val="17"/>
              </w:rPr>
              <w:t>22,203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15,280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172,968</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986" w:type="dxa"/>
            <w:gridSpan w:val="3"/>
            <w:tcBorders/>
            <w:shd w:fill="auto" w:val="clear"/>
            <w:vAlign w:val="center"/>
          </w:tcPr>
          <w:p>
            <w:pPr>
              <w:pStyle w:val="TableContents"/>
              <w:spacing w:before="0" w:after="0"/>
              <w:ind w:left="0" w:right="0" w:firstLine="420"/>
              <w:rPr/>
            </w:pPr>
            <w:r>
              <w:rPr/>
              <w:t> </w:t>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34,918</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5,830</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2,816</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taxes</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129,092</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42,084</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87,008</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(24,813</w:t>
            </w:r>
          </w:p>
        </w:tc>
        <w:tc>
          <w:tcPr>
            <w:tcW w:w="80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62,195</w:t>
            </w:r>
          </w:p>
        </w:tc>
        <w:tc>
          <w:tcPr>
            <w:tcW w:w="8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redeemable noncontrolling interest</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3,378</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58,817</w:t>
            </w:r>
          </w:p>
        </w:tc>
        <w:tc>
          <w:tcPr>
            <w:tcW w:w="80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67"/>
        <w:gridCol w:w="163"/>
        <w:gridCol w:w="1021"/>
        <w:gridCol w:w="149"/>
        <w:gridCol w:w="130"/>
        <w:gridCol w:w="163"/>
        <w:gridCol w:w="922"/>
        <w:gridCol w:w="149"/>
        <w:gridCol w:w="130"/>
        <w:gridCol w:w="187"/>
        <w:gridCol w:w="1036"/>
        <w:gridCol w:w="172"/>
        <w:gridCol w:w="130"/>
        <w:gridCol w:w="163"/>
        <w:gridCol w:w="1021"/>
        <w:gridCol w:w="80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86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67" w:type="dxa"/>
            <w:tcBorders/>
            <w:shd w:fill="auto" w:val="clear"/>
            <w:vAlign w:val="center"/>
          </w:tcPr>
          <w:p>
            <w:pPr>
              <w:pStyle w:val="TableContents"/>
              <w:spacing w:before="0" w:after="0"/>
              <w:ind w:left="0" w:right="0" w:firstLine="30"/>
              <w:jc w:val="left"/>
              <w:rPr/>
            </w:pPr>
            <w:r>
              <w:rPr/>
              <w:t> </w:t>
            </w:r>
          </w:p>
        </w:tc>
        <w:tc>
          <w:tcPr>
            <w:tcW w:w="633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3867" w:type="dxa"/>
            <w:tcBorders/>
            <w:shd w:fill="auto" w:val="clear"/>
            <w:vAlign w:val="center"/>
          </w:tcPr>
          <w:p>
            <w:pPr>
              <w:pStyle w:val="TableContents"/>
              <w:spacing w:before="0" w:after="0"/>
              <w:ind w:left="0" w:right="0" w:firstLine="30"/>
              <w:rPr/>
            </w:pPr>
            <w:r>
              <w:rPr/>
              <w:t>  </w:t>
            </w:r>
          </w:p>
        </w:tc>
        <w:tc>
          <w:tcPr>
            <w:tcW w:w="133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0" w:type="dxa"/>
            <w:tcBorders/>
            <w:shd w:fill="auto" w:val="clear"/>
            <w:vAlign w:val="center"/>
          </w:tcPr>
          <w:p>
            <w:pPr>
              <w:pStyle w:val="TableContents"/>
              <w:spacing w:before="0" w:after="0"/>
              <w:ind w:left="0" w:right="0" w:firstLine="30"/>
              <w:rPr/>
            </w:pPr>
            <w:r>
              <w:rPr/>
              <w:t> </w:t>
            </w:r>
          </w:p>
        </w:tc>
        <w:tc>
          <w:tcPr>
            <w:tcW w:w="19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867" w:type="dxa"/>
            <w:tcBorders/>
            <w:shd w:fill="auto" w:val="clear"/>
            <w:vAlign w:val="center"/>
          </w:tcPr>
          <w:p>
            <w:pPr>
              <w:pStyle w:val="TableContents"/>
              <w:spacing w:before="0" w:after="0"/>
              <w:ind w:left="0" w:right="0" w:firstLine="30"/>
              <w:jc w:val="left"/>
              <w:rPr/>
            </w:pPr>
            <w:r>
              <w:rPr/>
              <w:t> </w:t>
            </w:r>
          </w:p>
        </w:tc>
        <w:tc>
          <w:tcPr>
            <w:tcW w:w="633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986" w:type="dxa"/>
            <w:gridSpan w:val="3"/>
            <w:tcBorders/>
            <w:shd w:fill="CCEEFF" w:val="clear"/>
            <w:vAlign w:val="center"/>
          </w:tcPr>
          <w:p>
            <w:pPr>
              <w:pStyle w:val="TableContents"/>
              <w:spacing w:before="0" w:after="0"/>
              <w:ind w:left="0" w:right="0" w:firstLine="420"/>
              <w:rPr/>
            </w:pPr>
            <w:r>
              <w:rPr/>
              <w:t> </w:t>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226,507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auto" w:val="clear"/>
            <w:vAlign w:val="center"/>
          </w:tcPr>
          <w:p>
            <w:pPr>
              <w:pStyle w:val="TableContents"/>
              <w:spacing w:before="0" w:after="0"/>
              <w:jc w:val="right"/>
              <w:rPr>
                <w:rFonts w:ascii="inherit" w:hAnsi="inherit"/>
                <w:sz w:val="17"/>
              </w:rPr>
            </w:pPr>
            <w:r>
              <w:rPr>
                <w:rFonts w:ascii="inherit" w:hAnsi="inherit"/>
                <w:sz w:val="17"/>
              </w:rPr>
              <w:t>29,764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256,271</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139,252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7,814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147,066</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154,823</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16,057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170,880</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121,744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17,764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4,086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143,594</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2,430</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763</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3,351</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644,756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72,162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4,244</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721,162</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131,682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15,939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147,621</w:t>
            </w:r>
          </w:p>
        </w:tc>
        <w:tc>
          <w:tcPr>
            <w:tcW w:w="8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86,848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5,959</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92,807</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24,663</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1,140</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1,466</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27,269</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revenues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401,563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49,124</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453,465</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986" w:type="dxa"/>
            <w:gridSpan w:val="3"/>
            <w:tcBorders/>
            <w:shd w:fill="auto" w:val="clear"/>
            <w:vAlign w:val="center"/>
          </w:tcPr>
          <w:p>
            <w:pPr>
              <w:pStyle w:val="TableContents"/>
              <w:spacing w:before="0" w:after="0"/>
              <w:ind w:left="0" w:right="0" w:firstLine="420"/>
              <w:rPr/>
            </w:pPr>
            <w:r>
              <w:rPr/>
              <w:t> </w:t>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216,653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3,580</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248,014</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9,862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14,899</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loss on sale or disposal of assets</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(income), net</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1,774</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8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expense (income)</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346</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80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174,795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CCEEFF" w:val="clear"/>
            <w:vAlign w:val="center"/>
          </w:tcPr>
          <w:p>
            <w:pPr>
              <w:pStyle w:val="TableContents"/>
              <w:spacing w:before="0" w:after="0"/>
              <w:jc w:val="right"/>
              <w:rPr>
                <w:rFonts w:ascii="inherit" w:hAnsi="inherit"/>
                <w:sz w:val="17"/>
              </w:rPr>
            </w:pPr>
            <w:r>
              <w:rPr>
                <w:rFonts w:ascii="inherit" w:hAnsi="inherit"/>
                <w:sz w:val="17"/>
              </w:rPr>
              <w:t>14,681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12,286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CCEEFF" w:val="clear"/>
            <w:vAlign w:val="center"/>
          </w:tcPr>
          <w:p>
            <w:pPr>
              <w:pStyle w:val="TableContents"/>
              <w:spacing w:before="0" w:after="0"/>
              <w:jc w:val="right"/>
              <w:rPr>
                <w:rFonts w:ascii="inherit" w:hAnsi="inherit"/>
                <w:sz w:val="17"/>
              </w:rPr>
            </w:pPr>
            <w:r>
              <w:rPr>
                <w:rFonts w:ascii="inherit" w:hAnsi="inherit"/>
                <w:sz w:val="17"/>
              </w:rPr>
              <w:t>201,762</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986" w:type="dxa"/>
            <w:gridSpan w:val="3"/>
            <w:tcBorders/>
            <w:shd w:fill="auto" w:val="clear"/>
            <w:vAlign w:val="center"/>
          </w:tcPr>
          <w:p>
            <w:pPr>
              <w:pStyle w:val="TableContents"/>
              <w:spacing w:before="0" w:after="0"/>
              <w:ind w:left="0" w:right="0" w:firstLine="420"/>
              <w:rPr/>
            </w:pPr>
            <w:r>
              <w:rPr/>
              <w:t> </w:t>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33,509</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4,066</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1,920</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taxes</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162,267</w:t>
            </w:r>
          </w:p>
        </w:tc>
        <w:tc>
          <w:tcPr>
            <w:tcW w:w="80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52,664</w:t>
            </w:r>
          </w:p>
        </w:tc>
        <w:tc>
          <w:tcPr>
            <w:tcW w:w="8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109,603</w:t>
            </w:r>
          </w:p>
        </w:tc>
        <w:tc>
          <w:tcPr>
            <w:tcW w:w="8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 net of tax</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(3,167</w:t>
            </w:r>
          </w:p>
        </w:tc>
        <w:tc>
          <w:tcPr>
            <w:tcW w:w="80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106,436</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redeemable noncontrolling interest</w:t>
            </w:r>
          </w:p>
        </w:tc>
        <w:tc>
          <w:tcPr>
            <w:tcW w:w="1333"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9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8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333"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9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80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The following table presents separately identified segment assets:</w:t>
      </w:r>
      <w:r>
        <w:rPr>
          <w:sz w:val="17"/>
        </w:rPr>
        <w:t> </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3320"/>
        <w:gridCol w:w="165"/>
        <w:gridCol w:w="1130"/>
        <w:gridCol w:w="75"/>
        <w:gridCol w:w="132"/>
        <w:gridCol w:w="165"/>
        <w:gridCol w:w="1130"/>
        <w:gridCol w:w="75"/>
        <w:gridCol w:w="132"/>
        <w:gridCol w:w="204"/>
        <w:gridCol w:w="1217"/>
        <w:gridCol w:w="87"/>
        <w:gridCol w:w="132"/>
        <w:gridCol w:w="165"/>
        <w:gridCol w:w="1272"/>
        <w:gridCol w:w="80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32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20" w:type="dxa"/>
            <w:tcBorders/>
            <w:shd w:fill="auto" w:val="clear"/>
            <w:vAlign w:val="center"/>
          </w:tcPr>
          <w:p>
            <w:pPr>
              <w:pStyle w:val="TableContents"/>
              <w:spacing w:before="0" w:after="0"/>
              <w:ind w:left="0" w:right="0" w:firstLine="30"/>
              <w:rPr/>
            </w:pPr>
            <w:r>
              <w:rPr/>
              <w:t> </w:t>
            </w:r>
          </w:p>
        </w:tc>
        <w:tc>
          <w:tcPr>
            <w:tcW w:w="137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7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0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2" w:type="dxa"/>
            <w:tcBorders>
              <w:bottom w:val="single" w:sz="2" w:space="0" w:color="000000"/>
            </w:tcBorders>
            <w:shd w:fill="auto" w:val="clear"/>
            <w:tcMar>
              <w:bottom w:w="30" w:type="dxa"/>
            </w:tcMar>
            <w:vAlign w:val="center"/>
          </w:tcPr>
          <w:p>
            <w:pPr>
              <w:pStyle w:val="TableContents"/>
              <w:spacing w:before="0" w:after="0"/>
              <w:rPr/>
            </w:pPr>
            <w:r>
              <w:rPr/>
              <w:t> </w:t>
            </w:r>
          </w:p>
        </w:tc>
        <w:tc>
          <w:tcPr>
            <w:tcW w:w="22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320" w:type="dxa"/>
            <w:tcBorders/>
            <w:shd w:fill="auto" w:val="clear"/>
            <w:vAlign w:val="center"/>
          </w:tcPr>
          <w:p>
            <w:pPr>
              <w:pStyle w:val="TableContents"/>
              <w:spacing w:before="0" w:after="0"/>
              <w:ind w:left="0" w:right="0" w:firstLine="30"/>
              <w:jc w:val="left"/>
              <w:rPr/>
            </w:pPr>
            <w:r>
              <w:rPr/>
              <w:t> </w:t>
            </w:r>
          </w:p>
        </w:tc>
        <w:tc>
          <w:tcPr>
            <w:tcW w:w="688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20"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June 30, 2013</w:t>
            </w:r>
          </w:p>
        </w:tc>
        <w:tc>
          <w:tcPr>
            <w:tcW w:w="137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08"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241" w:type="dxa"/>
            <w:gridSpan w:val="3"/>
            <w:tcBorders/>
            <w:shd w:fill="CCEEFF" w:val="clear"/>
            <w:vAlign w:val="center"/>
          </w:tcPr>
          <w:p>
            <w:pPr>
              <w:pStyle w:val="TableContents"/>
              <w:spacing w:before="0" w:after="0"/>
              <w:ind w:left="0" w:right="0" w:firstLine="420"/>
              <w:rPr/>
            </w:pPr>
            <w:r>
              <w:rPr/>
              <w:t> </w:t>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rFonts w:ascii="inherit" w:hAnsi="inherit"/>
                <w:sz w:val="17"/>
              </w:rPr>
            </w:pPr>
            <w:r>
              <w:rPr>
                <w:rFonts w:ascii="inherit" w:hAnsi="inherit"/>
                <w:sz w:val="17"/>
              </w:rPr>
              <w:t>11,245</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rFonts w:ascii="inherit" w:hAnsi="inherit"/>
                <w:sz w:val="17"/>
              </w:rPr>
            </w:pPr>
            <w:r>
              <w:rPr>
                <w:rFonts w:ascii="inherit" w:hAnsi="inherit"/>
                <w:sz w:val="17"/>
              </w:rPr>
              <w:t>29,494</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auto" w:val="clear"/>
            <w:vAlign w:val="center"/>
          </w:tcPr>
          <w:p>
            <w:pPr>
              <w:pStyle w:val="TableContents"/>
              <w:spacing w:before="0" w:after="0"/>
              <w:jc w:val="right"/>
              <w:rPr>
                <w:rFonts w:ascii="inherit" w:hAnsi="inherit"/>
                <w:sz w:val="17"/>
              </w:rPr>
            </w:pPr>
            <w:r>
              <w:rPr>
                <w:rFonts w:ascii="inherit" w:hAnsi="inherit"/>
                <w:sz w:val="17"/>
              </w:rPr>
              <w:t>2,434</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auto" w:val="clear"/>
            <w:vAlign w:val="center"/>
          </w:tcPr>
          <w:p>
            <w:pPr>
              <w:pStyle w:val="TableContents"/>
              <w:spacing w:before="0" w:after="0"/>
              <w:jc w:val="right"/>
              <w:rPr>
                <w:rFonts w:ascii="inherit" w:hAnsi="inherit"/>
                <w:sz w:val="17"/>
              </w:rPr>
            </w:pPr>
            <w:r>
              <w:rPr>
                <w:rFonts w:ascii="inherit" w:hAnsi="inherit"/>
                <w:sz w:val="17"/>
              </w:rPr>
              <w:t>43,173</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295"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3,132</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3,132</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137,237</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16,858</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154,095</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22,155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98,224</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4,969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125,348</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33,974</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28,535</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1,691</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64,200</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102,411</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20,092</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122,503</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64,356</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27,669</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93,532</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Restricted cash, non-current</w:t>
            </w:r>
          </w:p>
        </w:tc>
        <w:tc>
          <w:tcPr>
            <w:tcW w:w="1295"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2,182</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2,182</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Goodwill</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277,308</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111,237</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37,603</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426,148</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28,027</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20,067</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2,704</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50,798</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676,713</w:t>
            </w:r>
          </w:p>
        </w:tc>
        <w:tc>
          <w:tcPr>
            <w:tcW w:w="7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357,490</w:t>
            </w:r>
          </w:p>
        </w:tc>
        <w:tc>
          <w:tcPr>
            <w:tcW w:w="7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50,908</w:t>
            </w:r>
          </w:p>
        </w:tc>
        <w:tc>
          <w:tcPr>
            <w:tcW w:w="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1,085,111</w:t>
            </w:r>
          </w:p>
        </w:tc>
        <w:tc>
          <w:tcPr>
            <w:tcW w:w="804" w:type="dxa"/>
            <w:tcBorders>
              <w:bottom w:val="double" w:sz="6"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25,302</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CCEEFF" w:val="clear"/>
            <w:vAlign w:val="center"/>
          </w:tcPr>
          <w:p>
            <w:pPr>
              <w:pStyle w:val="TableContents"/>
              <w:spacing w:before="0" w:after="0"/>
              <w:jc w:val="right"/>
              <w:rPr>
                <w:rFonts w:ascii="inherit" w:hAnsi="inherit"/>
                <w:sz w:val="17"/>
              </w:rPr>
            </w:pPr>
            <w:r>
              <w:rPr>
                <w:rFonts w:ascii="inherit" w:hAnsi="inherit"/>
                <w:sz w:val="17"/>
              </w:rPr>
              <w:t>25,302</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June 30, 2012</w:t>
            </w:r>
          </w:p>
        </w:tc>
        <w:tc>
          <w:tcPr>
            <w:tcW w:w="137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241" w:type="dxa"/>
            <w:gridSpan w:val="3"/>
            <w:tcBorders/>
            <w:shd w:fill="auto" w:val="clear"/>
            <w:vAlign w:val="center"/>
          </w:tcPr>
          <w:p>
            <w:pPr>
              <w:pStyle w:val="TableContents"/>
              <w:spacing w:before="0" w:after="0"/>
              <w:ind w:left="0" w:right="0" w:firstLine="420"/>
              <w:rPr/>
            </w:pPr>
            <w:r>
              <w:rPr/>
              <w:t> </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18,789</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15,963</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CCEEFF" w:val="clear"/>
            <w:vAlign w:val="center"/>
          </w:tcPr>
          <w:p>
            <w:pPr>
              <w:pStyle w:val="TableContents"/>
              <w:spacing w:before="0" w:after="0"/>
              <w:jc w:val="right"/>
              <w:rPr>
                <w:rFonts w:ascii="inherit" w:hAnsi="inherit"/>
                <w:sz w:val="17"/>
              </w:rPr>
            </w:pPr>
            <w:r>
              <w:rPr>
                <w:rFonts w:ascii="inherit" w:hAnsi="inherit"/>
                <w:sz w:val="17"/>
              </w:rPr>
              <w:t>1,638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CCEEFF" w:val="clear"/>
            <w:vAlign w:val="center"/>
          </w:tcPr>
          <w:p>
            <w:pPr>
              <w:pStyle w:val="TableContents"/>
              <w:spacing w:before="0" w:after="0"/>
              <w:jc w:val="right"/>
              <w:rPr>
                <w:rFonts w:ascii="inherit" w:hAnsi="inherit"/>
                <w:sz w:val="17"/>
              </w:rPr>
            </w:pPr>
            <w:r>
              <w:rPr>
                <w:rFonts w:ascii="inherit" w:hAnsi="inherit"/>
                <w:sz w:val="17"/>
              </w:rPr>
              <w:t>36,390</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Restricted cash</w:t>
            </w:r>
          </w:p>
        </w:tc>
        <w:tc>
          <w:tcPr>
            <w:tcW w:w="1295"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1,051</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1,051</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134,038</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13,439</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147,477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17,247</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64,158</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1,838</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83,243</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30,555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20,721</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545</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51,821</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82,631</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11,790</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94,421</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56,951</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20,164</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1,446</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78,561</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Goodwill</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221,646</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106,043</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38,597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366,286</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17,555</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15,041</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2,872</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35,468</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579,412</w:t>
            </w:r>
          </w:p>
        </w:tc>
        <w:tc>
          <w:tcPr>
            <w:tcW w:w="7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268,370</w:t>
            </w:r>
          </w:p>
        </w:tc>
        <w:tc>
          <w:tcPr>
            <w:tcW w:w="7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46,936</w:t>
            </w:r>
          </w:p>
        </w:tc>
        <w:tc>
          <w:tcPr>
            <w:tcW w:w="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894,718</w:t>
            </w:r>
          </w:p>
        </w:tc>
        <w:tc>
          <w:tcPr>
            <w:tcW w:w="804" w:type="dxa"/>
            <w:tcBorders>
              <w:bottom w:val="double" w:sz="6"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5" w:type="dxa"/>
            <w:tcBorders>
              <w:top w:val="double" w:sz="6"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21,689</w:t>
            </w:r>
          </w:p>
        </w:tc>
        <w:tc>
          <w:tcPr>
            <w:tcW w:w="75"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CCEEFF" w:val="clear"/>
            <w:vAlign w:val="center"/>
          </w:tcPr>
          <w:p>
            <w:pPr>
              <w:pStyle w:val="TableContents"/>
              <w:spacing w:before="0" w:after="0"/>
              <w:jc w:val="right"/>
              <w:rPr>
                <w:rFonts w:ascii="inherit" w:hAnsi="inherit"/>
                <w:sz w:val="17"/>
              </w:rPr>
            </w:pPr>
            <w:r>
              <w:rPr>
                <w:rFonts w:ascii="inherit" w:hAnsi="inherit"/>
                <w:sz w:val="17"/>
              </w:rPr>
              <w:t>21,689</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September 30, 2012</w:t>
            </w:r>
          </w:p>
        </w:tc>
        <w:tc>
          <w:tcPr>
            <w:tcW w:w="137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241" w:type="dxa"/>
            <w:gridSpan w:val="3"/>
            <w:tcBorders/>
            <w:shd w:fill="auto" w:val="clear"/>
            <w:vAlign w:val="center"/>
          </w:tcPr>
          <w:p>
            <w:pPr>
              <w:pStyle w:val="TableContents"/>
              <w:spacing w:before="0" w:after="0"/>
              <w:ind w:left="0" w:right="0" w:firstLine="420"/>
              <w:rPr/>
            </w:pPr>
            <w:r>
              <w:rPr/>
              <w:t> </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14,820</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16,365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CCEEFF" w:val="clear"/>
            <w:vAlign w:val="center"/>
          </w:tcPr>
          <w:p>
            <w:pPr>
              <w:pStyle w:val="TableContents"/>
              <w:spacing w:before="0" w:after="0"/>
              <w:jc w:val="right"/>
              <w:rPr>
                <w:rFonts w:ascii="inherit" w:hAnsi="inherit"/>
                <w:sz w:val="17"/>
              </w:rPr>
            </w:pPr>
            <w:r>
              <w:rPr>
                <w:rFonts w:ascii="inherit" w:hAnsi="inherit"/>
                <w:sz w:val="17"/>
              </w:rPr>
              <w:t>1,789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CCEEFF" w:val="clear"/>
            <w:vAlign w:val="center"/>
          </w:tcPr>
          <w:p>
            <w:pPr>
              <w:pStyle w:val="TableContents"/>
              <w:spacing w:before="0" w:after="0"/>
              <w:jc w:val="right"/>
              <w:rPr>
                <w:rFonts w:ascii="inherit" w:hAnsi="inherit"/>
                <w:sz w:val="17"/>
              </w:rPr>
            </w:pPr>
            <w:r>
              <w:rPr>
                <w:rFonts w:ascii="inherit" w:hAnsi="inherit"/>
                <w:sz w:val="17"/>
              </w:rPr>
              <w:t>32,974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Restricted cash</w:t>
            </w:r>
          </w:p>
        </w:tc>
        <w:tc>
          <w:tcPr>
            <w:tcW w:w="1295"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140,885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16,763</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157,648</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18,960</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73,422</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96,149</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34,066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24,637</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1,114</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59,817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94,449</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14,765</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109,214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60,476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23,005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1,503</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84,984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Restricted cash, non-current</w:t>
            </w:r>
          </w:p>
        </w:tc>
        <w:tc>
          <w:tcPr>
            <w:tcW w:w="1295"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Goodwill</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224,306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110,401</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39,956</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374,663</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17,498</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21,867</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2,946</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42,311</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605,460</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306,707</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51,075</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963,242</w:t>
            </w:r>
          </w:p>
        </w:tc>
        <w:tc>
          <w:tcPr>
            <w:tcW w:w="804" w:type="dxa"/>
            <w:tcBorders>
              <w:bottom w:val="double" w:sz="6"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rFonts w:ascii="inherit" w:hAnsi="inherit"/>
                <w:sz w:val="17"/>
              </w:rPr>
            </w:pPr>
            <w:r>
              <w:rPr>
                <w:rFonts w:ascii="inherit" w:hAnsi="inherit"/>
                <w:sz w:val="17"/>
              </w:rPr>
              <w:t>23,636</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auto" w:val="clear"/>
            <w:vAlign w:val="center"/>
          </w:tcPr>
          <w:p>
            <w:pPr>
              <w:pStyle w:val="TableContents"/>
              <w:spacing w:before="0" w:after="0"/>
              <w:jc w:val="right"/>
              <w:rPr>
                <w:rFonts w:ascii="inherit" w:hAnsi="inherit"/>
                <w:sz w:val="17"/>
              </w:rPr>
            </w:pPr>
            <w:r>
              <w:rPr>
                <w:rFonts w:ascii="inherit" w:hAnsi="inherit"/>
                <w:sz w:val="17"/>
              </w:rPr>
              <w:t>23,636</w:t>
            </w:r>
          </w:p>
        </w:tc>
        <w:tc>
          <w:tcPr>
            <w:tcW w:w="80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 reconciles separately identified recorded segment assets, as shown above, to our consolidated total assets:</w:t>
      </w:r>
    </w:p>
    <w:tbl>
      <w:tblPr>
        <w:tblW w:w="10205" w:type="dxa"/>
        <w:jc w:val="left"/>
        <w:tblInd w:w="0" w:type="dxa"/>
        <w:tblCellMar>
          <w:top w:w="0" w:type="dxa"/>
          <w:left w:w="0" w:type="dxa"/>
          <w:bottom w:w="0" w:type="dxa"/>
          <w:right w:w="0" w:type="dxa"/>
        </w:tblCellMar>
      </w:tblPr>
      <w:tblGrid>
        <w:gridCol w:w="5704"/>
        <w:gridCol w:w="133"/>
        <w:gridCol w:w="1179"/>
        <w:gridCol w:w="97"/>
        <w:gridCol w:w="119"/>
        <w:gridCol w:w="133"/>
        <w:gridCol w:w="1179"/>
        <w:gridCol w:w="97"/>
        <w:gridCol w:w="119"/>
        <w:gridCol w:w="136"/>
        <w:gridCol w:w="1200"/>
        <w:gridCol w:w="10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70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04" w:type="dxa"/>
            <w:tcBorders/>
            <w:shd w:fill="auto" w:val="clear"/>
            <w:vAlign w:val="center"/>
          </w:tcPr>
          <w:p>
            <w:pPr>
              <w:pStyle w:val="TableContents"/>
              <w:spacing w:before="0" w:after="0"/>
              <w:ind w:left="0" w:right="0" w:firstLine="30"/>
              <w:jc w:val="left"/>
              <w:rPr/>
            </w:pPr>
            <w:r>
              <w:rPr/>
              <w:t> </w:t>
            </w:r>
          </w:p>
        </w:tc>
        <w:tc>
          <w:tcPr>
            <w:tcW w:w="293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119" w:type="dxa"/>
            <w:tcBorders/>
            <w:shd w:fill="auto" w:val="clear"/>
            <w:vAlign w:val="center"/>
          </w:tcPr>
          <w:p>
            <w:pPr>
              <w:pStyle w:val="TableContents"/>
              <w:spacing w:before="0" w:after="0"/>
              <w:ind w:left="0" w:right="0" w:firstLine="30"/>
              <w:rPr/>
            </w:pPr>
            <w:r>
              <w:rPr/>
              <w:t> </w:t>
            </w:r>
          </w:p>
        </w:tc>
        <w:tc>
          <w:tcPr>
            <w:tcW w:w="14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704" w:type="dxa"/>
            <w:tcBorders/>
            <w:shd w:fill="auto" w:val="clear"/>
            <w:vAlign w:val="center"/>
          </w:tcPr>
          <w:p>
            <w:pPr>
              <w:pStyle w:val="TableContents"/>
              <w:spacing w:before="0" w:after="0"/>
              <w:ind w:left="0" w:right="0" w:firstLine="30"/>
              <w:jc w:val="left"/>
              <w:rPr/>
            </w:pPr>
            <w:r>
              <w:rPr/>
              <w:t> </w:t>
            </w:r>
          </w:p>
        </w:tc>
        <w:tc>
          <w:tcPr>
            <w:tcW w:w="14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9" w:type="dxa"/>
            <w:tcBorders/>
            <w:shd w:fill="auto" w:val="clear"/>
            <w:vAlign w:val="center"/>
          </w:tcPr>
          <w:p>
            <w:pPr>
              <w:pStyle w:val="TableContents"/>
              <w:spacing w:before="0" w:after="0"/>
              <w:ind w:left="0" w:right="0" w:firstLine="30"/>
              <w:rPr/>
            </w:pPr>
            <w:r>
              <w:rPr/>
              <w:t> </w:t>
            </w:r>
          </w:p>
        </w:tc>
        <w:tc>
          <w:tcPr>
            <w:tcW w:w="14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9" w:type="dxa"/>
            <w:tcBorders/>
            <w:shd w:fill="auto" w:val="clear"/>
            <w:vAlign w:val="center"/>
          </w:tcPr>
          <w:p>
            <w:pPr>
              <w:pStyle w:val="TableContents"/>
              <w:spacing w:before="0" w:after="0"/>
              <w:ind w:left="0" w:right="0" w:firstLine="30"/>
              <w:rPr/>
            </w:pPr>
            <w:r>
              <w:rPr/>
              <w:t> </w:t>
            </w:r>
          </w:p>
        </w:tc>
        <w:tc>
          <w:tcPr>
            <w:tcW w:w="14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704" w:type="dxa"/>
            <w:tcBorders/>
            <w:shd w:fill="auto" w:val="clear"/>
            <w:vAlign w:val="center"/>
          </w:tcPr>
          <w:p>
            <w:pPr>
              <w:pStyle w:val="TableContents"/>
              <w:spacing w:before="0" w:after="0"/>
              <w:ind w:left="0" w:right="0" w:firstLine="30"/>
              <w:jc w:val="left"/>
              <w:rPr/>
            </w:pPr>
            <w:r>
              <w:rPr/>
              <w:t> </w:t>
            </w:r>
          </w:p>
        </w:tc>
        <w:tc>
          <w:tcPr>
            <w:tcW w:w="450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7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shd w:fill="CCEEFF" w:val="clear"/>
            <w:vAlign w:val="center"/>
          </w:tcPr>
          <w:p>
            <w:pPr>
              <w:pStyle w:val="TableContents"/>
              <w:spacing w:before="0" w:after="0"/>
              <w:jc w:val="right"/>
              <w:rPr>
                <w:rFonts w:ascii="inherit" w:hAnsi="inherit"/>
                <w:sz w:val="17"/>
              </w:rPr>
            </w:pPr>
            <w:r>
              <w:rPr>
                <w:rFonts w:ascii="inherit" w:hAnsi="inherit"/>
                <w:sz w:val="17"/>
              </w:rPr>
              <w:t>1,085,111</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shd w:fill="CCEEFF" w:val="clear"/>
            <w:vAlign w:val="center"/>
          </w:tcPr>
          <w:p>
            <w:pPr>
              <w:pStyle w:val="TableContents"/>
              <w:spacing w:before="0" w:after="0"/>
              <w:jc w:val="right"/>
              <w:rPr>
                <w:rFonts w:ascii="inherit" w:hAnsi="inherit"/>
                <w:sz w:val="17"/>
              </w:rPr>
            </w:pPr>
            <w:r>
              <w:rPr>
                <w:rFonts w:ascii="inherit" w:hAnsi="inherit"/>
                <w:sz w:val="17"/>
              </w:rPr>
              <w:t>894,718</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shd w:fill="CCEEFF" w:val="clear"/>
            <w:vAlign w:val="center"/>
          </w:tcPr>
          <w:p>
            <w:pPr>
              <w:pStyle w:val="TableContents"/>
              <w:spacing w:before="0" w:after="0"/>
              <w:jc w:val="right"/>
              <w:rPr>
                <w:rFonts w:ascii="inherit" w:hAnsi="inherit"/>
                <w:sz w:val="17"/>
              </w:rPr>
            </w:pPr>
            <w:r>
              <w:rPr>
                <w:rFonts w:ascii="inherit" w:hAnsi="inherit"/>
                <w:sz w:val="17"/>
              </w:rPr>
              <w:t>963,242</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assets</w:t>
            </w:r>
          </w:p>
        </w:tc>
        <w:tc>
          <w:tcPr>
            <w:tcW w:w="13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269,090</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241,057</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254,765</w:t>
            </w:r>
          </w:p>
        </w:tc>
        <w:tc>
          <w:tcPr>
            <w:tcW w:w="10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04" w:type="dxa"/>
            <w:tcBorders/>
            <w:shd w:fill="CCEEFF" w:val="clear"/>
            <w:vAlign w:val="center"/>
          </w:tcPr>
          <w:p>
            <w:pPr>
              <w:pStyle w:val="TableContents"/>
              <w:spacing w:before="0" w:after="0"/>
              <w:ind w:left="0" w:right="0" w:firstLine="30"/>
              <w:jc w:val="left"/>
              <w:rPr/>
            </w:pPr>
            <w:r>
              <w:rPr/>
              <w:t> </w:t>
            </w:r>
            <w:r>
              <w:rPr>
                <w:rFonts w:ascii="inherit" w:hAnsi="inherit"/>
                <w:sz w:val="17"/>
              </w:rPr>
              <w:t>Total assets</w:t>
            </w:r>
          </w:p>
        </w:tc>
        <w:tc>
          <w:tcPr>
            <w:tcW w:w="1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1,354,201</w:t>
            </w:r>
          </w:p>
        </w:tc>
        <w:tc>
          <w:tcPr>
            <w:tcW w:w="9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1,135,775</w:t>
            </w:r>
          </w:p>
        </w:tc>
        <w:tc>
          <w:tcPr>
            <w:tcW w:w="9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1,218,007</w:t>
            </w:r>
          </w:p>
        </w:tc>
        <w:tc>
          <w:tcPr>
            <w:tcW w:w="10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tables provide geographic information required by ASC 280-10-50-41:</w:t>
      </w:r>
    </w:p>
    <w:tbl>
      <w:tblPr>
        <w:tblW w:w="10205" w:type="dxa"/>
        <w:jc w:val="left"/>
        <w:tblInd w:w="0" w:type="dxa"/>
        <w:tblCellMar>
          <w:top w:w="0" w:type="dxa"/>
          <w:left w:w="0" w:type="dxa"/>
          <w:bottom w:w="0" w:type="dxa"/>
          <w:right w:w="0" w:type="dxa"/>
        </w:tblCellMar>
      </w:tblPr>
      <w:tblGrid>
        <w:gridCol w:w="4401"/>
        <w:gridCol w:w="153"/>
        <w:gridCol w:w="1098"/>
        <w:gridCol w:w="90"/>
        <w:gridCol w:w="130"/>
        <w:gridCol w:w="153"/>
        <w:gridCol w:w="1098"/>
        <w:gridCol w:w="90"/>
        <w:gridCol w:w="130"/>
        <w:gridCol w:w="153"/>
        <w:gridCol w:w="1028"/>
        <w:gridCol w:w="90"/>
        <w:gridCol w:w="130"/>
        <w:gridCol w:w="153"/>
        <w:gridCol w:w="1098"/>
        <w:gridCol w:w="210"/>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40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01" w:type="dxa"/>
            <w:tcBorders/>
            <w:shd w:fill="auto" w:val="clear"/>
            <w:vAlign w:val="center"/>
          </w:tcPr>
          <w:p>
            <w:pPr>
              <w:pStyle w:val="TableContents"/>
              <w:spacing w:before="0" w:after="0"/>
              <w:ind w:left="0" w:right="0" w:firstLine="30"/>
              <w:rPr/>
            </w:pPr>
            <w:r>
              <w:rPr/>
              <w:t> </w:t>
            </w:r>
          </w:p>
        </w:tc>
        <w:tc>
          <w:tcPr>
            <w:tcW w:w="281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86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4401" w:type="dxa"/>
            <w:tcBorders/>
            <w:shd w:fill="auto" w:val="clear"/>
            <w:vAlign w:val="center"/>
          </w:tcPr>
          <w:p>
            <w:pPr>
              <w:pStyle w:val="TableContents"/>
              <w:spacing w:before="0" w:after="0"/>
              <w:ind w:left="0" w:right="0" w:firstLine="30"/>
              <w:jc w:val="left"/>
              <w:rPr/>
            </w:pPr>
            <w:r>
              <w:rPr/>
              <w:t> </w:t>
            </w:r>
          </w:p>
        </w:tc>
        <w:tc>
          <w:tcPr>
            <w:tcW w:w="13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0" w:type="dxa"/>
            <w:tcBorders/>
            <w:shd w:fill="auto" w:val="clear"/>
            <w:vAlign w:val="center"/>
          </w:tcPr>
          <w:p>
            <w:pPr>
              <w:pStyle w:val="TableContents"/>
              <w:spacing w:before="0" w:after="0"/>
              <w:ind w:left="0" w:right="0" w:firstLine="30"/>
              <w:rPr/>
            </w:pPr>
            <w:r>
              <w:rPr/>
              <w:t> </w:t>
            </w:r>
          </w:p>
        </w:tc>
        <w:tc>
          <w:tcPr>
            <w:tcW w:w="13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0" w:type="dxa"/>
            <w:tcBorders/>
            <w:shd w:fill="auto" w:val="clear"/>
            <w:vAlign w:val="center"/>
          </w:tcPr>
          <w:p>
            <w:pPr>
              <w:pStyle w:val="TableContents"/>
              <w:spacing w:before="0" w:after="0"/>
              <w:ind w:left="0" w:right="0" w:firstLine="30"/>
              <w:rPr/>
            </w:pPr>
            <w:r>
              <w:rPr/>
              <w:t> </w:t>
            </w:r>
          </w:p>
        </w:tc>
        <w:tc>
          <w:tcPr>
            <w:tcW w:w="12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0" w:type="dxa"/>
            <w:tcBorders/>
            <w:shd w:fill="auto" w:val="clear"/>
            <w:vAlign w:val="center"/>
          </w:tcPr>
          <w:p>
            <w:pPr>
              <w:pStyle w:val="TableContents"/>
              <w:spacing w:before="0" w:after="0"/>
              <w:ind w:left="0" w:right="0" w:firstLine="30"/>
              <w:rPr/>
            </w:pPr>
            <w:r>
              <w:rPr/>
              <w:t> </w:t>
            </w:r>
          </w:p>
        </w:tc>
        <w:tc>
          <w:tcPr>
            <w:tcW w:w="14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401" w:type="dxa"/>
            <w:tcBorders/>
            <w:shd w:fill="auto" w:val="clear"/>
            <w:vAlign w:val="center"/>
          </w:tcPr>
          <w:p>
            <w:pPr>
              <w:pStyle w:val="TableContents"/>
              <w:spacing w:before="0" w:after="0"/>
              <w:ind w:left="0" w:right="0" w:firstLine="30"/>
              <w:jc w:val="left"/>
              <w:rPr/>
            </w:pPr>
            <w:r>
              <w:rPr/>
              <w:t> </w:t>
            </w:r>
          </w:p>
        </w:tc>
        <w:tc>
          <w:tcPr>
            <w:tcW w:w="580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4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41"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41"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61" w:type="dxa"/>
            <w:gridSpan w:val="3"/>
            <w:tcBorders/>
            <w:shd w:fill="CCEEFF" w:val="clear"/>
            <w:vAlign w:val="center"/>
          </w:tcPr>
          <w:p>
            <w:pPr>
              <w:pStyle w:val="TableContents"/>
              <w:spacing w:before="0" w:after="0"/>
              <w:ind w:left="0" w:right="0" w:firstLine="180"/>
              <w:rPr/>
            </w:pPr>
            <w:r>
              <w:rPr/>
              <w:t> </w:t>
            </w:r>
          </w:p>
        </w:tc>
      </w:tr>
      <w:tr>
        <w:trPr/>
        <w:tc>
          <w:tcPr>
            <w:tcW w:w="44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8" w:type="dxa"/>
            <w:tcBorders/>
            <w:shd w:fill="auto" w:val="clear"/>
            <w:vAlign w:val="center"/>
          </w:tcPr>
          <w:p>
            <w:pPr>
              <w:pStyle w:val="TableContents"/>
              <w:spacing w:before="0" w:after="0"/>
              <w:jc w:val="right"/>
              <w:rPr>
                <w:rFonts w:ascii="inherit" w:hAnsi="inherit"/>
                <w:sz w:val="17"/>
              </w:rPr>
            </w:pPr>
            <w:r>
              <w:rPr>
                <w:rFonts w:ascii="inherit" w:hAnsi="inherit"/>
                <w:sz w:val="17"/>
              </w:rPr>
              <w:t>188,524</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8" w:type="dxa"/>
            <w:tcBorders/>
            <w:shd w:fill="auto" w:val="clear"/>
            <w:vAlign w:val="center"/>
          </w:tcPr>
          <w:p>
            <w:pPr>
              <w:pStyle w:val="TableContents"/>
              <w:spacing w:before="0" w:after="0"/>
              <w:jc w:val="right"/>
              <w:rPr>
                <w:rFonts w:ascii="inherit" w:hAnsi="inherit"/>
                <w:sz w:val="17"/>
              </w:rPr>
            </w:pPr>
            <w:r>
              <w:rPr>
                <w:rFonts w:ascii="inherit" w:hAnsi="inherit"/>
                <w:sz w:val="17"/>
              </w:rPr>
              <w:t>187,746</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8" w:type="dxa"/>
            <w:tcBorders/>
            <w:shd w:fill="auto" w:val="clear"/>
            <w:vAlign w:val="center"/>
          </w:tcPr>
          <w:p>
            <w:pPr>
              <w:pStyle w:val="TableContents"/>
              <w:spacing w:before="0" w:after="0"/>
              <w:jc w:val="right"/>
              <w:rPr>
                <w:rFonts w:ascii="inherit" w:hAnsi="inherit"/>
                <w:sz w:val="17"/>
              </w:rPr>
            </w:pPr>
            <w:r>
              <w:rPr>
                <w:rFonts w:ascii="inherit" w:hAnsi="inherit"/>
                <w:sz w:val="17"/>
              </w:rPr>
              <w:t>634,900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8" w:type="dxa"/>
            <w:tcBorders/>
            <w:shd w:fill="auto" w:val="clear"/>
            <w:vAlign w:val="center"/>
          </w:tcPr>
          <w:p>
            <w:pPr>
              <w:pStyle w:val="TableContents"/>
              <w:spacing w:before="0" w:after="0"/>
              <w:jc w:val="right"/>
              <w:rPr>
                <w:rFonts w:ascii="inherit" w:hAnsi="inherit"/>
                <w:sz w:val="17"/>
              </w:rPr>
            </w:pPr>
            <w:r>
              <w:rPr>
                <w:rFonts w:ascii="inherit" w:hAnsi="inherit"/>
                <w:sz w:val="17"/>
              </w:rPr>
              <w:t>636,780</w:t>
            </w:r>
          </w:p>
        </w:tc>
        <w:tc>
          <w:tcPr>
            <w:tcW w:w="21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4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2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36,902</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29,912</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110,560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72,162</w:t>
            </w:r>
          </w:p>
        </w:tc>
        <w:tc>
          <w:tcPr>
            <w:tcW w:w="21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4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2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3,070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2,877</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8,998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7,976</w:t>
            </w:r>
          </w:p>
        </w:tc>
        <w:tc>
          <w:tcPr>
            <w:tcW w:w="21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4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2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6,670</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4,038</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21,483</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4,244</w:t>
            </w:r>
          </w:p>
        </w:tc>
        <w:tc>
          <w:tcPr>
            <w:tcW w:w="2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235,166</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224,573</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8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775,941</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721,162</w:t>
            </w:r>
          </w:p>
        </w:tc>
        <w:tc>
          <w:tcPr>
            <w:tcW w:w="21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366"/>
        <w:gridCol w:w="157"/>
        <w:gridCol w:w="1218"/>
        <w:gridCol w:w="96"/>
        <w:gridCol w:w="134"/>
        <w:gridCol w:w="157"/>
        <w:gridCol w:w="1218"/>
        <w:gridCol w:w="96"/>
        <w:gridCol w:w="134"/>
        <w:gridCol w:w="162"/>
        <w:gridCol w:w="1248"/>
        <w:gridCol w:w="21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6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66" w:type="dxa"/>
            <w:tcBorders/>
            <w:shd w:fill="auto" w:val="clear"/>
            <w:vAlign w:val="center"/>
          </w:tcPr>
          <w:p>
            <w:pPr>
              <w:pStyle w:val="TableContents"/>
              <w:spacing w:before="0" w:after="0"/>
              <w:ind w:left="0" w:right="0" w:firstLine="30"/>
              <w:jc w:val="left"/>
              <w:rPr/>
            </w:pPr>
            <w:r>
              <w:rPr/>
              <w:t> </w:t>
            </w:r>
          </w:p>
        </w:tc>
        <w:tc>
          <w:tcPr>
            <w:tcW w:w="307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134" w:type="dxa"/>
            <w:tcBorders/>
            <w:shd w:fill="auto" w:val="clear"/>
            <w:vAlign w:val="center"/>
          </w:tcPr>
          <w:p>
            <w:pPr>
              <w:pStyle w:val="TableContents"/>
              <w:spacing w:before="0" w:after="0"/>
              <w:ind w:left="0" w:right="0" w:firstLine="30"/>
              <w:rPr/>
            </w:pPr>
            <w:r>
              <w:rPr/>
              <w:t> </w:t>
            </w:r>
          </w:p>
        </w:tc>
        <w:tc>
          <w:tcPr>
            <w:tcW w:w="16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366" w:type="dxa"/>
            <w:tcBorders/>
            <w:shd w:fill="auto" w:val="clear"/>
            <w:vAlign w:val="center"/>
          </w:tcPr>
          <w:p>
            <w:pPr>
              <w:pStyle w:val="TableContents"/>
              <w:spacing w:before="0" w:after="0"/>
              <w:ind w:left="0" w:right="0" w:firstLine="30"/>
              <w:jc w:val="left"/>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4" w:type="dxa"/>
            <w:tcBorders/>
            <w:shd w:fill="auto" w:val="clear"/>
            <w:vAlign w:val="center"/>
          </w:tcPr>
          <w:p>
            <w:pPr>
              <w:pStyle w:val="TableContents"/>
              <w:spacing w:before="0" w:after="0"/>
              <w:ind w:left="0" w:right="0" w:firstLine="30"/>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4" w:type="dxa"/>
            <w:tcBorders/>
            <w:shd w:fill="auto" w:val="clear"/>
            <w:vAlign w:val="center"/>
          </w:tcPr>
          <w:p>
            <w:pPr>
              <w:pStyle w:val="TableContents"/>
              <w:spacing w:before="0" w:after="0"/>
              <w:ind w:left="0" w:right="0" w:firstLine="30"/>
              <w:rPr/>
            </w:pPr>
            <w:r>
              <w:rPr/>
              <w:t> </w:t>
            </w:r>
          </w:p>
        </w:tc>
        <w:tc>
          <w:tcPr>
            <w:tcW w:w="16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366" w:type="dxa"/>
            <w:tcBorders/>
            <w:shd w:fill="auto" w:val="clear"/>
            <w:vAlign w:val="center"/>
          </w:tcPr>
          <w:p>
            <w:pPr>
              <w:pStyle w:val="TableContents"/>
              <w:spacing w:before="0" w:after="0"/>
              <w:ind w:left="0" w:right="0" w:firstLine="30"/>
              <w:jc w:val="left"/>
              <w:rPr/>
            </w:pPr>
            <w:r>
              <w:rPr/>
              <w:t> </w:t>
            </w:r>
          </w:p>
        </w:tc>
        <w:tc>
          <w:tcPr>
            <w:tcW w:w="4839"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36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Long-lived assets:</w:t>
            </w:r>
          </w:p>
        </w:tc>
        <w:tc>
          <w:tcPr>
            <w:tcW w:w="1471"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471"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629" w:type="dxa"/>
            <w:gridSpan w:val="3"/>
            <w:tcBorders/>
            <w:shd w:fill="CCEEFF" w:val="clear"/>
            <w:vAlign w:val="center"/>
          </w:tcPr>
          <w:p>
            <w:pPr>
              <w:pStyle w:val="TableContents"/>
              <w:spacing w:before="0" w:after="0"/>
              <w:ind w:left="0" w:right="0" w:firstLine="180"/>
              <w:rPr/>
            </w:pPr>
            <w:r>
              <w:rPr/>
              <w:t> </w:t>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394,875</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309,223</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shd w:fill="auto" w:val="clear"/>
            <w:vAlign w:val="center"/>
          </w:tcPr>
          <w:p>
            <w:pPr>
              <w:pStyle w:val="TableContents"/>
              <w:spacing w:before="0" w:after="0"/>
              <w:jc w:val="right"/>
              <w:rPr>
                <w:rFonts w:ascii="inherit" w:hAnsi="inherit"/>
                <w:sz w:val="17"/>
              </w:rPr>
            </w:pPr>
            <w:r>
              <w:rPr>
                <w:rFonts w:ascii="inherit" w:hAnsi="inherit"/>
                <w:sz w:val="17"/>
              </w:rPr>
              <w:t>317,887</w:t>
            </w:r>
          </w:p>
        </w:tc>
        <w:tc>
          <w:tcPr>
            <w:tcW w:w="21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159,546</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141,423</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155,488</w:t>
            </w:r>
          </w:p>
        </w:tc>
        <w:tc>
          <w:tcPr>
            <w:tcW w:w="21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3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4,758</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10,133</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10,199</w:t>
            </w:r>
          </w:p>
        </w:tc>
        <w:tc>
          <w:tcPr>
            <w:tcW w:w="21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41,772</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42,873</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44,363</w:t>
            </w:r>
          </w:p>
        </w:tc>
        <w:tc>
          <w:tcPr>
            <w:tcW w:w="21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3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9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9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21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600,993</w:t>
            </w:r>
          </w:p>
        </w:tc>
        <w:tc>
          <w:tcPr>
            <w:tcW w:w="9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503,694</w:t>
            </w:r>
          </w:p>
        </w:tc>
        <w:tc>
          <w:tcPr>
            <w:tcW w:w="9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527,979</w:t>
            </w:r>
          </w:p>
        </w:tc>
        <w:tc>
          <w:tcPr>
            <w:tcW w:w="21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bookmarkStart w:id="25" w:name="sD2CC29C49A532B581D3ACD28FA6F8C8B"/>
      <w:bookmarkEnd w:id="25"/>
      <w:r>
        <w:rPr>
          <w:rFonts w:ascii="inherit" w:hAnsi="inherit"/>
          <w:b/>
          <w:strike w:val="false"/>
          <w:dstrike w:val="false"/>
          <w:color w:val="000000"/>
          <w:sz w:val="17"/>
          <w:u w:val="none"/>
          <w:effect w:val="none"/>
        </w:rPr>
        <w:t>NOTE 13: ALLOWANCE FOR LOSSES AND CREDIT QUALITY OF FINANCING RECEIVABLES</w:t>
      </w:r>
      <w:r>
        <w:rPr>
          <w:sz w:val="17"/>
        </w:rPr>
        <w:t xml:space="preserve"> </w:t>
      </w:r>
    </w:p>
    <w:p>
      <w:pPr>
        <w:pStyle w:val="TextBody"/>
        <w:spacing w:lineRule="auto" w:line="288" w:before="0" w:after="0"/>
        <w:rPr>
          <w:rFonts w:ascii="inherit" w:hAnsi="inherit"/>
          <w:sz w:val="17"/>
        </w:rPr>
      </w:pPr>
      <w:r>
        <w:rPr>
          <w:rFonts w:ascii="inherit" w:hAnsi="inherit"/>
          <w:sz w:val="17"/>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pStyle w:val="TextBody"/>
        <w:spacing w:lineRule="auto" w:line="288" w:before="0" w:after="0"/>
        <w:rPr>
          <w:rFonts w:ascii="inherit" w:hAnsi="inherit"/>
          <w:sz w:val="17"/>
        </w:rPr>
      </w:pPr>
      <w:r>
        <w:rPr>
          <w:rFonts w:ascii="inherit" w:hAnsi="inherit"/>
          <w:sz w:val="17"/>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 </w:t>
      </w:r>
    </w:p>
    <w:p>
      <w:pPr>
        <w:pStyle w:val="TextBody"/>
        <w:spacing w:lineRule="auto" w:line="288" w:before="0" w:after="0"/>
        <w:rPr>
          <w:rFonts w:ascii="inherit" w:hAnsi="inherit"/>
          <w:sz w:val="17"/>
        </w:rPr>
      </w:pPr>
      <w:r>
        <w:rPr>
          <w:rFonts w:ascii="inherit" w:hAnsi="inherit"/>
          <w:sz w:val="17"/>
        </w:rPr>
        <w:t xml:space="preserve">We consider consumer loans made at our storefronts by our wholly owned subsidiaries to be defaulted if they have not been repaid or renewed by the maturity date. If one payment of a multiple-payment loan is delinquent, that one payment is considered defaulted. If more than one payment is delinquent at any time, the entire loan is considered defaulted. Although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pStyle w:val="TextBody"/>
        <w:spacing w:lineRule="auto" w:line="288" w:before="0" w:after="0"/>
        <w:rPr>
          <w:rFonts w:ascii="inherit" w:hAnsi="inherit"/>
          <w:sz w:val="17"/>
        </w:rPr>
      </w:pPr>
      <w:r>
        <w:rPr>
          <w:rFonts w:ascii="inherit" w:hAnsi="inherit"/>
          <w:sz w:val="17"/>
        </w:rPr>
        <w:t>Based on historical collection experience, the age of past-due loans and amounts we expect to receive through the sale of repossessed vehicles, we provide an allowance for losses on auto title loans.</w:t>
      </w:r>
    </w:p>
    <w:p>
      <w:pPr>
        <w:pStyle w:val="TextBody"/>
        <w:spacing w:lineRule="auto" w:line="288" w:before="0" w:after="0"/>
        <w:rPr>
          <w:rFonts w:ascii="inherit" w:hAnsi="inherit"/>
          <w:sz w:val="17"/>
        </w:rPr>
      </w:pPr>
      <w:r>
        <w:rPr>
          <w:rFonts w:ascii="inherit" w:hAnsi="inherit"/>
          <w:sz w:val="17"/>
        </w:rPr>
        <w:t>Consumer loans made by EZCORP Online are considered delinquent if they are not repaid or renewed by the maturity date. We do not accrue revenues on delinquent loans. All outstanding principal balances and fee receivables greater than 60 days past due are considered defaulted. Upon default, we charge consumer loan principal to consumer loan bad debt and reverse accrued unsecured consumer loan fee revenue. Subsequent collections of these amounts are recorded as a reduction to consumer loan bad debt expense and consumer loan fee revenue.</w:t>
      </w:r>
    </w:p>
    <w:p>
      <w:pPr>
        <w:pStyle w:val="TextBody"/>
        <w:spacing w:lineRule="auto" w:line="288" w:before="0" w:after="0"/>
        <w:rPr>
          <w:rFonts w:ascii="inherit" w:hAnsi="inherit"/>
          <w:sz w:val="17"/>
        </w:rPr>
      </w:pPr>
      <w:r>
        <w:rPr>
          <w:rFonts w:ascii="inherit" w:hAnsi="inherit"/>
          <w:sz w:val="17"/>
        </w:rPr>
        <w:t>The Grupo Finmart acquisition marked our initial entry into unsecured consumer lending in Mexico. Grupo Finmart's consumer loans are considered in current status as long as the customer is employed and Grupo Finmart receives payments via payroll withholdings. Loans made to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Grupo Finmart charges the loan principal to consumer loan bad debt upon default, leaving only active loans in the reported balance. Subsequent collections of principal are recorded as a reduction of consumer loan bad debt when collected. Accrued fees related to defaulted loans reduce fee revenue upon default, and increase fee revenue upon collection.</w:t>
      </w:r>
    </w:p>
    <w:p>
      <w:pPr>
        <w:pStyle w:val="TextBody"/>
        <w:spacing w:lineRule="auto" w:line="288" w:before="0" w:after="0"/>
        <w:rPr>
          <w:sz w:val="17"/>
        </w:rPr>
      </w:pPr>
      <w:r>
        <w:rPr>
          <w:rFonts w:ascii="inherit" w:hAnsi="inherit"/>
          <w:sz w:val="17"/>
        </w:rPr>
        <w:t>The following table presents changes in the allowance for credit losses, as well as the recorded investment in our financing receivables by portfolio segment for the periods presented:</w:t>
      </w:r>
      <w:r>
        <w:rPr>
          <w:sz w:val="17"/>
        </w:rPr>
        <w:t> </w:t>
      </w:r>
    </w:p>
    <w:tbl>
      <w:tblPr>
        <w:tblW w:w="10205" w:type="dxa"/>
        <w:jc w:val="left"/>
        <w:tblInd w:w="0" w:type="dxa"/>
        <w:tblCellMar>
          <w:top w:w="0" w:type="dxa"/>
          <w:left w:w="0" w:type="dxa"/>
          <w:bottom w:w="0" w:type="dxa"/>
          <w:right w:w="0" w:type="dxa"/>
        </w:tblCellMar>
      </w:tblPr>
      <w:tblGrid>
        <w:gridCol w:w="1944"/>
        <w:gridCol w:w="169"/>
        <w:gridCol w:w="726"/>
        <w:gridCol w:w="70"/>
        <w:gridCol w:w="115"/>
        <w:gridCol w:w="147"/>
        <w:gridCol w:w="796"/>
        <w:gridCol w:w="148"/>
        <w:gridCol w:w="115"/>
        <w:gridCol w:w="165"/>
        <w:gridCol w:w="848"/>
        <w:gridCol w:w="68"/>
        <w:gridCol w:w="115"/>
        <w:gridCol w:w="133"/>
        <w:gridCol w:w="670"/>
        <w:gridCol w:w="135"/>
        <w:gridCol w:w="196"/>
        <w:gridCol w:w="219"/>
        <w:gridCol w:w="699"/>
        <w:gridCol w:w="221"/>
        <w:gridCol w:w="115"/>
        <w:gridCol w:w="169"/>
        <w:gridCol w:w="758"/>
        <w:gridCol w:w="70"/>
        <w:gridCol w:w="115"/>
        <w:gridCol w:w="133"/>
        <w:gridCol w:w="698"/>
        <w:gridCol w:w="448"/>
      </w:tblGrid>
      <w:tr>
        <w:trPr/>
        <w:tc>
          <w:tcPr>
            <w:tcW w:w="10205" w:type="dxa"/>
            <w:gridSpan w:val="28"/>
            <w:tcBorders/>
            <w:shd w:fill="auto" w:val="clear"/>
            <w:vAlign w:val="center"/>
          </w:tcPr>
          <w:p>
            <w:pPr>
              <w:pStyle w:val="TableContents"/>
              <w:spacing w:before="0" w:after="283"/>
              <w:rPr>
                <w:sz w:val="4"/>
                <w:szCs w:val="4"/>
              </w:rPr>
            </w:pPr>
            <w:r>
              <w:rPr>
                <w:sz w:val="4"/>
                <w:szCs w:val="4"/>
              </w:rPr>
            </w:r>
          </w:p>
        </w:tc>
      </w:tr>
      <w:tr>
        <w:trPr/>
        <w:tc>
          <w:tcPr>
            <w:tcW w:w="194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w:t>
            </w:r>
          </w:p>
        </w:tc>
        <w:tc>
          <w:tcPr>
            <w:tcW w:w="96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Allowance</w:t>
            </w:r>
          </w:p>
          <w:p>
            <w:pPr>
              <w:pStyle w:val="TableContents"/>
              <w:spacing w:before="0" w:after="0"/>
              <w:jc w:val="center"/>
              <w:rPr>
                <w:rFonts w:ascii="inherit" w:hAnsi="inherit"/>
                <w:b/>
                <w:sz w:val="13"/>
              </w:rPr>
            </w:pPr>
            <w:r>
              <w:rPr>
                <w:rFonts w:ascii="inherit" w:hAnsi="inherit"/>
                <w:b/>
                <w:sz w:val="13"/>
              </w:rPr>
              <w:t>Balance at</w:t>
            </w:r>
          </w:p>
          <w:p>
            <w:pPr>
              <w:pStyle w:val="TableContents"/>
              <w:spacing w:before="0" w:after="0"/>
              <w:jc w:val="center"/>
              <w:rPr>
                <w:rFonts w:ascii="inherit" w:hAnsi="inherit"/>
                <w:b/>
                <w:sz w:val="13"/>
              </w:rPr>
            </w:pPr>
            <w:r>
              <w:rPr>
                <w:rFonts w:ascii="inherit" w:hAnsi="inherit"/>
                <w:b/>
                <w:sz w:val="13"/>
              </w:rPr>
              <w:t>Beginning</w:t>
            </w:r>
          </w:p>
          <w:p>
            <w:pPr>
              <w:pStyle w:val="TableContents"/>
              <w:spacing w:before="0" w:after="0"/>
              <w:ind w:left="0" w:right="0" w:firstLine="30"/>
              <w:jc w:val="center"/>
              <w:rPr>
                <w:rFonts w:ascii="inherit" w:hAnsi="inherit"/>
                <w:b/>
                <w:sz w:val="13"/>
              </w:rPr>
            </w:pPr>
            <w:r>
              <w:rPr>
                <w:rFonts w:ascii="inherit" w:hAnsi="inherit"/>
                <w:b/>
                <w:sz w:val="13"/>
              </w:rPr>
              <w:t>of Period</w:t>
            </w:r>
          </w:p>
        </w:tc>
        <w:tc>
          <w:tcPr>
            <w:tcW w:w="115" w:type="dxa"/>
            <w:tcBorders/>
            <w:shd w:fill="auto" w:val="clear"/>
            <w:vAlign w:val="center"/>
          </w:tcPr>
          <w:p>
            <w:pPr>
              <w:pStyle w:val="TableContents"/>
              <w:spacing w:before="0" w:after="0"/>
              <w:ind w:left="0" w:right="0" w:firstLine="30"/>
              <w:rPr/>
            </w:pPr>
            <w:r>
              <w:rPr/>
              <w:t> </w:t>
            </w:r>
          </w:p>
        </w:tc>
        <w:tc>
          <w:tcPr>
            <w:tcW w:w="10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Charge-offs</w:t>
            </w:r>
          </w:p>
        </w:tc>
        <w:tc>
          <w:tcPr>
            <w:tcW w:w="115" w:type="dxa"/>
            <w:tcBorders/>
            <w:shd w:fill="auto" w:val="clear"/>
            <w:vAlign w:val="center"/>
          </w:tcPr>
          <w:p>
            <w:pPr>
              <w:pStyle w:val="TableContents"/>
              <w:spacing w:before="0" w:after="0"/>
              <w:ind w:left="0" w:right="0" w:firstLine="30"/>
              <w:rPr/>
            </w:pPr>
            <w:r>
              <w:rPr/>
              <w:t> </w:t>
            </w:r>
          </w:p>
        </w:tc>
        <w:tc>
          <w:tcPr>
            <w:tcW w:w="10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Recoveries</w:t>
            </w:r>
          </w:p>
        </w:tc>
        <w:tc>
          <w:tcPr>
            <w:tcW w:w="115" w:type="dxa"/>
            <w:tcBorders/>
            <w:shd w:fill="auto" w:val="clear"/>
            <w:vAlign w:val="center"/>
          </w:tcPr>
          <w:p>
            <w:pPr>
              <w:pStyle w:val="TableContents"/>
              <w:spacing w:before="0" w:after="0"/>
              <w:ind w:left="0" w:right="0" w:firstLine="30"/>
              <w:rPr/>
            </w:pPr>
            <w:r>
              <w:rPr/>
              <w:t> </w:t>
            </w:r>
          </w:p>
        </w:tc>
        <w:tc>
          <w:tcPr>
            <w:tcW w:w="9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Provision</w:t>
            </w:r>
          </w:p>
        </w:tc>
        <w:tc>
          <w:tcPr>
            <w:tcW w:w="196" w:type="dxa"/>
            <w:tcBorders/>
            <w:shd w:fill="auto" w:val="clear"/>
            <w:vAlign w:val="center"/>
          </w:tcPr>
          <w:p>
            <w:pPr>
              <w:pStyle w:val="TableContents"/>
              <w:spacing w:before="0" w:after="0"/>
              <w:ind w:left="0" w:right="0" w:firstLine="30"/>
              <w:rPr/>
            </w:pPr>
            <w:r>
              <w:rPr/>
              <w:t> </w:t>
            </w:r>
          </w:p>
        </w:tc>
        <w:tc>
          <w:tcPr>
            <w:tcW w:w="11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Translation Adjustment</w:t>
            </w:r>
          </w:p>
        </w:tc>
        <w:tc>
          <w:tcPr>
            <w:tcW w:w="115" w:type="dxa"/>
            <w:tcBorders/>
            <w:shd w:fill="auto" w:val="clear"/>
            <w:vAlign w:val="center"/>
          </w:tcPr>
          <w:p>
            <w:pPr>
              <w:pStyle w:val="TableContents"/>
              <w:spacing w:before="0" w:after="0"/>
              <w:ind w:left="0" w:right="0" w:firstLine="30"/>
              <w:rPr/>
            </w:pPr>
            <w:r>
              <w:rPr/>
              <w:t> </w:t>
            </w:r>
          </w:p>
        </w:tc>
        <w:tc>
          <w:tcPr>
            <w:tcW w:w="99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Allowance</w:t>
            </w:r>
          </w:p>
          <w:p>
            <w:pPr>
              <w:pStyle w:val="TableContents"/>
              <w:spacing w:before="0" w:after="0"/>
              <w:jc w:val="center"/>
              <w:rPr>
                <w:rFonts w:ascii="inherit" w:hAnsi="inherit"/>
                <w:b/>
                <w:sz w:val="13"/>
              </w:rPr>
            </w:pPr>
            <w:r>
              <w:rPr>
                <w:rFonts w:ascii="inherit" w:hAnsi="inherit"/>
                <w:b/>
                <w:sz w:val="13"/>
              </w:rPr>
              <w:t>Balance at</w:t>
            </w:r>
          </w:p>
          <w:p>
            <w:pPr>
              <w:pStyle w:val="TableContents"/>
              <w:spacing w:before="0" w:after="0"/>
              <w:jc w:val="center"/>
              <w:rPr>
                <w:rFonts w:ascii="inherit" w:hAnsi="inherit"/>
                <w:b/>
                <w:sz w:val="13"/>
              </w:rPr>
            </w:pPr>
            <w:r>
              <w:rPr>
                <w:rFonts w:ascii="inherit" w:hAnsi="inherit"/>
                <w:b/>
                <w:sz w:val="13"/>
              </w:rPr>
              <w:t>End of</w:t>
            </w:r>
          </w:p>
          <w:p>
            <w:pPr>
              <w:pStyle w:val="TableContents"/>
              <w:spacing w:before="0" w:after="0"/>
              <w:ind w:left="0" w:right="0" w:firstLine="30"/>
              <w:jc w:val="center"/>
              <w:rPr>
                <w:rFonts w:ascii="inherit" w:hAnsi="inherit"/>
                <w:b/>
                <w:sz w:val="13"/>
              </w:rPr>
            </w:pPr>
            <w:r>
              <w:rPr>
                <w:rFonts w:ascii="inherit" w:hAnsi="inherit"/>
                <w:b/>
                <w:sz w:val="13"/>
              </w:rPr>
              <w:t>Period</w:t>
            </w:r>
          </w:p>
        </w:tc>
        <w:tc>
          <w:tcPr>
            <w:tcW w:w="115" w:type="dxa"/>
            <w:tcBorders/>
            <w:shd w:fill="auto" w:val="clear"/>
            <w:vAlign w:val="center"/>
          </w:tcPr>
          <w:p>
            <w:pPr>
              <w:pStyle w:val="TableContents"/>
              <w:spacing w:before="0" w:after="0"/>
              <w:ind w:left="0" w:right="0" w:firstLine="30"/>
              <w:rPr/>
            </w:pPr>
            <w:r>
              <w:rPr/>
              <w:t> </w:t>
            </w:r>
          </w:p>
        </w:tc>
        <w:tc>
          <w:tcPr>
            <w:tcW w:w="127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Financing</w:t>
            </w:r>
          </w:p>
          <w:p>
            <w:pPr>
              <w:pStyle w:val="TableContents"/>
              <w:spacing w:before="0" w:after="0"/>
              <w:jc w:val="center"/>
              <w:rPr>
                <w:rFonts w:ascii="inherit" w:hAnsi="inherit"/>
                <w:b/>
                <w:sz w:val="13"/>
              </w:rPr>
            </w:pPr>
            <w:r>
              <w:rPr>
                <w:rFonts w:ascii="inherit" w:hAnsi="inherit"/>
                <w:b/>
                <w:sz w:val="13"/>
              </w:rPr>
              <w:t>Receivable</w:t>
            </w:r>
          </w:p>
          <w:p>
            <w:pPr>
              <w:pStyle w:val="TableContents"/>
              <w:spacing w:before="0" w:after="0"/>
              <w:jc w:val="center"/>
              <w:rPr>
                <w:rFonts w:ascii="inherit" w:hAnsi="inherit"/>
                <w:b/>
                <w:sz w:val="13"/>
              </w:rPr>
            </w:pPr>
            <w:r>
              <w:rPr>
                <w:rFonts w:ascii="inherit" w:hAnsi="inherit"/>
                <w:b/>
                <w:sz w:val="13"/>
              </w:rPr>
              <w:t>at End of</w:t>
            </w:r>
          </w:p>
          <w:p>
            <w:pPr>
              <w:pStyle w:val="TableContents"/>
              <w:spacing w:before="0" w:after="0"/>
              <w:ind w:left="0" w:right="0" w:firstLine="30"/>
              <w:jc w:val="center"/>
              <w:rPr>
                <w:rFonts w:ascii="inherit" w:hAnsi="inherit"/>
                <w:b/>
                <w:sz w:val="13"/>
              </w:rPr>
            </w:pPr>
            <w:r>
              <w:rPr>
                <w:rFonts w:ascii="inherit" w:hAnsi="inherit"/>
                <w:b/>
                <w:sz w:val="13"/>
              </w:rPr>
              <w:t>Period</w:t>
            </w:r>
          </w:p>
        </w:tc>
      </w:tr>
      <w:tr>
        <w:trPr/>
        <w:tc>
          <w:tcPr>
            <w:tcW w:w="1944" w:type="dxa"/>
            <w:tcBorders/>
            <w:shd w:fill="auto" w:val="clear"/>
            <w:vAlign w:val="center"/>
          </w:tcPr>
          <w:p>
            <w:pPr>
              <w:pStyle w:val="TableContents"/>
              <w:spacing w:before="0" w:after="0"/>
              <w:ind w:left="0" w:right="0" w:firstLine="30"/>
              <w:jc w:val="left"/>
              <w:rPr/>
            </w:pPr>
            <w:r>
              <w:rPr/>
              <w:t> </w:t>
            </w:r>
          </w:p>
        </w:tc>
        <w:tc>
          <w:tcPr>
            <w:tcW w:w="8261" w:type="dxa"/>
            <w:gridSpan w:val="2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944" w:type="dxa"/>
            <w:tcBorders/>
            <w:shd w:fill="CCEEFF" w:val="clear"/>
            <w:vAlign w:val="center"/>
          </w:tcPr>
          <w:p>
            <w:pPr>
              <w:pStyle w:val="TableContents"/>
              <w:spacing w:before="0" w:after="0"/>
              <w:ind w:left="0" w:right="0" w:firstLine="30"/>
              <w:rPr>
                <w:rFonts w:ascii="inherit" w:hAnsi="inherit"/>
                <w:b/>
                <w:sz w:val="15"/>
              </w:rPr>
            </w:pPr>
            <w:r>
              <w:rPr>
                <w:rFonts w:ascii="inherit" w:hAnsi="inherit"/>
                <w:b/>
                <w:sz w:val="15"/>
              </w:rPr>
              <w:t>*Unsecured short-term consumer loans:</w:t>
            </w:r>
          </w:p>
        </w:tc>
        <w:tc>
          <w:tcPr>
            <w:tcW w:w="96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9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8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938" w:type="dxa"/>
            <w:gridSpan w:val="3"/>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ind w:left="0" w:right="0" w:firstLine="30"/>
              <w:rPr/>
            </w:pPr>
            <w:r>
              <w:rPr/>
              <w:t> </w:t>
            </w:r>
          </w:p>
        </w:tc>
        <w:tc>
          <w:tcPr>
            <w:tcW w:w="1139"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997"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9" w:type="dxa"/>
            <w:gridSpan w:val="3"/>
            <w:tcBorders/>
            <w:shd w:fill="CCEEFF" w:val="clear"/>
            <w:vAlign w:val="center"/>
          </w:tcPr>
          <w:p>
            <w:pPr>
              <w:pStyle w:val="TableContents"/>
              <w:spacing w:before="0" w:after="0"/>
              <w:ind w:left="0" w:right="0" w:firstLine="420"/>
              <w:rPr/>
            </w:pPr>
            <w:r>
              <w:rPr/>
              <w:t> </w:t>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2,234</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(11,302</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5,512</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6,540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2,984</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23,720</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1,442</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(8,451</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4,200</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5,047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rFonts w:ascii="inherit" w:hAnsi="inherit"/>
                <w:sz w:val="15"/>
              </w:rPr>
            </w:pPr>
            <w:r>
              <w:rPr>
                <w:rFonts w:ascii="inherit" w:hAnsi="inherit"/>
                <w:sz w:val="15"/>
              </w:rPr>
              <w:t>(12</w:t>
            </w:r>
          </w:p>
        </w:tc>
        <w:tc>
          <w:tcPr>
            <w:tcW w:w="22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2,226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17,640</w:t>
            </w:r>
          </w:p>
        </w:tc>
        <w:tc>
          <w:tcPr>
            <w:tcW w:w="44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2,390</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(34,231</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15,796</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19,029</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2,984</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23,720</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1,727</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(17,403</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7,902</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10,012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rFonts w:ascii="inherit" w:hAnsi="inherit"/>
                <w:sz w:val="15"/>
              </w:rPr>
            </w:pPr>
            <w:r>
              <w:rPr>
                <w:rFonts w:ascii="inherit" w:hAnsi="inherit"/>
                <w:sz w:val="15"/>
              </w:rPr>
              <w:t>(12</w:t>
            </w:r>
          </w:p>
        </w:tc>
        <w:tc>
          <w:tcPr>
            <w:tcW w:w="22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2,226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17,640</w:t>
            </w:r>
          </w:p>
        </w:tc>
        <w:tc>
          <w:tcPr>
            <w:tcW w:w="4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Secured short-term consumer loans:</w:t>
            </w:r>
          </w:p>
        </w:tc>
        <w:tc>
          <w:tcPr>
            <w:tcW w:w="96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9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8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938" w:type="dxa"/>
            <w:gridSpan w:val="3"/>
            <w:tcBorders/>
            <w:shd w:fill="auto" w:val="clear"/>
            <w:vAlign w:val="center"/>
          </w:tcPr>
          <w:p>
            <w:pPr>
              <w:pStyle w:val="TableContents"/>
              <w:spacing w:before="0" w:after="0"/>
              <w:ind w:left="0" w:right="0" w:firstLine="30"/>
              <w:rPr/>
            </w:pPr>
            <w:r>
              <w:rPr/>
              <w:t> </w:t>
            </w:r>
          </w:p>
        </w:tc>
        <w:tc>
          <w:tcPr>
            <w:tcW w:w="196" w:type="dxa"/>
            <w:tcBorders/>
            <w:shd w:fill="auto" w:val="clear"/>
            <w:vAlign w:val="center"/>
          </w:tcPr>
          <w:p>
            <w:pPr>
              <w:pStyle w:val="TableContents"/>
              <w:spacing w:before="0" w:after="0"/>
              <w:ind w:left="0" w:right="0" w:firstLine="30"/>
              <w:rPr/>
            </w:pPr>
            <w:r>
              <w:rPr/>
              <w:t> </w:t>
            </w:r>
          </w:p>
        </w:tc>
        <w:tc>
          <w:tcPr>
            <w:tcW w:w="1139"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9" w:type="dxa"/>
            <w:gridSpan w:val="3"/>
            <w:tcBorders/>
            <w:shd w:fill="auto" w:val="clear"/>
            <w:vAlign w:val="center"/>
          </w:tcPr>
          <w:p>
            <w:pPr>
              <w:pStyle w:val="TableContents"/>
              <w:spacing w:before="0" w:after="0"/>
              <w:ind w:left="0" w:right="0" w:firstLine="420"/>
              <w:rPr/>
            </w:pPr>
            <w:r>
              <w:rPr/>
              <w:t> </w:t>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2013</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1,358</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(10,272</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9,301</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916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pPr>
            <w:r>
              <w:rPr/>
              <w:t>—</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1,303</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7,691</w:t>
            </w:r>
          </w:p>
        </w:tc>
        <w:tc>
          <w:tcPr>
            <w:tcW w:w="44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2012</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708</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(5,410</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4,836</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462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596</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4,267</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2013</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942</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(64,652</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59,093</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5,920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pPr>
            <w:r>
              <w:rPr/>
              <w:t>—</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1,303</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7,691</w:t>
            </w:r>
          </w:p>
        </w:tc>
        <w:tc>
          <w:tcPr>
            <w:tcW w:w="44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2012</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538</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(13,177</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11,478</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1,757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596</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4,267</w:t>
            </w:r>
          </w:p>
        </w:tc>
        <w:tc>
          <w:tcPr>
            <w:tcW w:w="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rPr>
                <w:rFonts w:ascii="inherit" w:hAnsi="inherit"/>
                <w:b/>
                <w:sz w:val="15"/>
              </w:rPr>
            </w:pPr>
            <w:r>
              <w:rPr>
                <w:rFonts w:ascii="inherit" w:hAnsi="inherit"/>
                <w:b/>
                <w:sz w:val="15"/>
              </w:rPr>
              <w:t>*Unsecured long-term consumer loans:</w:t>
            </w:r>
          </w:p>
        </w:tc>
        <w:tc>
          <w:tcPr>
            <w:tcW w:w="96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9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8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938" w:type="dxa"/>
            <w:gridSpan w:val="3"/>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ind w:left="0" w:right="0" w:firstLine="30"/>
              <w:rPr/>
            </w:pPr>
            <w:r>
              <w:rPr/>
              <w:t> </w:t>
            </w:r>
          </w:p>
        </w:tc>
        <w:tc>
          <w:tcPr>
            <w:tcW w:w="1139"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997"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9" w:type="dxa"/>
            <w:gridSpan w:val="3"/>
            <w:tcBorders/>
            <w:shd w:fill="CCEEFF" w:val="clear"/>
            <w:vAlign w:val="center"/>
          </w:tcPr>
          <w:p>
            <w:pPr>
              <w:pStyle w:val="TableContents"/>
              <w:spacing w:before="0" w:after="0"/>
              <w:ind w:left="0" w:right="0" w:firstLine="420"/>
              <w:rPr/>
            </w:pPr>
            <w:r>
              <w:rPr/>
              <w:t> </w:t>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330</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(604</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253</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680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rFonts w:ascii="inherit" w:hAnsi="inherit"/>
                <w:sz w:val="15"/>
              </w:rPr>
            </w:pPr>
            <w:r>
              <w:rPr>
                <w:rFonts w:ascii="inherit" w:hAnsi="inherit"/>
                <w:sz w:val="15"/>
              </w:rPr>
              <w:t>(32</w:t>
            </w:r>
          </w:p>
        </w:tc>
        <w:tc>
          <w:tcPr>
            <w:tcW w:w="22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627</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98,851</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166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(780</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288</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603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rFonts w:ascii="inherit" w:hAnsi="inherit"/>
                <w:sz w:val="15"/>
              </w:rPr>
            </w:pPr>
            <w:r>
              <w:rPr>
                <w:rFonts w:ascii="inherit" w:hAnsi="inherit"/>
                <w:sz w:val="15"/>
              </w:rPr>
              <w:t>(11</w:t>
            </w:r>
          </w:p>
        </w:tc>
        <w:tc>
          <w:tcPr>
            <w:tcW w:w="22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266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64,424</w:t>
            </w:r>
          </w:p>
        </w:tc>
        <w:tc>
          <w:tcPr>
            <w:tcW w:w="44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623</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(1,556</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2,610</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(1,036</w:t>
            </w:r>
          </w:p>
        </w:tc>
        <w:tc>
          <w:tcPr>
            <w:tcW w:w="13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96" w:type="dxa"/>
            <w:tcBorders/>
            <w:shd w:fill="auto" w:val="clear"/>
            <w:vAlign w:val="center"/>
          </w:tcPr>
          <w:p>
            <w:pPr>
              <w:pStyle w:val="TableContents"/>
              <w:spacing w:before="0" w:after="0"/>
              <w:ind w:left="0" w:right="0" w:firstLine="30"/>
              <w:jc w:val="right"/>
              <w:rPr>
                <w:rFonts w:ascii="inherit" w:hAnsi="inherit"/>
                <w:sz w:val="12"/>
              </w:rPr>
            </w:pPr>
            <w:r>
              <w:rPr>
                <w:rFonts w:ascii="inherit" w:hAnsi="inherit"/>
                <w:sz w:val="12"/>
              </w:rPr>
              <w:t>**</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rFonts w:ascii="inherit" w:hAnsi="inherit"/>
                <w:sz w:val="15"/>
              </w:rPr>
            </w:pPr>
            <w:r>
              <w:rPr>
                <w:rFonts w:ascii="inherit" w:hAnsi="inherit"/>
                <w:sz w:val="15"/>
              </w:rPr>
              <w:t>(14</w:t>
            </w:r>
          </w:p>
        </w:tc>
        <w:tc>
          <w:tcPr>
            <w:tcW w:w="22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627</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98,851</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pPr>
            <w:r>
              <w:rPr/>
              <w:t>—</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(1,351</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519</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1,111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rFonts w:ascii="inherit" w:hAnsi="inherit"/>
                <w:sz w:val="15"/>
              </w:rPr>
            </w:pPr>
            <w:r>
              <w:rPr>
                <w:rFonts w:ascii="inherit" w:hAnsi="inherit"/>
                <w:sz w:val="15"/>
              </w:rPr>
              <w:t>(13</w:t>
            </w:r>
          </w:p>
        </w:tc>
        <w:tc>
          <w:tcPr>
            <w:tcW w:w="22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266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64,424</w:t>
            </w:r>
          </w:p>
        </w:tc>
        <w:tc>
          <w:tcPr>
            <w:tcW w:w="44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t>*Comparative information includes activity since Grupo Finmart's January 30, 2012 and Cash Genie's April 14, 2012 acquisitions as applicable.</w:t>
      </w:r>
    </w:p>
    <w:p>
      <w:pPr>
        <w:pStyle w:val="TextBody"/>
        <w:spacing w:lineRule="auto" w:line="288" w:before="0" w:after="0"/>
        <w:rPr>
          <w:rFonts w:ascii="inherit" w:hAnsi="inherit"/>
          <w:sz w:val="15"/>
        </w:rPr>
      </w:pPr>
      <w:r>
        <w:rPr>
          <w:rFonts w:ascii="inherit" w:hAnsi="inherit"/>
          <w:sz w:val="15"/>
        </w:rPr>
        <w:t xml:space="preserve">** Benefit in unsecured long-term consumer loan provision is due to the sale of past due loans and recoveries of loans previously written-off.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pStyle w:val="TextBody"/>
        <w:spacing w:lineRule="auto" w:line="288" w:before="0" w:after="0"/>
        <w:rPr>
          <w:sz w:val="17"/>
        </w:rPr>
      </w:pPr>
      <w:r>
        <w:rPr>
          <w:rFonts w:ascii="inherit" w:hAnsi="inherit"/>
          <w:sz w:val="17"/>
        </w:rPr>
        <w:t xml:space="preserve">Auto title loans remain as recorded investments when in delinquent or nonaccrual status. We consider an auto title loan past due if it has not been repaid or renewed by the maturity date. Based on experience, we establish a reserve on all auto title loans. On auto title loans </w:t>
      </w:r>
      <w:r>
        <w:rPr>
          <w:rFonts w:ascii="inherit" w:hAnsi="inherit"/>
          <w:strike w:val="false"/>
          <w:dstrike w:val="false"/>
          <w:color w:val="000000"/>
          <w:sz w:val="17"/>
          <w:u w:val="none"/>
          <w:effect w:val="none"/>
        </w:rPr>
        <w:t>more than 90 days</w:t>
      </w:r>
      <w:r>
        <w:rPr>
          <w:sz w:val="17"/>
        </w:rPr>
        <w:t xml:space="preserve"> </w:t>
      </w:r>
      <w:r>
        <w:rPr>
          <w:rFonts w:ascii="inherit" w:hAnsi="inherit"/>
          <w:sz w:val="17"/>
        </w:rPr>
        <w:t xml:space="preserve">past due, we reserve the percentage we estimate will not be recoverable through auction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reserve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loans for which we have not yet repossessed the underlying collateral.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fees are accrued on any auto title loans more than </w:t>
      </w:r>
      <w:r>
        <w:rPr>
          <w:rFonts w:ascii="inherit" w:hAnsi="inherit"/>
          <w:strike w:val="false"/>
          <w:dstrike w:val="false"/>
          <w:color w:val="000000"/>
          <w:sz w:val="17"/>
          <w:u w:val="none"/>
          <w:effect w:val="none"/>
        </w:rPr>
        <w:t>90 days past due.</w:t>
      </w:r>
      <w:r>
        <w:rPr>
          <w:sz w:val="17"/>
        </w:rPr>
        <w:t xml:space="preserve"> </w:t>
      </w:r>
    </w:p>
    <w:p>
      <w:pPr>
        <w:pStyle w:val="TextBody"/>
        <w:spacing w:lineRule="auto" w:line="288" w:before="0" w:after="0"/>
        <w:rPr>
          <w:sz w:val="17"/>
        </w:rPr>
      </w:pPr>
      <w:r>
        <w:rPr>
          <w:rFonts w:ascii="inherit" w:hAnsi="inherit"/>
          <w:sz w:val="17"/>
        </w:rPr>
        <w:t xml:space="preserve">Short-term unsecured consumer loans made online by EZCORP Online remain as recorded investments when in delinquent or nonaccrual status. We consider these loans past due if they have not been repaid or renewed by the maturity date. Valuation reserves are based on days past due and respective historical collection rates. We reserve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loans once they are more than 60 days past due. No fees are accrued on short-term consumer loans more than 60 days past due. </w:t>
      </w:r>
    </w:p>
    <w:p>
      <w:pPr>
        <w:pStyle w:val="TextBody"/>
        <w:spacing w:lineRule="auto" w:line="288" w:before="0" w:after="0"/>
        <w:rPr>
          <w:sz w:val="17"/>
        </w:rPr>
      </w:pPr>
      <w:r>
        <w:rPr>
          <w:rFonts w:ascii="inherit" w:hAnsi="inherit"/>
          <w:sz w:val="17"/>
        </w:rPr>
        <w:t xml:space="preserve">Consumer loans made by Grupo Finmart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fees are accrued on any consumer loans made to customers that are no longer employed.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The following table presents an aging analysis of past due financing receivables by portfolio segment:</w:t>
      </w:r>
      <w:r>
        <w:rPr>
          <w:sz w:val="17"/>
        </w:rPr>
        <w:t> </w:t>
      </w:r>
    </w:p>
    <w:tbl>
      <w:tblPr>
        <w:tblW w:w="10205" w:type="dxa"/>
        <w:jc w:val="left"/>
        <w:tblInd w:w="0" w:type="dxa"/>
        <w:tblCellMar>
          <w:top w:w="0" w:type="dxa"/>
          <w:left w:w="0" w:type="dxa"/>
          <w:bottom w:w="0" w:type="dxa"/>
          <w:right w:w="0" w:type="dxa"/>
        </w:tblCellMar>
      </w:tblPr>
      <w:tblGrid>
        <w:gridCol w:w="1279"/>
        <w:gridCol w:w="128"/>
        <w:gridCol w:w="545"/>
        <w:gridCol w:w="65"/>
        <w:gridCol w:w="104"/>
        <w:gridCol w:w="119"/>
        <w:gridCol w:w="572"/>
        <w:gridCol w:w="62"/>
        <w:gridCol w:w="104"/>
        <w:gridCol w:w="119"/>
        <w:gridCol w:w="370"/>
        <w:gridCol w:w="62"/>
        <w:gridCol w:w="104"/>
        <w:gridCol w:w="119"/>
        <w:gridCol w:w="572"/>
        <w:gridCol w:w="62"/>
        <w:gridCol w:w="104"/>
        <w:gridCol w:w="119"/>
        <w:gridCol w:w="572"/>
        <w:gridCol w:w="62"/>
        <w:gridCol w:w="104"/>
        <w:gridCol w:w="132"/>
        <w:gridCol w:w="677"/>
        <w:gridCol w:w="66"/>
        <w:gridCol w:w="104"/>
        <w:gridCol w:w="134"/>
        <w:gridCol w:w="660"/>
        <w:gridCol w:w="135"/>
        <w:gridCol w:w="104"/>
        <w:gridCol w:w="132"/>
        <w:gridCol w:w="677"/>
        <w:gridCol w:w="67"/>
        <w:gridCol w:w="104"/>
        <w:gridCol w:w="141"/>
        <w:gridCol w:w="634"/>
        <w:gridCol w:w="68"/>
        <w:gridCol w:w="104"/>
        <w:gridCol w:w="134"/>
        <w:gridCol w:w="683"/>
        <w:gridCol w:w="102"/>
      </w:tblGrid>
      <w:tr>
        <w:trPr/>
        <w:tc>
          <w:tcPr>
            <w:tcW w:w="10205" w:type="dxa"/>
            <w:gridSpan w:val="40"/>
            <w:tcBorders/>
            <w:shd w:fill="auto" w:val="clear"/>
            <w:vAlign w:val="center"/>
          </w:tcPr>
          <w:p>
            <w:pPr>
              <w:pStyle w:val="TableContents"/>
              <w:spacing w:before="0" w:after="283"/>
              <w:rPr>
                <w:sz w:val="4"/>
                <w:szCs w:val="4"/>
              </w:rPr>
            </w:pPr>
            <w:r>
              <w:rPr>
                <w:sz w:val="4"/>
                <w:szCs w:val="4"/>
              </w:rPr>
            </w:r>
          </w:p>
        </w:tc>
      </w:tr>
      <w:tr>
        <w:trPr/>
        <w:tc>
          <w:tcPr>
            <w:tcW w:w="127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79" w:type="dxa"/>
            <w:tcBorders/>
            <w:shd w:fill="auto" w:val="clear"/>
            <w:vAlign w:val="center"/>
          </w:tcPr>
          <w:p>
            <w:pPr>
              <w:pStyle w:val="TableContents"/>
              <w:spacing w:before="0" w:after="0"/>
              <w:ind w:left="0" w:right="0" w:firstLine="30"/>
              <w:jc w:val="left"/>
              <w:rPr/>
            </w:pPr>
            <w:r>
              <w:rPr/>
              <w:t> </w:t>
            </w:r>
          </w:p>
        </w:tc>
        <w:tc>
          <w:tcPr>
            <w:tcW w:w="310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Days Past Due</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Total</w:t>
            </w:r>
          </w:p>
        </w:tc>
        <w:tc>
          <w:tcPr>
            <w:tcW w:w="104" w:type="dxa"/>
            <w:tcBorders/>
            <w:shd w:fill="auto" w:val="clear"/>
            <w:vAlign w:val="center"/>
          </w:tcPr>
          <w:p>
            <w:pPr>
              <w:pStyle w:val="TableContents"/>
              <w:spacing w:before="0" w:after="0"/>
              <w:ind w:left="0" w:right="0" w:firstLine="30"/>
              <w:rPr/>
            </w:pPr>
            <w:r>
              <w:rPr/>
              <w:t> </w:t>
            </w:r>
          </w:p>
        </w:tc>
        <w:tc>
          <w:tcPr>
            <w:tcW w:w="875"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Current</w:t>
            </w:r>
          </w:p>
        </w:tc>
        <w:tc>
          <w:tcPr>
            <w:tcW w:w="104" w:type="dxa"/>
            <w:tcBorders/>
            <w:shd w:fill="auto" w:val="clear"/>
            <w:vAlign w:val="center"/>
          </w:tcPr>
          <w:p>
            <w:pPr>
              <w:pStyle w:val="TableContents"/>
              <w:spacing w:before="0" w:after="0"/>
              <w:ind w:left="0" w:right="0" w:firstLine="30"/>
              <w:rPr/>
            </w:pPr>
            <w:r>
              <w:rPr/>
              <w:t> </w:t>
            </w:r>
          </w:p>
        </w:tc>
        <w:tc>
          <w:tcPr>
            <w:tcW w:w="929"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Fair Value</w:t>
            </w:r>
          </w:p>
        </w:tc>
        <w:tc>
          <w:tcPr>
            <w:tcW w:w="104" w:type="dxa"/>
            <w:tcBorders/>
            <w:shd w:fill="auto" w:val="clear"/>
            <w:vAlign w:val="center"/>
          </w:tcPr>
          <w:p>
            <w:pPr>
              <w:pStyle w:val="TableContents"/>
              <w:spacing w:before="0" w:after="0"/>
              <w:ind w:left="0" w:right="0" w:firstLine="30"/>
              <w:rPr/>
            </w:pPr>
            <w:r>
              <w:rPr/>
              <w:t> </w:t>
            </w:r>
          </w:p>
        </w:tc>
        <w:tc>
          <w:tcPr>
            <w:tcW w:w="876" w:type="dxa"/>
            <w:gridSpan w:val="3"/>
            <w:tcBorders/>
            <w:shd w:fill="auto" w:val="cle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ind w:left="0" w:right="0" w:firstLine="30"/>
              <w:jc w:val="center"/>
              <w:rPr>
                <w:rFonts w:ascii="inherit" w:hAnsi="inherit"/>
                <w:b/>
                <w:sz w:val="12"/>
              </w:rPr>
            </w:pPr>
            <w:r>
              <w:rPr>
                <w:rFonts w:ascii="inherit" w:hAnsi="inherit"/>
                <w:b/>
                <w:sz w:val="12"/>
              </w:rPr>
              <w:t>Financing</w:t>
            </w:r>
          </w:p>
        </w:tc>
        <w:tc>
          <w:tcPr>
            <w:tcW w:w="104" w:type="dxa"/>
            <w:tcBorders/>
            <w:shd w:fill="auto" w:val="clear"/>
            <w:vAlign w:val="center"/>
          </w:tcPr>
          <w:p>
            <w:pPr>
              <w:pStyle w:val="TableContents"/>
              <w:spacing w:before="0" w:after="0"/>
              <w:ind w:left="0" w:right="0" w:firstLine="30"/>
              <w:rPr/>
            </w:pPr>
            <w:r>
              <w:rPr/>
              <w:t> </w:t>
            </w:r>
          </w:p>
        </w:tc>
        <w:tc>
          <w:tcPr>
            <w:tcW w:w="843"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Allowance</w:t>
            </w:r>
          </w:p>
        </w:tc>
        <w:tc>
          <w:tcPr>
            <w:tcW w:w="104" w:type="dxa"/>
            <w:tcBorders/>
            <w:shd w:fill="auto" w:val="clear"/>
            <w:vAlign w:val="center"/>
          </w:tcPr>
          <w:p>
            <w:pPr>
              <w:pStyle w:val="TableContents"/>
              <w:spacing w:before="0" w:after="0"/>
              <w:ind w:left="0" w:right="0" w:firstLine="30"/>
              <w:rPr/>
            </w:pPr>
            <w:r>
              <w:rPr/>
              <w:t> </w:t>
            </w:r>
          </w:p>
        </w:tc>
        <w:tc>
          <w:tcPr>
            <w:tcW w:w="919" w:type="dxa"/>
            <w:gridSpan w:val="3"/>
            <w:tcBorders/>
            <w:shd w:fill="auto" w:val="clear"/>
            <w:vAlign w:val="center"/>
          </w:tcPr>
          <w:p>
            <w:pPr>
              <w:pStyle w:val="TableContents"/>
              <w:spacing w:before="0" w:after="0"/>
              <w:jc w:val="center"/>
              <w:rPr>
                <w:rFonts w:ascii="inherit" w:hAnsi="inherit"/>
                <w:b/>
                <w:sz w:val="12"/>
              </w:rPr>
            </w:pPr>
            <w:r>
              <w:rPr>
                <w:rFonts w:ascii="inherit" w:hAnsi="inherit"/>
                <w:b/>
                <w:sz w:val="12"/>
              </w:rPr>
              <w:t>Recorded</w:t>
            </w:r>
          </w:p>
          <w:p>
            <w:pPr>
              <w:pStyle w:val="TableContents"/>
              <w:spacing w:before="0" w:after="0"/>
              <w:jc w:val="center"/>
              <w:rPr>
                <w:rFonts w:ascii="inherit" w:hAnsi="inherit"/>
                <w:b/>
                <w:sz w:val="12"/>
              </w:rPr>
            </w:pPr>
            <w:r>
              <w:rPr>
                <w:rFonts w:ascii="inherit" w:hAnsi="inherit"/>
                <w:b/>
                <w:sz w:val="12"/>
              </w:rPr>
              <w:t>Investment</w:t>
            </w:r>
          </w:p>
          <w:p>
            <w:pPr>
              <w:pStyle w:val="TableContents"/>
              <w:spacing w:before="0" w:after="0"/>
              <w:ind w:left="0" w:right="0" w:firstLine="30"/>
              <w:jc w:val="center"/>
              <w:rPr>
                <w:rFonts w:ascii="inherit" w:hAnsi="inherit"/>
                <w:b/>
                <w:sz w:val="12"/>
              </w:rPr>
            </w:pPr>
            <w:r>
              <w:rPr>
                <w:rFonts w:ascii="inherit" w:hAnsi="inherit"/>
                <w:b/>
                <w:sz w:val="12"/>
              </w:rPr>
              <w:t>&gt; 90 Days</w:t>
            </w:r>
          </w:p>
        </w:tc>
      </w:tr>
      <w:tr>
        <w:trPr/>
        <w:tc>
          <w:tcPr>
            <w:tcW w:w="1279" w:type="dxa"/>
            <w:tcBorders/>
            <w:shd w:fill="auto" w:val="clear"/>
            <w:vAlign w:val="center"/>
          </w:tcPr>
          <w:p>
            <w:pPr>
              <w:pStyle w:val="TableContents"/>
              <w:spacing w:before="0" w:after="0"/>
              <w:ind w:left="0" w:right="0" w:firstLine="30"/>
              <w:jc w:val="left"/>
              <w:rPr/>
            </w:pPr>
            <w:r>
              <w:rPr/>
              <w:t> </w:t>
            </w:r>
          </w:p>
        </w:tc>
        <w:tc>
          <w:tcPr>
            <w:tcW w:w="7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1-30</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31-60</w:t>
            </w:r>
          </w:p>
        </w:tc>
        <w:tc>
          <w:tcPr>
            <w:tcW w:w="104" w:type="dxa"/>
            <w:tcBorders/>
            <w:shd w:fill="auto" w:val="clear"/>
            <w:vAlign w:val="center"/>
          </w:tcPr>
          <w:p>
            <w:pPr>
              <w:pStyle w:val="TableContents"/>
              <w:spacing w:before="0" w:after="0"/>
              <w:ind w:left="0" w:right="0" w:firstLine="30"/>
              <w:rPr/>
            </w:pPr>
            <w:r>
              <w:rPr/>
              <w:t> </w:t>
            </w:r>
          </w:p>
        </w:tc>
        <w:tc>
          <w:tcPr>
            <w:tcW w:w="55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61-90</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&gt;90</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Past Due</w:t>
            </w:r>
          </w:p>
        </w:tc>
        <w:tc>
          <w:tcPr>
            <w:tcW w:w="104" w:type="dxa"/>
            <w:tcBorders/>
            <w:shd w:fill="auto" w:val="clear"/>
            <w:vAlign w:val="center"/>
          </w:tcPr>
          <w:p>
            <w:pPr>
              <w:pStyle w:val="TableContents"/>
              <w:spacing w:before="0" w:after="0"/>
              <w:ind w:left="0" w:right="0" w:firstLine="30"/>
              <w:rPr/>
            </w:pPr>
            <w:r>
              <w:rPr/>
              <w:t> </w:t>
            </w:r>
          </w:p>
        </w:tc>
        <w:tc>
          <w:tcPr>
            <w:tcW w:w="8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Receivable</w:t>
            </w:r>
          </w:p>
        </w:tc>
        <w:tc>
          <w:tcPr>
            <w:tcW w:w="104" w:type="dxa"/>
            <w:tcBorders/>
            <w:shd w:fill="auto" w:val="clear"/>
            <w:vAlign w:val="center"/>
          </w:tcPr>
          <w:p>
            <w:pPr>
              <w:pStyle w:val="TableContents"/>
              <w:spacing w:before="0" w:after="0"/>
              <w:ind w:left="0" w:right="0" w:firstLine="30"/>
              <w:rPr/>
            </w:pPr>
            <w:r>
              <w:rPr/>
              <w:t> </w:t>
            </w:r>
          </w:p>
        </w:tc>
        <w:tc>
          <w:tcPr>
            <w:tcW w:w="9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Adjustment</w:t>
            </w:r>
          </w:p>
        </w:tc>
        <w:tc>
          <w:tcPr>
            <w:tcW w:w="104" w:type="dxa"/>
            <w:tcBorders/>
            <w:shd w:fill="auto" w:val="clear"/>
            <w:vAlign w:val="center"/>
          </w:tcPr>
          <w:p>
            <w:pPr>
              <w:pStyle w:val="TableContents"/>
              <w:spacing w:before="0" w:after="0"/>
              <w:ind w:left="0" w:right="0" w:firstLine="30"/>
              <w:rPr/>
            </w:pPr>
            <w:r>
              <w:rPr/>
              <w:t> </w:t>
            </w:r>
          </w:p>
        </w:tc>
        <w:tc>
          <w:tcPr>
            <w:tcW w:w="8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Receivable</w:t>
            </w:r>
          </w:p>
        </w:tc>
        <w:tc>
          <w:tcPr>
            <w:tcW w:w="104" w:type="dxa"/>
            <w:tcBorders/>
            <w:shd w:fill="auto" w:val="clear"/>
            <w:vAlign w:val="center"/>
          </w:tcPr>
          <w:p>
            <w:pPr>
              <w:pStyle w:val="TableContents"/>
              <w:spacing w:before="0" w:after="0"/>
              <w:ind w:left="0" w:right="0" w:firstLine="30"/>
              <w:rPr/>
            </w:pPr>
            <w:r>
              <w:rPr/>
              <w:t> </w:t>
            </w:r>
          </w:p>
        </w:tc>
        <w:tc>
          <w:tcPr>
            <w:tcW w:w="8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Balance</w:t>
            </w:r>
          </w:p>
        </w:tc>
        <w:tc>
          <w:tcPr>
            <w:tcW w:w="104" w:type="dxa"/>
            <w:tcBorders/>
            <w:shd w:fill="auto" w:val="clear"/>
            <w:vAlign w:val="center"/>
          </w:tcPr>
          <w:p>
            <w:pPr>
              <w:pStyle w:val="TableContents"/>
              <w:spacing w:before="0" w:after="0"/>
              <w:ind w:left="0" w:right="0" w:firstLine="30"/>
              <w:rPr/>
            </w:pPr>
            <w:r>
              <w:rPr/>
              <w:t> </w:t>
            </w:r>
          </w:p>
        </w:tc>
        <w:tc>
          <w:tcPr>
            <w:tcW w:w="9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Accruing</w:t>
            </w:r>
          </w:p>
        </w:tc>
      </w:tr>
      <w:tr>
        <w:trPr/>
        <w:tc>
          <w:tcPr>
            <w:tcW w:w="1279" w:type="dxa"/>
            <w:tcBorders/>
            <w:shd w:fill="auto" w:val="clear"/>
            <w:vAlign w:val="center"/>
          </w:tcPr>
          <w:p>
            <w:pPr>
              <w:pStyle w:val="TableContents"/>
              <w:spacing w:before="0" w:after="0"/>
              <w:ind w:left="0" w:right="0" w:firstLine="30"/>
              <w:jc w:val="left"/>
              <w:rPr/>
            </w:pPr>
            <w:r>
              <w:rPr/>
              <w:t> </w:t>
            </w:r>
          </w:p>
        </w:tc>
        <w:tc>
          <w:tcPr>
            <w:tcW w:w="8926" w:type="dxa"/>
            <w:gridSpan w:val="3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29" w:type="dxa"/>
            <w:gridSpan w:val="12"/>
            <w:tcBorders/>
            <w:shd w:fill="CCEEFF" w:val="clear"/>
            <w:vAlign w:val="center"/>
          </w:tcPr>
          <w:p>
            <w:pPr>
              <w:pStyle w:val="TableContents"/>
              <w:spacing w:before="0" w:after="0"/>
              <w:ind w:left="0" w:right="0" w:firstLine="30"/>
              <w:rPr>
                <w:rFonts w:ascii="inherit" w:hAnsi="inherit"/>
                <w:b/>
                <w:sz w:val="15"/>
              </w:rPr>
            </w:pPr>
            <w:r>
              <w:rPr>
                <w:rFonts w:ascii="inherit" w:hAnsi="inherit"/>
                <w:b/>
                <w:sz w:val="15"/>
              </w:rPr>
              <w:t>Unsecured short-term consumer loans:*</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6"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9" w:type="dxa"/>
            <w:gridSpan w:val="3"/>
            <w:tcBorders/>
            <w:shd w:fill="CCEEFF" w:val="clear"/>
            <w:vAlign w:val="center"/>
          </w:tcPr>
          <w:p>
            <w:pPr>
              <w:pStyle w:val="TableContents"/>
              <w:spacing w:before="0" w:after="0"/>
              <w:ind w:left="0" w:right="0" w:firstLine="30"/>
              <w:rPr/>
            </w:pPr>
            <w:r>
              <w:rPr/>
              <w:t> </w:t>
            </w:r>
          </w:p>
        </w:tc>
      </w:tr>
      <w:tr>
        <w:trPr/>
        <w:tc>
          <w:tcPr>
            <w:tcW w:w="2017"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June 30, 2013</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551"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5"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6"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9" w:type="dxa"/>
            <w:gridSpan w:val="3"/>
            <w:tcBorders/>
            <w:shd w:fill="auto" w:val="clear"/>
            <w:vAlign w:val="center"/>
          </w:tcPr>
          <w:p>
            <w:pPr>
              <w:pStyle w:val="TableContents"/>
              <w:spacing w:before="0" w:after="0"/>
              <w:ind w:left="0" w:right="0" w:firstLine="420"/>
              <w:rPr/>
            </w:pPr>
            <w:r>
              <w:rPr/>
              <w:t> </w:t>
            </w:r>
          </w:p>
        </w:tc>
      </w:tr>
      <w:tr>
        <w:trPr/>
        <w:tc>
          <w:tcPr>
            <w:tcW w:w="127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2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45" w:type="dxa"/>
            <w:tcBorders/>
            <w:shd w:fill="CCEEFF" w:val="clear"/>
            <w:vAlign w:val="center"/>
          </w:tcPr>
          <w:p>
            <w:pPr>
              <w:pStyle w:val="TableContents"/>
              <w:spacing w:before="0" w:after="0"/>
              <w:jc w:val="right"/>
              <w:rPr>
                <w:rFonts w:ascii="inherit" w:hAnsi="inherit"/>
                <w:sz w:val="15"/>
              </w:rPr>
            </w:pPr>
            <w:r>
              <w:rPr>
                <w:rFonts w:ascii="inherit" w:hAnsi="inherit"/>
                <w:sz w:val="15"/>
              </w:rPr>
              <w:t>87</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35</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370" w:type="dxa"/>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pPr>
            <w:r>
              <w:rPr/>
              <w:t>—</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122</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CCEEFF" w:val="clear"/>
            <w:vAlign w:val="center"/>
          </w:tcPr>
          <w:p>
            <w:pPr>
              <w:pStyle w:val="TableContents"/>
              <w:spacing w:before="0" w:after="0"/>
              <w:jc w:val="right"/>
              <w:rPr>
                <w:rFonts w:ascii="inherit" w:hAnsi="inherit"/>
                <w:sz w:val="15"/>
              </w:rPr>
            </w:pPr>
            <w:r>
              <w:rPr>
                <w:rFonts w:ascii="inherit" w:hAnsi="inherit"/>
                <w:sz w:val="15"/>
              </w:rPr>
              <w:t>122</w:t>
            </w:r>
          </w:p>
        </w:tc>
        <w:tc>
          <w:tcPr>
            <w:tcW w:w="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0"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CCEEFF" w:val="clear"/>
            <w:vAlign w:val="center"/>
          </w:tcPr>
          <w:p>
            <w:pPr>
              <w:pStyle w:val="TableContents"/>
              <w:spacing w:before="0" w:after="0"/>
              <w:jc w:val="right"/>
              <w:rPr>
                <w:rFonts w:ascii="inherit" w:hAnsi="inherit"/>
                <w:sz w:val="15"/>
              </w:rPr>
            </w:pPr>
            <w:r>
              <w:rPr>
                <w:rFonts w:ascii="inherit" w:hAnsi="inherit"/>
                <w:sz w:val="15"/>
              </w:rPr>
              <w:t>244</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4" w:type="dxa"/>
            <w:tcBorders/>
            <w:shd w:fill="CCEEFF" w:val="clear"/>
            <w:vAlign w:val="center"/>
          </w:tcPr>
          <w:p>
            <w:pPr>
              <w:pStyle w:val="TableContents"/>
              <w:spacing w:before="0" w:after="0"/>
              <w:jc w:val="right"/>
              <w:rPr>
                <w:rFonts w:ascii="inherit" w:hAnsi="inherit"/>
                <w:sz w:val="15"/>
              </w:rPr>
            </w:pPr>
            <w:r>
              <w:rPr>
                <w:rFonts w:ascii="inherit" w:hAnsi="inherit"/>
                <w:sz w:val="15"/>
              </w:rPr>
              <w:t>61</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3" w:type="dxa"/>
            <w:tcBorders/>
            <w:shd w:fill="CCEEFF" w:val="clear"/>
            <w:vAlign w:val="center"/>
          </w:tcPr>
          <w:p>
            <w:pPr>
              <w:pStyle w:val="TableContents"/>
              <w:spacing w:before="0" w:after="0"/>
              <w:jc w:val="right"/>
              <w:rPr/>
            </w:pPr>
            <w:r>
              <w:rPr/>
              <w:t>—</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9" w:type="dxa"/>
            <w:gridSpan w:val="12"/>
            <w:tcBorders/>
            <w:shd w:fill="auto" w:val="clear"/>
            <w:vAlign w:val="center"/>
          </w:tcPr>
          <w:p>
            <w:pPr>
              <w:pStyle w:val="TableContents"/>
              <w:spacing w:before="0" w:after="0"/>
              <w:ind w:left="0" w:right="0" w:firstLine="30"/>
              <w:rPr>
                <w:rFonts w:ascii="inherit" w:hAnsi="inherit"/>
                <w:b/>
                <w:sz w:val="15"/>
              </w:rPr>
            </w:pPr>
            <w:r>
              <w:rPr>
                <w:rFonts w:ascii="inherit" w:hAnsi="inherit"/>
                <w:b/>
                <w:sz w:val="15"/>
              </w:rPr>
              <w:t>Secured short-term consumer loans:</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5"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6"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9" w:type="dxa"/>
            <w:gridSpan w:val="3"/>
            <w:tcBorders/>
            <w:shd w:fill="auto" w:val="clear"/>
            <w:vAlign w:val="center"/>
          </w:tcPr>
          <w:p>
            <w:pPr>
              <w:pStyle w:val="TableContents"/>
              <w:spacing w:before="0" w:after="0"/>
              <w:ind w:left="0" w:right="0" w:firstLine="30"/>
              <w:rPr/>
            </w:pPr>
            <w:r>
              <w:rPr/>
              <w:t> </w:t>
            </w:r>
          </w:p>
        </w:tc>
      </w:tr>
      <w:tr>
        <w:trPr/>
        <w:tc>
          <w:tcPr>
            <w:tcW w:w="2017" w:type="dxa"/>
            <w:gridSpan w:val="4"/>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June 30, 2013</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551"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6"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9" w:type="dxa"/>
            <w:gridSpan w:val="3"/>
            <w:tcBorders/>
            <w:shd w:fill="CCEEFF" w:val="clear"/>
            <w:vAlign w:val="center"/>
          </w:tcPr>
          <w:p>
            <w:pPr>
              <w:pStyle w:val="TableContents"/>
              <w:spacing w:before="0" w:after="0"/>
              <w:ind w:left="0" w:right="0" w:firstLine="420"/>
              <w:rPr/>
            </w:pPr>
            <w:r>
              <w:rPr/>
              <w:t> </w:t>
            </w:r>
          </w:p>
        </w:tc>
      </w:tr>
      <w:tr>
        <w:trPr/>
        <w:tc>
          <w:tcPr>
            <w:tcW w:w="127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2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45" w:type="dxa"/>
            <w:tcBorders/>
            <w:shd w:fill="auto" w:val="clear"/>
            <w:vAlign w:val="center"/>
          </w:tcPr>
          <w:p>
            <w:pPr>
              <w:pStyle w:val="TableContents"/>
              <w:spacing w:before="0" w:after="0"/>
              <w:jc w:val="right"/>
              <w:rPr>
                <w:rFonts w:ascii="inherit" w:hAnsi="inherit"/>
                <w:sz w:val="15"/>
              </w:rPr>
            </w:pPr>
            <w:r>
              <w:rPr>
                <w:rFonts w:ascii="inherit" w:hAnsi="inherit"/>
                <w:sz w:val="15"/>
              </w:rPr>
              <w:t>1,717</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800</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370" w:type="dxa"/>
            <w:tcBorders/>
            <w:shd w:fill="auto" w:val="clear"/>
            <w:vAlign w:val="center"/>
          </w:tcPr>
          <w:p>
            <w:pPr>
              <w:pStyle w:val="TableContents"/>
              <w:spacing w:before="0" w:after="0"/>
              <w:jc w:val="right"/>
              <w:rPr>
                <w:rFonts w:ascii="inherit" w:hAnsi="inherit"/>
                <w:sz w:val="15"/>
              </w:rPr>
            </w:pPr>
            <w:r>
              <w:rPr>
                <w:rFonts w:ascii="inherit" w:hAnsi="inherit"/>
                <w:sz w:val="15"/>
              </w:rPr>
              <w:t>544</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684</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3,745</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auto" w:val="clear"/>
            <w:vAlign w:val="center"/>
          </w:tcPr>
          <w:p>
            <w:pPr>
              <w:pStyle w:val="TableContents"/>
              <w:spacing w:before="0" w:after="0"/>
              <w:jc w:val="right"/>
              <w:rPr>
                <w:rFonts w:ascii="inherit" w:hAnsi="inherit"/>
                <w:sz w:val="15"/>
              </w:rPr>
            </w:pPr>
            <w:r>
              <w:rPr>
                <w:rFonts w:ascii="inherit" w:hAnsi="inherit"/>
                <w:sz w:val="15"/>
              </w:rPr>
              <w:t>3,946</w:t>
            </w:r>
          </w:p>
        </w:tc>
        <w:tc>
          <w:tcPr>
            <w:tcW w:w="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0"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auto" w:val="clear"/>
            <w:vAlign w:val="center"/>
          </w:tcPr>
          <w:p>
            <w:pPr>
              <w:pStyle w:val="TableContents"/>
              <w:spacing w:before="0" w:after="0"/>
              <w:jc w:val="right"/>
              <w:rPr>
                <w:rFonts w:ascii="inherit" w:hAnsi="inherit"/>
                <w:sz w:val="15"/>
              </w:rPr>
            </w:pPr>
            <w:r>
              <w:rPr>
                <w:rFonts w:ascii="inherit" w:hAnsi="inherit"/>
                <w:sz w:val="15"/>
              </w:rPr>
              <w:t>7,691</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34" w:type="dxa"/>
            <w:tcBorders/>
            <w:shd w:fill="auto" w:val="clear"/>
            <w:vAlign w:val="center"/>
          </w:tcPr>
          <w:p>
            <w:pPr>
              <w:pStyle w:val="TableContents"/>
              <w:spacing w:before="0" w:after="0"/>
              <w:jc w:val="right"/>
              <w:rPr>
                <w:rFonts w:ascii="inherit" w:hAnsi="inherit"/>
                <w:sz w:val="15"/>
              </w:rPr>
            </w:pPr>
            <w:r>
              <w:rPr>
                <w:rFonts w:ascii="inherit" w:hAnsi="inherit"/>
                <w:sz w:val="15"/>
              </w:rPr>
              <w:t>1,303</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83"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17" w:type="dxa"/>
            <w:gridSpan w:val="4"/>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June 30, 2012</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551"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6"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9" w:type="dxa"/>
            <w:gridSpan w:val="3"/>
            <w:tcBorders/>
            <w:shd w:fill="CCEEFF" w:val="clear"/>
            <w:vAlign w:val="center"/>
          </w:tcPr>
          <w:p>
            <w:pPr>
              <w:pStyle w:val="TableContents"/>
              <w:spacing w:before="0" w:after="0"/>
              <w:ind w:left="0" w:right="0" w:firstLine="420"/>
              <w:rPr/>
            </w:pPr>
            <w:r>
              <w:rPr/>
              <w:t> </w:t>
            </w:r>
          </w:p>
        </w:tc>
      </w:tr>
      <w:tr>
        <w:trPr/>
        <w:tc>
          <w:tcPr>
            <w:tcW w:w="127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2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45" w:type="dxa"/>
            <w:tcBorders/>
            <w:shd w:fill="auto" w:val="clear"/>
            <w:vAlign w:val="center"/>
          </w:tcPr>
          <w:p>
            <w:pPr>
              <w:pStyle w:val="TableContents"/>
              <w:spacing w:before="0" w:after="0"/>
              <w:jc w:val="right"/>
              <w:rPr>
                <w:rFonts w:ascii="inherit" w:hAnsi="inherit"/>
                <w:sz w:val="15"/>
              </w:rPr>
            </w:pPr>
            <w:r>
              <w:rPr>
                <w:rFonts w:ascii="inherit" w:hAnsi="inherit"/>
                <w:sz w:val="15"/>
              </w:rPr>
              <w:t>838</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360</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370" w:type="dxa"/>
            <w:tcBorders/>
            <w:shd w:fill="auto" w:val="clear"/>
            <w:vAlign w:val="center"/>
          </w:tcPr>
          <w:p>
            <w:pPr>
              <w:pStyle w:val="TableContents"/>
              <w:spacing w:before="0" w:after="0"/>
              <w:jc w:val="right"/>
              <w:rPr>
                <w:rFonts w:ascii="inherit" w:hAnsi="inherit"/>
                <w:sz w:val="15"/>
              </w:rPr>
            </w:pPr>
            <w:r>
              <w:rPr>
                <w:rFonts w:ascii="inherit" w:hAnsi="inherit"/>
                <w:sz w:val="15"/>
              </w:rPr>
              <w:t>239</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246</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1,683</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auto" w:val="clear"/>
            <w:vAlign w:val="center"/>
          </w:tcPr>
          <w:p>
            <w:pPr>
              <w:pStyle w:val="TableContents"/>
              <w:spacing w:before="0" w:after="0"/>
              <w:jc w:val="right"/>
              <w:rPr>
                <w:rFonts w:ascii="inherit" w:hAnsi="inherit"/>
                <w:sz w:val="15"/>
              </w:rPr>
            </w:pPr>
            <w:r>
              <w:rPr>
                <w:rFonts w:ascii="inherit" w:hAnsi="inherit"/>
                <w:sz w:val="15"/>
              </w:rPr>
              <w:t>2,584</w:t>
            </w:r>
          </w:p>
        </w:tc>
        <w:tc>
          <w:tcPr>
            <w:tcW w:w="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0"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auto" w:val="clear"/>
            <w:vAlign w:val="center"/>
          </w:tcPr>
          <w:p>
            <w:pPr>
              <w:pStyle w:val="TableContents"/>
              <w:spacing w:before="0" w:after="0"/>
              <w:jc w:val="right"/>
              <w:rPr>
                <w:rFonts w:ascii="inherit" w:hAnsi="inherit"/>
                <w:sz w:val="15"/>
              </w:rPr>
            </w:pPr>
            <w:r>
              <w:rPr>
                <w:rFonts w:ascii="inherit" w:hAnsi="inherit"/>
                <w:sz w:val="15"/>
              </w:rPr>
              <w:t>4,267</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34" w:type="dxa"/>
            <w:tcBorders/>
            <w:shd w:fill="auto" w:val="clear"/>
            <w:vAlign w:val="center"/>
          </w:tcPr>
          <w:p>
            <w:pPr>
              <w:pStyle w:val="TableContents"/>
              <w:spacing w:before="0" w:after="0"/>
              <w:jc w:val="right"/>
              <w:rPr>
                <w:rFonts w:ascii="inherit" w:hAnsi="inherit"/>
                <w:sz w:val="15"/>
              </w:rPr>
            </w:pPr>
            <w:r>
              <w:rPr>
                <w:rFonts w:ascii="inherit" w:hAnsi="inherit"/>
                <w:sz w:val="15"/>
              </w:rPr>
              <w:t>596</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83"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17" w:type="dxa"/>
            <w:gridSpan w:val="4"/>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2012</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551"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6"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9" w:type="dxa"/>
            <w:gridSpan w:val="3"/>
            <w:tcBorders/>
            <w:shd w:fill="CCEEFF" w:val="clear"/>
            <w:vAlign w:val="center"/>
          </w:tcPr>
          <w:p>
            <w:pPr>
              <w:pStyle w:val="TableContents"/>
              <w:spacing w:before="0" w:after="0"/>
              <w:ind w:left="0" w:right="0" w:firstLine="420"/>
              <w:rPr/>
            </w:pPr>
            <w:r>
              <w:rPr/>
              <w:t> </w:t>
            </w:r>
          </w:p>
        </w:tc>
      </w:tr>
      <w:tr>
        <w:trPr/>
        <w:tc>
          <w:tcPr>
            <w:tcW w:w="127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2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45" w:type="dxa"/>
            <w:tcBorders/>
            <w:shd w:fill="auto" w:val="clear"/>
            <w:vAlign w:val="center"/>
          </w:tcPr>
          <w:p>
            <w:pPr>
              <w:pStyle w:val="TableContents"/>
              <w:spacing w:before="0" w:after="0"/>
              <w:jc w:val="right"/>
              <w:rPr>
                <w:rFonts w:ascii="inherit" w:hAnsi="inherit"/>
                <w:sz w:val="15"/>
              </w:rPr>
            </w:pPr>
            <w:r>
              <w:rPr>
                <w:rFonts w:ascii="inherit" w:hAnsi="inherit"/>
                <w:sz w:val="15"/>
              </w:rPr>
              <w:t>1,246</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708</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370" w:type="dxa"/>
            <w:tcBorders/>
            <w:shd w:fill="auto" w:val="clear"/>
            <w:vAlign w:val="center"/>
          </w:tcPr>
          <w:p>
            <w:pPr>
              <w:pStyle w:val="TableContents"/>
              <w:spacing w:before="0" w:after="0"/>
              <w:jc w:val="right"/>
              <w:rPr>
                <w:rFonts w:ascii="inherit" w:hAnsi="inherit"/>
                <w:sz w:val="15"/>
              </w:rPr>
            </w:pPr>
            <w:r>
              <w:rPr>
                <w:rFonts w:ascii="inherit" w:hAnsi="inherit"/>
                <w:sz w:val="15"/>
              </w:rPr>
              <w:t>466</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391</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auto" w:val="clear"/>
            <w:vAlign w:val="center"/>
          </w:tcPr>
          <w:p>
            <w:pPr>
              <w:pStyle w:val="TableContents"/>
              <w:spacing w:before="0" w:after="0"/>
              <w:jc w:val="right"/>
              <w:rPr>
                <w:rFonts w:ascii="inherit" w:hAnsi="inherit"/>
                <w:sz w:val="15"/>
              </w:rPr>
            </w:pPr>
            <w:r>
              <w:rPr>
                <w:rFonts w:ascii="inherit" w:hAnsi="inherit"/>
                <w:sz w:val="15"/>
              </w:rPr>
              <w:t>2,811</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auto" w:val="clear"/>
            <w:vAlign w:val="center"/>
          </w:tcPr>
          <w:p>
            <w:pPr>
              <w:pStyle w:val="TableContents"/>
              <w:spacing w:before="0" w:after="0"/>
              <w:jc w:val="right"/>
              <w:rPr>
                <w:rFonts w:ascii="inherit" w:hAnsi="inherit"/>
                <w:sz w:val="15"/>
              </w:rPr>
            </w:pPr>
            <w:r>
              <w:rPr>
                <w:rFonts w:ascii="inherit" w:hAnsi="inherit"/>
                <w:sz w:val="15"/>
              </w:rPr>
              <w:t>3,140</w:t>
            </w:r>
          </w:p>
        </w:tc>
        <w:tc>
          <w:tcPr>
            <w:tcW w:w="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0"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auto" w:val="clear"/>
            <w:vAlign w:val="center"/>
          </w:tcPr>
          <w:p>
            <w:pPr>
              <w:pStyle w:val="TableContents"/>
              <w:spacing w:before="0" w:after="0"/>
              <w:jc w:val="right"/>
              <w:rPr>
                <w:rFonts w:ascii="inherit" w:hAnsi="inherit"/>
                <w:sz w:val="15"/>
              </w:rPr>
            </w:pPr>
            <w:r>
              <w:rPr>
                <w:rFonts w:ascii="inherit" w:hAnsi="inherit"/>
                <w:sz w:val="15"/>
              </w:rPr>
              <w:t>5,951</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34" w:type="dxa"/>
            <w:tcBorders/>
            <w:shd w:fill="auto" w:val="clear"/>
            <w:vAlign w:val="center"/>
          </w:tcPr>
          <w:p>
            <w:pPr>
              <w:pStyle w:val="TableContents"/>
              <w:spacing w:before="0" w:after="0"/>
              <w:jc w:val="right"/>
              <w:rPr>
                <w:rFonts w:ascii="inherit" w:hAnsi="inherit"/>
                <w:sz w:val="15"/>
              </w:rPr>
            </w:pPr>
            <w:r>
              <w:rPr>
                <w:rFonts w:ascii="inherit" w:hAnsi="inherit"/>
                <w:sz w:val="15"/>
              </w:rPr>
              <w:t>942</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83"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9" w:type="dxa"/>
            <w:gridSpan w:val="12"/>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long-term consumer loans:</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5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6"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3"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9" w:type="dxa"/>
            <w:gridSpan w:val="3"/>
            <w:tcBorders/>
            <w:shd w:fill="CCEEFF" w:val="clear"/>
            <w:vAlign w:val="center"/>
          </w:tcPr>
          <w:p>
            <w:pPr>
              <w:pStyle w:val="TableContents"/>
              <w:spacing w:before="0" w:after="0"/>
              <w:ind w:left="0" w:right="0" w:firstLine="30"/>
              <w:rPr/>
            </w:pPr>
            <w:r>
              <w:rPr/>
              <w:t> </w:t>
            </w:r>
          </w:p>
        </w:tc>
      </w:tr>
      <w:tr>
        <w:trPr/>
        <w:tc>
          <w:tcPr>
            <w:tcW w:w="2017"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June 30, 2013</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551"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5"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6"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9" w:type="dxa"/>
            <w:gridSpan w:val="3"/>
            <w:tcBorders/>
            <w:shd w:fill="auto" w:val="clear"/>
            <w:vAlign w:val="center"/>
          </w:tcPr>
          <w:p>
            <w:pPr>
              <w:pStyle w:val="TableContents"/>
              <w:spacing w:before="0" w:after="0"/>
              <w:ind w:left="0" w:right="0" w:firstLine="420"/>
              <w:rPr/>
            </w:pPr>
            <w:r>
              <w:rPr/>
              <w:t> </w:t>
            </w:r>
          </w:p>
        </w:tc>
      </w:tr>
      <w:tr>
        <w:trPr/>
        <w:tc>
          <w:tcPr>
            <w:tcW w:w="127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738" w:type="dxa"/>
            <w:gridSpan w:val="3"/>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$13,027</w:t>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4,671</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370" w:type="dxa"/>
            <w:tcBorders/>
            <w:shd w:fill="CCEEFF" w:val="clear"/>
            <w:vAlign w:val="center"/>
          </w:tcPr>
          <w:p>
            <w:pPr>
              <w:pStyle w:val="TableContents"/>
              <w:spacing w:before="0" w:after="0"/>
              <w:jc w:val="right"/>
              <w:rPr>
                <w:rFonts w:ascii="inherit" w:hAnsi="inherit"/>
                <w:sz w:val="15"/>
              </w:rPr>
            </w:pPr>
            <w:r>
              <w:rPr>
                <w:rFonts w:ascii="inherit" w:hAnsi="inherit"/>
                <w:sz w:val="15"/>
              </w:rPr>
              <w:t>865</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27,576</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46,139</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CCEEFF" w:val="clear"/>
            <w:vAlign w:val="center"/>
          </w:tcPr>
          <w:p>
            <w:pPr>
              <w:pStyle w:val="TableContents"/>
              <w:spacing w:before="0" w:after="0"/>
              <w:jc w:val="right"/>
              <w:rPr>
                <w:rFonts w:ascii="inherit" w:hAnsi="inherit"/>
                <w:sz w:val="15"/>
              </w:rPr>
            </w:pPr>
            <w:r>
              <w:rPr>
                <w:rFonts w:ascii="inherit" w:hAnsi="inherit"/>
                <w:sz w:val="15"/>
              </w:rPr>
              <w:t>53,209</w:t>
            </w:r>
          </w:p>
        </w:tc>
        <w:tc>
          <w:tcPr>
            <w:tcW w:w="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0" w:type="dxa"/>
            <w:tcBorders/>
            <w:shd w:fill="CCEEFF" w:val="clear"/>
            <w:vAlign w:val="center"/>
          </w:tcPr>
          <w:p>
            <w:pPr>
              <w:pStyle w:val="TableContents"/>
              <w:spacing w:before="0" w:after="0"/>
              <w:jc w:val="right"/>
              <w:rPr>
                <w:rFonts w:ascii="inherit" w:hAnsi="inherit"/>
                <w:sz w:val="15"/>
              </w:rPr>
            </w:pPr>
            <w:r>
              <w:rPr>
                <w:rFonts w:ascii="inherit" w:hAnsi="inherit"/>
                <w:sz w:val="15"/>
              </w:rPr>
              <w:t>(497</w:t>
            </w:r>
          </w:p>
        </w:tc>
        <w:tc>
          <w:tcPr>
            <w:tcW w:w="1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CCEEFF" w:val="clear"/>
            <w:vAlign w:val="center"/>
          </w:tcPr>
          <w:p>
            <w:pPr>
              <w:pStyle w:val="TableContents"/>
              <w:spacing w:before="0" w:after="0"/>
              <w:jc w:val="right"/>
              <w:rPr>
                <w:rFonts w:ascii="inherit" w:hAnsi="inherit"/>
                <w:sz w:val="15"/>
              </w:rPr>
            </w:pPr>
            <w:r>
              <w:rPr>
                <w:rFonts w:ascii="inherit" w:hAnsi="inherit"/>
                <w:sz w:val="15"/>
              </w:rPr>
              <w:t>98,851</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4" w:type="dxa"/>
            <w:tcBorders/>
            <w:shd w:fill="CCEEFF" w:val="clear"/>
            <w:vAlign w:val="center"/>
          </w:tcPr>
          <w:p>
            <w:pPr>
              <w:pStyle w:val="TableContents"/>
              <w:spacing w:before="0" w:after="0"/>
              <w:jc w:val="right"/>
              <w:rPr>
                <w:rFonts w:ascii="inherit" w:hAnsi="inherit"/>
                <w:sz w:val="15"/>
              </w:rPr>
            </w:pPr>
            <w:r>
              <w:rPr>
                <w:rFonts w:ascii="inherit" w:hAnsi="inherit"/>
                <w:sz w:val="15"/>
              </w:rPr>
              <w:t>627</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3" w:type="dxa"/>
            <w:tcBorders/>
            <w:shd w:fill="CCEEFF" w:val="clear"/>
            <w:vAlign w:val="center"/>
          </w:tcPr>
          <w:p>
            <w:pPr>
              <w:pStyle w:val="TableContents"/>
              <w:spacing w:before="0" w:after="0"/>
              <w:jc w:val="right"/>
              <w:rPr>
                <w:rFonts w:ascii="inherit" w:hAnsi="inherit"/>
                <w:sz w:val="15"/>
              </w:rPr>
            </w:pPr>
            <w:r>
              <w:rPr>
                <w:rFonts w:ascii="inherit" w:hAnsi="inherit"/>
                <w:sz w:val="15"/>
              </w:rPr>
              <w:t>27,576</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17"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June 30, 2012</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551"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5"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6"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9" w:type="dxa"/>
            <w:gridSpan w:val="3"/>
            <w:tcBorders/>
            <w:shd w:fill="auto" w:val="clear"/>
            <w:vAlign w:val="center"/>
          </w:tcPr>
          <w:p>
            <w:pPr>
              <w:pStyle w:val="TableContents"/>
              <w:spacing w:before="0" w:after="0"/>
              <w:ind w:left="0" w:right="0" w:firstLine="420"/>
              <w:rPr/>
            </w:pPr>
            <w:r>
              <w:rPr/>
              <w:t> </w:t>
            </w:r>
          </w:p>
        </w:tc>
      </w:tr>
      <w:tr>
        <w:trPr/>
        <w:tc>
          <w:tcPr>
            <w:tcW w:w="127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738" w:type="dxa"/>
            <w:gridSpan w:val="3"/>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$2,645</w:t>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23,532</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370" w:type="dxa"/>
            <w:tcBorders/>
            <w:shd w:fill="CCEEFF" w:val="clear"/>
            <w:vAlign w:val="center"/>
          </w:tcPr>
          <w:p>
            <w:pPr>
              <w:pStyle w:val="TableContents"/>
              <w:spacing w:before="0" w:after="0"/>
              <w:jc w:val="right"/>
              <w:rPr>
                <w:rFonts w:ascii="inherit" w:hAnsi="inherit"/>
                <w:sz w:val="15"/>
              </w:rPr>
            </w:pPr>
            <w:r>
              <w:rPr>
                <w:rFonts w:ascii="inherit" w:hAnsi="inherit"/>
                <w:sz w:val="15"/>
              </w:rPr>
              <w:t>403</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4,282</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30,862</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CCEEFF" w:val="clear"/>
            <w:vAlign w:val="center"/>
          </w:tcPr>
          <w:p>
            <w:pPr>
              <w:pStyle w:val="TableContents"/>
              <w:spacing w:before="0" w:after="0"/>
              <w:jc w:val="right"/>
              <w:rPr>
                <w:rFonts w:ascii="inherit" w:hAnsi="inherit"/>
                <w:sz w:val="15"/>
              </w:rPr>
            </w:pPr>
            <w:r>
              <w:rPr>
                <w:rFonts w:ascii="inherit" w:hAnsi="inherit"/>
                <w:sz w:val="15"/>
              </w:rPr>
              <w:t>36,555</w:t>
            </w:r>
          </w:p>
        </w:tc>
        <w:tc>
          <w:tcPr>
            <w:tcW w:w="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0" w:type="dxa"/>
            <w:tcBorders/>
            <w:shd w:fill="CCEEFF" w:val="clear"/>
            <w:vAlign w:val="center"/>
          </w:tcPr>
          <w:p>
            <w:pPr>
              <w:pStyle w:val="TableContents"/>
              <w:spacing w:before="0" w:after="0"/>
              <w:jc w:val="right"/>
              <w:rPr>
                <w:rFonts w:ascii="inherit" w:hAnsi="inherit"/>
                <w:sz w:val="15"/>
              </w:rPr>
            </w:pPr>
            <w:r>
              <w:rPr>
                <w:rFonts w:ascii="inherit" w:hAnsi="inherit"/>
                <w:sz w:val="15"/>
              </w:rPr>
              <w:t>(2,993</w:t>
            </w:r>
          </w:p>
        </w:tc>
        <w:tc>
          <w:tcPr>
            <w:tcW w:w="1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CCEEFF" w:val="clear"/>
            <w:vAlign w:val="center"/>
          </w:tcPr>
          <w:p>
            <w:pPr>
              <w:pStyle w:val="TableContents"/>
              <w:spacing w:before="0" w:after="0"/>
              <w:jc w:val="right"/>
              <w:rPr>
                <w:rFonts w:ascii="inherit" w:hAnsi="inherit"/>
                <w:sz w:val="15"/>
              </w:rPr>
            </w:pPr>
            <w:r>
              <w:rPr>
                <w:rFonts w:ascii="inherit" w:hAnsi="inherit"/>
                <w:sz w:val="15"/>
              </w:rPr>
              <w:t>64,424</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4" w:type="dxa"/>
            <w:tcBorders/>
            <w:shd w:fill="CCEEFF" w:val="clear"/>
            <w:vAlign w:val="center"/>
          </w:tcPr>
          <w:p>
            <w:pPr>
              <w:pStyle w:val="TableContents"/>
              <w:spacing w:before="0" w:after="0"/>
              <w:jc w:val="right"/>
              <w:rPr>
                <w:rFonts w:ascii="inherit" w:hAnsi="inherit"/>
                <w:sz w:val="15"/>
              </w:rPr>
            </w:pPr>
            <w:r>
              <w:rPr>
                <w:rFonts w:ascii="inherit" w:hAnsi="inherit"/>
                <w:sz w:val="15"/>
              </w:rPr>
              <w:t>266</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3" w:type="dxa"/>
            <w:tcBorders/>
            <w:shd w:fill="CCEEFF" w:val="clear"/>
            <w:vAlign w:val="center"/>
          </w:tcPr>
          <w:p>
            <w:pPr>
              <w:pStyle w:val="TableContents"/>
              <w:spacing w:before="0" w:after="0"/>
              <w:jc w:val="right"/>
              <w:rPr>
                <w:rFonts w:ascii="inherit" w:hAnsi="inherit"/>
                <w:sz w:val="15"/>
              </w:rPr>
            </w:pPr>
            <w:r>
              <w:rPr>
                <w:rFonts w:ascii="inherit" w:hAnsi="inherit"/>
                <w:sz w:val="15"/>
              </w:rPr>
              <w:t>4,282</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17"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2012</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551"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5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5"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6"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3"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9" w:type="dxa"/>
            <w:gridSpan w:val="3"/>
            <w:tcBorders/>
            <w:shd w:fill="auto" w:val="clear"/>
            <w:vAlign w:val="center"/>
          </w:tcPr>
          <w:p>
            <w:pPr>
              <w:pStyle w:val="TableContents"/>
              <w:spacing w:before="0" w:after="0"/>
              <w:ind w:left="0" w:right="0" w:firstLine="420"/>
              <w:rPr/>
            </w:pPr>
            <w:r>
              <w:rPr/>
              <w:t> </w:t>
            </w:r>
          </w:p>
        </w:tc>
      </w:tr>
      <w:tr>
        <w:trPr/>
        <w:tc>
          <w:tcPr>
            <w:tcW w:w="127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2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45" w:type="dxa"/>
            <w:tcBorders/>
            <w:shd w:fill="CCEEFF" w:val="clear"/>
            <w:vAlign w:val="center"/>
          </w:tcPr>
          <w:p>
            <w:pPr>
              <w:pStyle w:val="TableContents"/>
              <w:spacing w:before="0" w:after="0"/>
              <w:jc w:val="right"/>
              <w:rPr>
                <w:rFonts w:ascii="inherit" w:hAnsi="inherit"/>
                <w:sz w:val="15"/>
              </w:rPr>
            </w:pPr>
            <w:r>
              <w:rPr>
                <w:rFonts w:ascii="inherit" w:hAnsi="inherit"/>
                <w:sz w:val="15"/>
              </w:rPr>
              <w:t>2,465</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28,783</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370" w:type="dxa"/>
            <w:tcBorders/>
            <w:shd w:fill="CCEEFF" w:val="clear"/>
            <w:vAlign w:val="center"/>
          </w:tcPr>
          <w:p>
            <w:pPr>
              <w:pStyle w:val="TableContents"/>
              <w:spacing w:before="0" w:after="0"/>
              <w:jc w:val="right"/>
              <w:rPr>
                <w:rFonts w:ascii="inherit" w:hAnsi="inherit"/>
                <w:sz w:val="15"/>
              </w:rPr>
            </w:pPr>
            <w:r>
              <w:rPr>
                <w:rFonts w:ascii="inherit" w:hAnsi="inherit"/>
                <w:sz w:val="15"/>
              </w:rPr>
              <w:t>949</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7,507</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2" w:type="dxa"/>
            <w:tcBorders/>
            <w:shd w:fill="CCEEFF" w:val="clear"/>
            <w:vAlign w:val="center"/>
          </w:tcPr>
          <w:p>
            <w:pPr>
              <w:pStyle w:val="TableContents"/>
              <w:spacing w:before="0" w:after="0"/>
              <w:jc w:val="right"/>
              <w:rPr>
                <w:rFonts w:ascii="inherit" w:hAnsi="inherit"/>
                <w:sz w:val="15"/>
              </w:rPr>
            </w:pPr>
            <w:r>
              <w:rPr>
                <w:rFonts w:ascii="inherit" w:hAnsi="inherit"/>
                <w:sz w:val="15"/>
              </w:rPr>
              <w:t>39,704</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CCEEFF" w:val="clear"/>
            <w:vAlign w:val="center"/>
          </w:tcPr>
          <w:p>
            <w:pPr>
              <w:pStyle w:val="TableContents"/>
              <w:spacing w:before="0" w:after="0"/>
              <w:jc w:val="right"/>
              <w:rPr>
                <w:rFonts w:ascii="inherit" w:hAnsi="inherit"/>
                <w:sz w:val="15"/>
              </w:rPr>
            </w:pPr>
            <w:r>
              <w:rPr>
                <w:rFonts w:ascii="inherit" w:hAnsi="inherit"/>
                <w:sz w:val="15"/>
              </w:rPr>
              <w:t>37,120</w:t>
            </w:r>
          </w:p>
        </w:tc>
        <w:tc>
          <w:tcPr>
            <w:tcW w:w="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0" w:type="dxa"/>
            <w:tcBorders/>
            <w:shd w:fill="CCEEFF" w:val="clear"/>
            <w:vAlign w:val="center"/>
          </w:tcPr>
          <w:p>
            <w:pPr>
              <w:pStyle w:val="TableContents"/>
              <w:spacing w:before="0" w:after="0"/>
              <w:jc w:val="right"/>
              <w:rPr>
                <w:rFonts w:ascii="inherit" w:hAnsi="inherit"/>
                <w:sz w:val="15"/>
              </w:rPr>
            </w:pPr>
            <w:r>
              <w:rPr>
                <w:rFonts w:ascii="inherit" w:hAnsi="inherit"/>
                <w:sz w:val="15"/>
              </w:rPr>
              <w:t>(2,779</w:t>
            </w:r>
          </w:p>
        </w:tc>
        <w:tc>
          <w:tcPr>
            <w:tcW w:w="1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7" w:type="dxa"/>
            <w:tcBorders/>
            <w:shd w:fill="CCEEFF" w:val="clear"/>
            <w:vAlign w:val="center"/>
          </w:tcPr>
          <w:p>
            <w:pPr>
              <w:pStyle w:val="TableContents"/>
              <w:spacing w:before="0" w:after="0"/>
              <w:jc w:val="right"/>
              <w:rPr>
                <w:rFonts w:ascii="inherit" w:hAnsi="inherit"/>
                <w:sz w:val="15"/>
              </w:rPr>
            </w:pPr>
            <w:r>
              <w:rPr>
                <w:rFonts w:ascii="inherit" w:hAnsi="inherit"/>
                <w:sz w:val="15"/>
              </w:rPr>
              <w:t>74,045</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4" w:type="dxa"/>
            <w:tcBorders/>
            <w:shd w:fill="CCEEFF" w:val="clear"/>
            <w:vAlign w:val="center"/>
          </w:tcPr>
          <w:p>
            <w:pPr>
              <w:pStyle w:val="TableContents"/>
              <w:spacing w:before="0" w:after="0"/>
              <w:jc w:val="right"/>
              <w:rPr>
                <w:rFonts w:ascii="inherit" w:hAnsi="inherit"/>
                <w:sz w:val="15"/>
              </w:rPr>
            </w:pPr>
            <w:r>
              <w:rPr>
                <w:rFonts w:ascii="inherit" w:hAnsi="inherit"/>
                <w:sz w:val="15"/>
              </w:rPr>
              <w:t>623</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3" w:type="dxa"/>
            <w:tcBorders/>
            <w:shd w:fill="CCEEFF" w:val="clear"/>
            <w:vAlign w:val="center"/>
          </w:tcPr>
          <w:p>
            <w:pPr>
              <w:pStyle w:val="TableContents"/>
              <w:spacing w:before="0" w:after="0"/>
              <w:jc w:val="right"/>
              <w:rPr>
                <w:rFonts w:ascii="inherit" w:hAnsi="inherit"/>
                <w:sz w:val="15"/>
              </w:rPr>
            </w:pPr>
            <w:r>
              <w:rPr>
                <w:rFonts w:ascii="inherit" w:hAnsi="inherit"/>
                <w:sz w:val="15"/>
              </w:rPr>
              <w:t>7,507</w:t>
            </w:r>
          </w:p>
        </w:tc>
        <w:tc>
          <w:tcPr>
            <w:tcW w:w="102"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3"/>
        </w:rPr>
      </w:pPr>
      <w:r>
        <w:rPr>
          <w:rFonts w:ascii="inherit" w:hAnsi="inherit"/>
          <w:sz w:val="13"/>
        </w:rPr>
        <w:t xml:space="preserve">* Unsecured short-term consumer loans amounts are included for periods after the acquisition of Go Cash. </w:t>
      </w:r>
    </w:p>
    <w:p>
      <w:pPr>
        <w:pStyle w:val="TextBody"/>
        <w:spacing w:lineRule="auto" w:line="288" w:before="0" w:after="0"/>
        <w:rPr>
          <w:sz w:val="17"/>
        </w:rPr>
      </w:pPr>
      <w:bookmarkStart w:id="26" w:name="s426EC4F937758A8F2470CD28FA7B50CC"/>
      <w:bookmarkEnd w:id="26"/>
      <w:r>
        <w:rPr>
          <w:rFonts w:ascii="inherit" w:hAnsi="inherit"/>
          <w:b/>
          <w:strike w:val="false"/>
          <w:dstrike w:val="false"/>
          <w:color w:val="000000"/>
          <w:sz w:val="17"/>
          <w:u w:val="none"/>
          <w:effect w:val="none"/>
        </w:rPr>
        <w:t>NOTE 14: FAIR VALUE MEASUREMENTS</w:t>
      </w:r>
      <w:r>
        <w:rPr>
          <w:sz w:val="17"/>
        </w:rPr>
        <w:t xml:space="preserve"> </w:t>
      </w:r>
    </w:p>
    <w:p>
      <w:pPr>
        <w:pStyle w:val="TextBody"/>
        <w:spacing w:lineRule="auto" w:line="288" w:before="0" w:after="0"/>
        <w:rPr>
          <w:sz w:val="17"/>
        </w:rPr>
      </w:pPr>
      <w:r>
        <w:rPr>
          <w:rFonts w:ascii="inherit" w:hAnsi="inherit"/>
          <w:sz w:val="17"/>
        </w:rPr>
        <w:t xml:space="preserve">In accordance with FASB ASC 820-10, </w:t>
      </w:r>
      <w:r>
        <w:rPr>
          <w:rFonts w:ascii="inherit" w:hAnsi="inherit"/>
          <w:i/>
          <w:sz w:val="17"/>
        </w:rPr>
        <w:t>Fair Value Measurements and Disclosures</w:t>
      </w:r>
      <w:r>
        <w:rPr>
          <w:rFonts w:ascii="inherit" w:hAnsi="inherit"/>
          <w:sz w:val="17"/>
        </w:rPr>
        <w:t>, our assets and liabilities, which are carried at fair value, are classified in one of the following three categories:</w:t>
      </w:r>
    </w:p>
    <w:p>
      <w:pPr>
        <w:pStyle w:val="TextBody"/>
        <w:spacing w:lineRule="auto" w:line="288" w:before="0" w:after="0"/>
        <w:rPr>
          <w:rFonts w:ascii="inherit" w:hAnsi="inherit"/>
          <w:sz w:val="17"/>
        </w:rPr>
      </w:pPr>
      <w:r>
        <w:rPr>
          <w:rFonts w:ascii="inherit" w:hAnsi="inherit"/>
          <w:sz w:val="17"/>
        </w:rPr>
        <w:t>Level 1: Quoted market prices in active markets for identical assets or liabilities.</w:t>
      </w:r>
    </w:p>
    <w:p>
      <w:pPr>
        <w:pStyle w:val="TextBody"/>
        <w:spacing w:lineRule="auto" w:line="288" w:before="0" w:after="0"/>
        <w:rPr>
          <w:rFonts w:ascii="inherit" w:hAnsi="inherit"/>
          <w:sz w:val="17"/>
        </w:rPr>
      </w:pPr>
      <w:r>
        <w:rPr>
          <w:rFonts w:ascii="inherit" w:hAnsi="inherit"/>
          <w:sz w:val="17"/>
        </w:rPr>
        <w:t>Level 2: Other observable inputs other than quoted market prices.</w:t>
      </w:r>
    </w:p>
    <w:p>
      <w:pPr>
        <w:pStyle w:val="TextBody"/>
        <w:spacing w:lineRule="auto" w:line="288" w:before="0" w:after="0"/>
        <w:rPr>
          <w:rFonts w:ascii="inherit" w:hAnsi="inherit"/>
          <w:sz w:val="17"/>
        </w:rPr>
      </w:pPr>
      <w:r>
        <w:rPr>
          <w:rFonts w:ascii="inherit" w:hAnsi="inherit"/>
          <w:sz w:val="17"/>
        </w:rPr>
        <w:t>Level 3: Unobservable inputs that are not corroborated by market data.</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The tables below present our financial assets that are measured at fair value on a recurring basis as of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863"/>
        <w:gridCol w:w="129"/>
        <w:gridCol w:w="175"/>
        <w:gridCol w:w="1310"/>
        <w:gridCol w:w="164"/>
        <w:gridCol w:w="129"/>
        <w:gridCol w:w="154"/>
        <w:gridCol w:w="1086"/>
        <w:gridCol w:w="88"/>
        <w:gridCol w:w="130"/>
        <w:gridCol w:w="154"/>
        <w:gridCol w:w="1086"/>
        <w:gridCol w:w="88"/>
        <w:gridCol w:w="130"/>
        <w:gridCol w:w="154"/>
        <w:gridCol w:w="1200"/>
        <w:gridCol w:w="165"/>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86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63" w:type="dxa"/>
            <w:tcBorders/>
            <w:shd w:fill="auto" w:val="clear"/>
            <w:vAlign w:val="center"/>
          </w:tcPr>
          <w:p>
            <w:pPr>
              <w:pStyle w:val="TableContents"/>
              <w:spacing w:before="0" w:after="0"/>
              <w:ind w:left="0" w:right="0" w:firstLine="30"/>
              <w:jc w:val="left"/>
              <w:rPr/>
            </w:pPr>
            <w:r>
              <w:rPr/>
              <w:t> </w:t>
            </w:r>
          </w:p>
        </w:tc>
        <w:tc>
          <w:tcPr>
            <w:tcW w:w="129" w:type="dxa"/>
            <w:vMerge w:val="restart"/>
            <w:tcBorders/>
            <w:shd w:fill="auto" w:val="clear"/>
            <w:vAlign w:val="center"/>
          </w:tcPr>
          <w:p>
            <w:pPr>
              <w:pStyle w:val="TableContents"/>
              <w:spacing w:before="0" w:after="0"/>
              <w:ind w:left="0" w:right="0" w:firstLine="30"/>
              <w:rPr/>
            </w:pPr>
            <w:r>
              <w:rPr/>
              <w:t> </w:t>
            </w:r>
          </w:p>
        </w:tc>
        <w:tc>
          <w:tcPr>
            <w:tcW w:w="164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2013</w:t>
            </w:r>
          </w:p>
        </w:tc>
        <w:tc>
          <w:tcPr>
            <w:tcW w:w="129" w:type="dxa"/>
            <w:vMerge w:val="restart"/>
            <w:tcBorders/>
            <w:shd w:fill="auto" w:val="clear"/>
            <w:vAlign w:val="center"/>
          </w:tcPr>
          <w:p>
            <w:pPr>
              <w:pStyle w:val="TableContents"/>
              <w:spacing w:before="0" w:after="0"/>
              <w:ind w:left="0" w:right="0" w:firstLine="30"/>
              <w:rPr/>
            </w:pPr>
            <w:r>
              <w:rPr/>
              <w:t> </w:t>
            </w:r>
          </w:p>
        </w:tc>
        <w:tc>
          <w:tcPr>
            <w:tcW w:w="443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863"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7"/>
              </w:rPr>
            </w:pPr>
            <w:r>
              <w:rPr>
                <w:rFonts w:ascii="inherit" w:hAnsi="inherit"/>
                <w:b/>
                <w:sz w:val="17"/>
              </w:rPr>
              <w:t>Financial assets (liabilities or temporary equity):</w:t>
            </w:r>
          </w:p>
        </w:tc>
        <w:tc>
          <w:tcPr>
            <w:tcW w:w="129" w:type="dxa"/>
            <w:vMerge w:val="continue"/>
            <w:tcBorders/>
            <w:shd w:fill="auto" w:val="clear"/>
            <w:vAlign w:val="center"/>
          </w:tcPr>
          <w:p>
            <w:pPr>
              <w:pStyle w:val="Normal"/>
              <w:rPr/>
            </w:pPr>
            <w:r>
              <w:rPr/>
            </w:r>
          </w:p>
        </w:tc>
        <w:tc>
          <w:tcPr>
            <w:tcW w:w="1649" w:type="dxa"/>
            <w:gridSpan w:val="3"/>
            <w:vMerge w:val="continue"/>
            <w:tcBorders>
              <w:bottom w:val="single" w:sz="2" w:space="0" w:color="000000"/>
            </w:tcBorders>
            <w:shd w:fill="auto" w:val="clear"/>
            <w:tcMar>
              <w:bottom w:w="30" w:type="dxa"/>
            </w:tcMar>
            <w:vAlign w:val="center"/>
          </w:tcPr>
          <w:p>
            <w:pPr>
              <w:pStyle w:val="Normal"/>
              <w:rPr/>
            </w:pPr>
            <w:r>
              <w:rPr/>
            </w:r>
          </w:p>
        </w:tc>
        <w:tc>
          <w:tcPr>
            <w:tcW w:w="129" w:type="dxa"/>
            <w:vMerge w:val="continue"/>
            <w:tcBorders/>
            <w:shd w:fill="auto" w:val="clear"/>
            <w:vAlign w:val="center"/>
          </w:tcPr>
          <w:p>
            <w:pPr>
              <w:pStyle w:val="Normal"/>
              <w:rPr/>
            </w:pPr>
            <w:r>
              <w:rPr/>
            </w:r>
          </w:p>
        </w:tc>
        <w:tc>
          <w:tcPr>
            <w:tcW w:w="13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30" w:type="dxa"/>
            <w:tcBorders/>
            <w:shd w:fill="auto" w:val="clear"/>
            <w:vAlign w:val="center"/>
          </w:tcPr>
          <w:p>
            <w:pPr>
              <w:pStyle w:val="TableContents"/>
              <w:spacing w:before="0" w:after="0"/>
              <w:ind w:left="0" w:right="0" w:firstLine="30"/>
              <w:rPr/>
            </w:pPr>
            <w:r>
              <w:rPr/>
              <w:t> </w:t>
            </w:r>
          </w:p>
        </w:tc>
        <w:tc>
          <w:tcPr>
            <w:tcW w:w="13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30" w:type="dxa"/>
            <w:tcBorders/>
            <w:shd w:fill="auto" w:val="clear"/>
            <w:vAlign w:val="center"/>
          </w:tcPr>
          <w:p>
            <w:pPr>
              <w:pStyle w:val="TableContents"/>
              <w:spacing w:before="0" w:after="0"/>
              <w:ind w:left="0" w:right="0" w:firstLine="30"/>
              <w:rPr/>
            </w:pPr>
            <w:r>
              <w:rPr/>
              <w:t> </w:t>
            </w:r>
          </w:p>
        </w:tc>
        <w:tc>
          <w:tcPr>
            <w:tcW w:w="15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863"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6213" w:type="dxa"/>
            <w:gridSpan w:val="15"/>
            <w:tcBorders/>
            <w:shd w:fill="CCEEFF"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8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29"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0" w:type="dxa"/>
            <w:tcBorders/>
            <w:shd w:fill="auto" w:val="clear"/>
            <w:vAlign w:val="center"/>
          </w:tcPr>
          <w:p>
            <w:pPr>
              <w:pStyle w:val="TableContents"/>
              <w:spacing w:before="0" w:after="0"/>
              <w:jc w:val="right"/>
              <w:rPr>
                <w:rFonts w:ascii="inherit" w:hAnsi="inherit"/>
                <w:sz w:val="17"/>
              </w:rPr>
            </w:pPr>
            <w:r>
              <w:rPr>
                <w:rFonts w:ascii="inherit" w:hAnsi="inherit"/>
                <w:sz w:val="17"/>
              </w:rPr>
              <w:t>2,910</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shd w:fill="auto" w:val="clear"/>
            <w:vAlign w:val="center"/>
          </w:tcPr>
          <w:p>
            <w:pPr>
              <w:pStyle w:val="TableContents"/>
              <w:spacing w:before="0" w:after="0"/>
              <w:jc w:val="right"/>
              <w:rPr>
                <w:rFonts w:ascii="inherit" w:hAnsi="inherit"/>
                <w:sz w:val="17"/>
              </w:rPr>
            </w:pPr>
            <w:r>
              <w:rPr>
                <w:rFonts w:ascii="inherit" w:hAnsi="inherit"/>
                <w:sz w:val="17"/>
              </w:rPr>
              <w:t>2,910</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shd w:fill="auto" w:val="clear"/>
            <w:vAlign w:val="center"/>
          </w:tcPr>
          <w:p>
            <w:pPr>
              <w:pStyle w:val="TableContents"/>
              <w:spacing w:before="0" w:after="0"/>
              <w:jc w:val="right"/>
              <w:rPr/>
            </w:pPr>
            <w:r>
              <w:rPr/>
              <w:t>—</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Forward contracts</w:t>
            </w:r>
          </w:p>
        </w:tc>
        <w:tc>
          <w:tcPr>
            <w:tcW w:w="129" w:type="dxa"/>
            <w:tcBorders/>
            <w:shd w:fill="CCEEFF" w:val="clear"/>
            <w:vAlign w:val="center"/>
          </w:tcPr>
          <w:p>
            <w:pPr>
              <w:pStyle w:val="TableContents"/>
              <w:spacing w:before="0" w:after="0"/>
              <w:ind w:left="0" w:right="0" w:firstLine="30"/>
              <w:rPr/>
            </w:pPr>
            <w:r>
              <w:rPr/>
              <w:t> </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2,395</w:t>
            </w:r>
          </w:p>
        </w:tc>
        <w:tc>
          <w:tcPr>
            <w:tcW w:w="1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2,395</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Contingent consideration</w:t>
            </w:r>
          </w:p>
        </w:tc>
        <w:tc>
          <w:tcPr>
            <w:tcW w:w="129" w:type="dxa"/>
            <w:tcBorders/>
            <w:shd w:fill="auto" w:val="clear"/>
            <w:vAlign w:val="center"/>
          </w:tcPr>
          <w:p>
            <w:pPr>
              <w:pStyle w:val="TableContents"/>
              <w:spacing w:before="0" w:after="0"/>
              <w:ind w:left="0" w:right="0" w:firstLine="30"/>
              <w:rPr/>
            </w:pPr>
            <w:r>
              <w:rPr/>
              <w:t> </w:t>
            </w:r>
          </w:p>
        </w:tc>
        <w:tc>
          <w:tcPr>
            <w:tcW w:w="1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(11,178</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(11,178</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Redeemable noncontrolling interest</w:t>
            </w:r>
          </w:p>
        </w:tc>
        <w:tc>
          <w:tcPr>
            <w:tcW w:w="129" w:type="dxa"/>
            <w:tcBorders/>
            <w:shd w:fill="CCEEFF" w:val="clear"/>
            <w:vAlign w:val="center"/>
          </w:tcPr>
          <w:p>
            <w:pPr>
              <w:pStyle w:val="TableContents"/>
              <w:spacing w:before="0" w:after="0"/>
              <w:ind w:left="0" w:right="0" w:firstLine="30"/>
              <w:rPr/>
            </w:pPr>
            <w:r>
              <w:rPr/>
              <w:t> </w:t>
            </w:r>
          </w:p>
        </w:tc>
        <w:tc>
          <w:tcPr>
            <w:tcW w:w="1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(56,837</w:t>
            </w:r>
          </w:p>
        </w:tc>
        <w:tc>
          <w:tcPr>
            <w:tcW w:w="16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(56,837</w:t>
            </w:r>
          </w:p>
        </w:tc>
        <w:tc>
          <w:tcPr>
            <w:tcW w:w="16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financial assets (liabilities or temporary equity)</w:t>
            </w:r>
          </w:p>
        </w:tc>
        <w:tc>
          <w:tcPr>
            <w:tcW w:w="129" w:type="dxa"/>
            <w:tcBorders/>
            <w:shd w:fill="auto" w:val="clear"/>
            <w:vAlign w:val="center"/>
          </w:tcPr>
          <w:p>
            <w:pPr>
              <w:pStyle w:val="TableContents"/>
              <w:spacing w:before="0" w:after="0"/>
              <w:ind w:left="0" w:right="0" w:firstLine="30"/>
              <w:rPr/>
            </w:pPr>
            <w:r>
              <w:rPr/>
              <w:t> </w:t>
            </w:r>
          </w:p>
        </w:tc>
        <w:tc>
          <w:tcPr>
            <w:tcW w:w="17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(62,710</w:t>
            </w:r>
          </w:p>
        </w:tc>
        <w:tc>
          <w:tcPr>
            <w:tcW w:w="164"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2,910</w:t>
            </w:r>
          </w:p>
        </w:tc>
        <w:tc>
          <w:tcPr>
            <w:tcW w:w="8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2,395</w:t>
            </w:r>
          </w:p>
        </w:tc>
        <w:tc>
          <w:tcPr>
            <w:tcW w:w="8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(68,015</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3"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649"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28"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8"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519" w:type="dxa"/>
            <w:gridSpan w:val="3"/>
            <w:tcBorders/>
            <w:shd w:fill="CCEEFF" w:val="clear"/>
            <w:vAlign w:val="center"/>
          </w:tcPr>
          <w:p>
            <w:pPr>
              <w:pStyle w:val="TableContents"/>
              <w:spacing w:before="0" w:after="0"/>
              <w:ind w:left="0" w:right="0" w:firstLine="30"/>
              <w:rPr/>
            </w:pPr>
            <w:r>
              <w:rPr/>
              <w:t> </w:t>
            </w:r>
          </w:p>
        </w:tc>
      </w:tr>
      <w:tr>
        <w:trPr/>
        <w:tc>
          <w:tcPr>
            <w:tcW w:w="3863" w:type="dxa"/>
            <w:tcBorders/>
            <w:shd w:fill="auto" w:val="clear"/>
            <w:vAlign w:val="center"/>
          </w:tcPr>
          <w:p>
            <w:pPr>
              <w:pStyle w:val="TableContents"/>
              <w:spacing w:before="0" w:after="0"/>
              <w:ind w:left="0" w:right="0" w:firstLine="30"/>
              <w:jc w:val="left"/>
              <w:rPr/>
            </w:pPr>
            <w:r>
              <w:rPr/>
              <w:t> </w:t>
            </w:r>
          </w:p>
        </w:tc>
        <w:tc>
          <w:tcPr>
            <w:tcW w:w="129" w:type="dxa"/>
            <w:vMerge w:val="restart"/>
            <w:tcBorders/>
            <w:shd w:fill="auto" w:val="clear"/>
            <w:vAlign w:val="center"/>
          </w:tcPr>
          <w:p>
            <w:pPr>
              <w:pStyle w:val="TableContents"/>
              <w:spacing w:before="0" w:after="0"/>
              <w:ind w:left="0" w:right="0" w:firstLine="30"/>
              <w:rPr/>
            </w:pPr>
            <w:r>
              <w:rPr/>
              <w:t> </w:t>
            </w:r>
          </w:p>
        </w:tc>
        <w:tc>
          <w:tcPr>
            <w:tcW w:w="164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2012</w:t>
            </w:r>
          </w:p>
        </w:tc>
        <w:tc>
          <w:tcPr>
            <w:tcW w:w="129" w:type="dxa"/>
            <w:vMerge w:val="restart"/>
            <w:tcBorders/>
            <w:shd w:fill="auto" w:val="clear"/>
            <w:vAlign w:val="center"/>
          </w:tcPr>
          <w:p>
            <w:pPr>
              <w:pStyle w:val="TableContents"/>
              <w:spacing w:before="0" w:after="0"/>
              <w:ind w:left="0" w:right="0" w:firstLine="30"/>
              <w:rPr/>
            </w:pPr>
            <w:r>
              <w:rPr/>
              <w:t> </w:t>
            </w:r>
          </w:p>
        </w:tc>
        <w:tc>
          <w:tcPr>
            <w:tcW w:w="443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863"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7"/>
              </w:rPr>
            </w:pPr>
            <w:r>
              <w:rPr>
                <w:rFonts w:ascii="inherit" w:hAnsi="inherit"/>
                <w:b/>
                <w:sz w:val="17"/>
              </w:rPr>
              <w:t>Financial assets (liabilities or temporary equity):</w:t>
            </w:r>
          </w:p>
        </w:tc>
        <w:tc>
          <w:tcPr>
            <w:tcW w:w="129" w:type="dxa"/>
            <w:vMerge w:val="continue"/>
            <w:tcBorders/>
            <w:shd w:fill="auto" w:val="clear"/>
            <w:vAlign w:val="center"/>
          </w:tcPr>
          <w:p>
            <w:pPr>
              <w:pStyle w:val="Normal"/>
              <w:rPr/>
            </w:pPr>
            <w:r>
              <w:rPr/>
            </w:r>
          </w:p>
        </w:tc>
        <w:tc>
          <w:tcPr>
            <w:tcW w:w="1649" w:type="dxa"/>
            <w:gridSpan w:val="3"/>
            <w:vMerge w:val="continue"/>
            <w:tcBorders>
              <w:bottom w:val="single" w:sz="2" w:space="0" w:color="000000"/>
            </w:tcBorders>
            <w:shd w:fill="auto" w:val="clear"/>
            <w:tcMar>
              <w:bottom w:w="30" w:type="dxa"/>
            </w:tcMar>
            <w:vAlign w:val="center"/>
          </w:tcPr>
          <w:p>
            <w:pPr>
              <w:pStyle w:val="Normal"/>
              <w:rPr/>
            </w:pPr>
            <w:r>
              <w:rPr/>
            </w:r>
          </w:p>
        </w:tc>
        <w:tc>
          <w:tcPr>
            <w:tcW w:w="129" w:type="dxa"/>
            <w:vMerge w:val="continue"/>
            <w:tcBorders/>
            <w:shd w:fill="auto" w:val="clear"/>
            <w:vAlign w:val="center"/>
          </w:tcPr>
          <w:p>
            <w:pPr>
              <w:pStyle w:val="Normal"/>
              <w:rPr/>
            </w:pPr>
            <w:r>
              <w:rPr/>
            </w:r>
          </w:p>
        </w:tc>
        <w:tc>
          <w:tcPr>
            <w:tcW w:w="13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30" w:type="dxa"/>
            <w:tcBorders/>
            <w:shd w:fill="auto" w:val="clear"/>
            <w:vAlign w:val="center"/>
          </w:tcPr>
          <w:p>
            <w:pPr>
              <w:pStyle w:val="TableContents"/>
              <w:spacing w:before="0" w:after="0"/>
              <w:ind w:left="0" w:right="0" w:firstLine="30"/>
              <w:rPr/>
            </w:pPr>
            <w:r>
              <w:rPr/>
              <w:t> </w:t>
            </w:r>
          </w:p>
        </w:tc>
        <w:tc>
          <w:tcPr>
            <w:tcW w:w="13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30" w:type="dxa"/>
            <w:tcBorders/>
            <w:shd w:fill="auto" w:val="clear"/>
            <w:vAlign w:val="center"/>
          </w:tcPr>
          <w:p>
            <w:pPr>
              <w:pStyle w:val="TableContents"/>
              <w:spacing w:before="0" w:after="0"/>
              <w:ind w:left="0" w:right="0" w:firstLine="30"/>
              <w:rPr/>
            </w:pPr>
            <w:r>
              <w:rPr/>
              <w:t> </w:t>
            </w:r>
          </w:p>
        </w:tc>
        <w:tc>
          <w:tcPr>
            <w:tcW w:w="15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863" w:type="dxa"/>
            <w:tcBorders/>
            <w:shd w:fill="auto" w:val="clear"/>
            <w:vAlign w:val="center"/>
          </w:tcPr>
          <w:p>
            <w:pPr>
              <w:pStyle w:val="TableContents"/>
              <w:spacing w:before="0" w:after="0"/>
              <w:ind w:left="0" w:right="0" w:firstLine="30"/>
              <w:jc w:val="left"/>
              <w:rPr/>
            </w:pPr>
            <w:r>
              <w:rPr/>
              <w:t> </w:t>
            </w:r>
          </w:p>
        </w:tc>
        <w:tc>
          <w:tcPr>
            <w:tcW w:w="129" w:type="dxa"/>
            <w:tcBorders/>
            <w:shd w:fill="auto" w:val="clear"/>
            <w:vAlign w:val="center"/>
          </w:tcPr>
          <w:p>
            <w:pPr>
              <w:pStyle w:val="TableContents"/>
              <w:spacing w:before="0" w:after="0"/>
              <w:ind w:left="0" w:right="0" w:firstLine="30"/>
              <w:rPr/>
            </w:pPr>
            <w:r>
              <w:rPr/>
              <w:t> </w:t>
            </w:r>
          </w:p>
        </w:tc>
        <w:tc>
          <w:tcPr>
            <w:tcW w:w="6213"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8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29"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0" w:type="dxa"/>
            <w:tcBorders/>
            <w:shd w:fill="CCEEFF" w:val="clear"/>
            <w:vAlign w:val="center"/>
          </w:tcPr>
          <w:p>
            <w:pPr>
              <w:pStyle w:val="TableContents"/>
              <w:spacing w:before="0" w:after="0"/>
              <w:jc w:val="right"/>
              <w:rPr>
                <w:rFonts w:ascii="inherit" w:hAnsi="inherit"/>
                <w:sz w:val="17"/>
              </w:rPr>
            </w:pPr>
            <w:r>
              <w:rPr>
                <w:rFonts w:ascii="inherit" w:hAnsi="inherit"/>
                <w:sz w:val="17"/>
              </w:rPr>
              <w:t>4,520</w:t>
            </w:r>
          </w:p>
        </w:tc>
        <w:tc>
          <w:tcPr>
            <w:tcW w:w="1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shd w:fill="CCEEFF" w:val="clear"/>
            <w:vAlign w:val="center"/>
          </w:tcPr>
          <w:p>
            <w:pPr>
              <w:pStyle w:val="TableContents"/>
              <w:spacing w:before="0" w:after="0"/>
              <w:jc w:val="right"/>
              <w:rPr>
                <w:rFonts w:ascii="inherit" w:hAnsi="inherit"/>
                <w:sz w:val="17"/>
              </w:rPr>
            </w:pPr>
            <w:r>
              <w:rPr>
                <w:rFonts w:ascii="inherit" w:hAnsi="inherit"/>
                <w:sz w:val="17"/>
              </w:rPr>
              <w:t>4,520</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Contingent consideration</w:t>
            </w:r>
          </w:p>
        </w:tc>
        <w:tc>
          <w:tcPr>
            <w:tcW w:w="129" w:type="dxa"/>
            <w:tcBorders/>
            <w:shd w:fill="auto" w:val="clear"/>
            <w:vAlign w:val="center"/>
          </w:tcPr>
          <w:p>
            <w:pPr>
              <w:pStyle w:val="TableContents"/>
              <w:spacing w:before="0" w:after="0"/>
              <w:ind w:left="0" w:right="0" w:firstLine="30"/>
              <w:rPr/>
            </w:pPr>
            <w:r>
              <w:rPr/>
              <w:t> </w:t>
            </w:r>
          </w:p>
        </w:tc>
        <w:tc>
          <w:tcPr>
            <w:tcW w:w="1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(23,270</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(23,270</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Redeemable noncontrolling interest</w:t>
            </w:r>
          </w:p>
        </w:tc>
        <w:tc>
          <w:tcPr>
            <w:tcW w:w="129" w:type="dxa"/>
            <w:tcBorders/>
            <w:shd w:fill="CCEEFF" w:val="clear"/>
            <w:vAlign w:val="center"/>
          </w:tcPr>
          <w:p>
            <w:pPr>
              <w:pStyle w:val="TableContents"/>
              <w:spacing w:before="0" w:after="0"/>
              <w:ind w:left="0" w:right="0" w:firstLine="30"/>
              <w:rPr/>
            </w:pPr>
            <w:r>
              <w:rPr/>
              <w:t> </w:t>
            </w:r>
          </w:p>
        </w:tc>
        <w:tc>
          <w:tcPr>
            <w:tcW w:w="1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(44,864</w:t>
            </w:r>
          </w:p>
        </w:tc>
        <w:tc>
          <w:tcPr>
            <w:tcW w:w="16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(44,864</w:t>
            </w:r>
          </w:p>
        </w:tc>
        <w:tc>
          <w:tcPr>
            <w:tcW w:w="16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financial assets (liabilities or temporary equity)</w:t>
            </w:r>
          </w:p>
        </w:tc>
        <w:tc>
          <w:tcPr>
            <w:tcW w:w="129" w:type="dxa"/>
            <w:tcBorders/>
            <w:shd w:fill="auto" w:val="clear"/>
            <w:vAlign w:val="center"/>
          </w:tcPr>
          <w:p>
            <w:pPr>
              <w:pStyle w:val="TableContents"/>
              <w:spacing w:before="0" w:after="0"/>
              <w:ind w:left="0" w:right="0" w:firstLine="30"/>
              <w:rPr/>
            </w:pPr>
            <w:r>
              <w:rPr/>
              <w:t> </w:t>
            </w:r>
          </w:p>
        </w:tc>
        <w:tc>
          <w:tcPr>
            <w:tcW w:w="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(63,614</w:t>
            </w:r>
          </w:p>
        </w:tc>
        <w:tc>
          <w:tcPr>
            <w:tcW w:w="1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4,520</w:t>
            </w:r>
          </w:p>
        </w:tc>
        <w:tc>
          <w:tcPr>
            <w:tcW w:w="8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8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(68,134</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3"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649"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28"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8"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519" w:type="dxa"/>
            <w:gridSpan w:val="3"/>
            <w:tcBorders/>
            <w:shd w:fill="CCEEFF" w:val="clear"/>
            <w:vAlign w:val="center"/>
          </w:tcPr>
          <w:p>
            <w:pPr>
              <w:pStyle w:val="TableContents"/>
              <w:spacing w:before="0" w:after="0"/>
              <w:ind w:left="0" w:right="0" w:firstLine="30"/>
              <w:rPr/>
            </w:pPr>
            <w:r>
              <w:rPr/>
              <w:t> </w:t>
            </w:r>
          </w:p>
        </w:tc>
      </w:tr>
      <w:tr>
        <w:trPr/>
        <w:tc>
          <w:tcPr>
            <w:tcW w:w="3863" w:type="dxa"/>
            <w:tcBorders/>
            <w:shd w:fill="auto" w:val="clear"/>
            <w:vAlign w:val="center"/>
          </w:tcPr>
          <w:p>
            <w:pPr>
              <w:pStyle w:val="TableContents"/>
              <w:spacing w:before="0" w:after="0"/>
              <w:ind w:left="0" w:right="0" w:firstLine="30"/>
              <w:jc w:val="left"/>
              <w:rPr/>
            </w:pPr>
            <w:r>
              <w:rPr/>
              <w:t> </w:t>
            </w:r>
          </w:p>
        </w:tc>
        <w:tc>
          <w:tcPr>
            <w:tcW w:w="129" w:type="dxa"/>
            <w:vMerge w:val="restart"/>
            <w:tcBorders/>
            <w:shd w:fill="auto" w:val="clear"/>
            <w:vAlign w:val="center"/>
          </w:tcPr>
          <w:p>
            <w:pPr>
              <w:pStyle w:val="TableContents"/>
              <w:spacing w:before="0" w:after="0"/>
              <w:ind w:left="0" w:right="0" w:firstLine="30"/>
              <w:rPr/>
            </w:pPr>
            <w:r>
              <w:rPr/>
              <w:t> </w:t>
            </w:r>
          </w:p>
        </w:tc>
        <w:tc>
          <w:tcPr>
            <w:tcW w:w="164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c>
          <w:tcPr>
            <w:tcW w:w="129" w:type="dxa"/>
            <w:vMerge w:val="restart"/>
            <w:tcBorders/>
            <w:shd w:fill="auto" w:val="clear"/>
            <w:vAlign w:val="center"/>
          </w:tcPr>
          <w:p>
            <w:pPr>
              <w:pStyle w:val="TableContents"/>
              <w:spacing w:before="0" w:after="0"/>
              <w:ind w:left="0" w:right="0" w:firstLine="30"/>
              <w:rPr/>
            </w:pPr>
            <w:r>
              <w:rPr/>
              <w:t> </w:t>
            </w:r>
          </w:p>
        </w:tc>
        <w:tc>
          <w:tcPr>
            <w:tcW w:w="443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863"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7"/>
              </w:rPr>
            </w:pPr>
            <w:r>
              <w:rPr>
                <w:rFonts w:ascii="inherit" w:hAnsi="inherit"/>
                <w:b/>
                <w:sz w:val="17"/>
              </w:rPr>
              <w:t>Financial assets (liabilities or temporary equity):</w:t>
            </w:r>
          </w:p>
        </w:tc>
        <w:tc>
          <w:tcPr>
            <w:tcW w:w="129" w:type="dxa"/>
            <w:vMerge w:val="continue"/>
            <w:tcBorders/>
            <w:shd w:fill="auto" w:val="clear"/>
            <w:vAlign w:val="center"/>
          </w:tcPr>
          <w:p>
            <w:pPr>
              <w:pStyle w:val="Normal"/>
              <w:rPr/>
            </w:pPr>
            <w:r>
              <w:rPr/>
            </w:r>
          </w:p>
        </w:tc>
        <w:tc>
          <w:tcPr>
            <w:tcW w:w="1649" w:type="dxa"/>
            <w:gridSpan w:val="3"/>
            <w:vMerge w:val="continue"/>
            <w:tcBorders>
              <w:bottom w:val="single" w:sz="2" w:space="0" w:color="000000"/>
            </w:tcBorders>
            <w:shd w:fill="auto" w:val="clear"/>
            <w:tcMar>
              <w:bottom w:w="30" w:type="dxa"/>
            </w:tcMar>
            <w:vAlign w:val="center"/>
          </w:tcPr>
          <w:p>
            <w:pPr>
              <w:pStyle w:val="Normal"/>
              <w:rPr/>
            </w:pPr>
            <w:r>
              <w:rPr/>
            </w:r>
          </w:p>
        </w:tc>
        <w:tc>
          <w:tcPr>
            <w:tcW w:w="129" w:type="dxa"/>
            <w:vMerge w:val="continue"/>
            <w:tcBorders/>
            <w:shd w:fill="auto" w:val="clear"/>
            <w:vAlign w:val="center"/>
          </w:tcPr>
          <w:p>
            <w:pPr>
              <w:pStyle w:val="Normal"/>
              <w:rPr/>
            </w:pPr>
            <w:r>
              <w:rPr/>
            </w:r>
          </w:p>
        </w:tc>
        <w:tc>
          <w:tcPr>
            <w:tcW w:w="13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30" w:type="dxa"/>
            <w:tcBorders/>
            <w:shd w:fill="auto" w:val="clear"/>
            <w:vAlign w:val="center"/>
          </w:tcPr>
          <w:p>
            <w:pPr>
              <w:pStyle w:val="TableContents"/>
              <w:spacing w:before="0" w:after="0"/>
              <w:ind w:left="0" w:right="0" w:firstLine="30"/>
              <w:rPr/>
            </w:pPr>
            <w:r>
              <w:rPr/>
              <w:t> </w:t>
            </w:r>
          </w:p>
        </w:tc>
        <w:tc>
          <w:tcPr>
            <w:tcW w:w="13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30" w:type="dxa"/>
            <w:tcBorders/>
            <w:shd w:fill="auto" w:val="clear"/>
            <w:vAlign w:val="center"/>
          </w:tcPr>
          <w:p>
            <w:pPr>
              <w:pStyle w:val="TableContents"/>
              <w:spacing w:before="0" w:after="0"/>
              <w:ind w:left="0" w:right="0" w:firstLine="30"/>
              <w:rPr/>
            </w:pPr>
            <w:r>
              <w:rPr/>
              <w:t> </w:t>
            </w:r>
          </w:p>
        </w:tc>
        <w:tc>
          <w:tcPr>
            <w:tcW w:w="15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863" w:type="dxa"/>
            <w:tcBorders/>
            <w:shd w:fill="auto" w:val="clear"/>
            <w:vAlign w:val="center"/>
          </w:tcPr>
          <w:p>
            <w:pPr>
              <w:pStyle w:val="TableContents"/>
              <w:spacing w:before="0" w:after="0"/>
              <w:ind w:left="0" w:right="0" w:firstLine="30"/>
              <w:jc w:val="left"/>
              <w:rPr/>
            </w:pPr>
            <w:r>
              <w:rPr/>
              <w:t> </w:t>
            </w:r>
          </w:p>
        </w:tc>
        <w:tc>
          <w:tcPr>
            <w:tcW w:w="129" w:type="dxa"/>
            <w:tcBorders/>
            <w:shd w:fill="auto" w:val="clear"/>
            <w:vAlign w:val="center"/>
          </w:tcPr>
          <w:p>
            <w:pPr>
              <w:pStyle w:val="TableContents"/>
              <w:spacing w:before="0" w:after="0"/>
              <w:ind w:left="0" w:right="0" w:firstLine="30"/>
              <w:rPr/>
            </w:pPr>
            <w:r>
              <w:rPr/>
              <w:t> </w:t>
            </w:r>
          </w:p>
        </w:tc>
        <w:tc>
          <w:tcPr>
            <w:tcW w:w="6213"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8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29"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0" w:type="dxa"/>
            <w:tcBorders/>
            <w:shd w:fill="CCEEFF" w:val="clear"/>
            <w:vAlign w:val="center"/>
          </w:tcPr>
          <w:p>
            <w:pPr>
              <w:pStyle w:val="TableContents"/>
              <w:spacing w:before="0" w:after="0"/>
              <w:jc w:val="right"/>
              <w:rPr>
                <w:rFonts w:ascii="inherit" w:hAnsi="inherit"/>
                <w:sz w:val="17"/>
              </w:rPr>
            </w:pPr>
            <w:r>
              <w:rPr>
                <w:rFonts w:ascii="inherit" w:hAnsi="inherit"/>
                <w:sz w:val="17"/>
              </w:rPr>
              <w:t>4,631</w:t>
            </w:r>
          </w:p>
        </w:tc>
        <w:tc>
          <w:tcPr>
            <w:tcW w:w="1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shd w:fill="CCEEFF" w:val="clear"/>
            <w:vAlign w:val="center"/>
          </w:tcPr>
          <w:p>
            <w:pPr>
              <w:pStyle w:val="TableContents"/>
              <w:spacing w:before="0" w:after="0"/>
              <w:jc w:val="right"/>
              <w:rPr>
                <w:rFonts w:ascii="inherit" w:hAnsi="inherit"/>
                <w:sz w:val="17"/>
              </w:rPr>
            </w:pPr>
            <w:r>
              <w:rPr>
                <w:rFonts w:ascii="inherit" w:hAnsi="inherit"/>
                <w:sz w:val="17"/>
              </w:rPr>
              <w:t>4,631</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Contingent consideration</w:t>
            </w:r>
          </w:p>
        </w:tc>
        <w:tc>
          <w:tcPr>
            <w:tcW w:w="129" w:type="dxa"/>
            <w:tcBorders/>
            <w:shd w:fill="auto" w:val="clear"/>
            <w:vAlign w:val="center"/>
          </w:tcPr>
          <w:p>
            <w:pPr>
              <w:pStyle w:val="TableContents"/>
              <w:spacing w:before="0" w:after="0"/>
              <w:ind w:left="0" w:right="0" w:firstLine="30"/>
              <w:rPr/>
            </w:pPr>
            <w:r>
              <w:rPr/>
              <w:t> </w:t>
            </w:r>
          </w:p>
        </w:tc>
        <w:tc>
          <w:tcPr>
            <w:tcW w:w="1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(23,432</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(23,432</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Redeemable noncontrolling interest</w:t>
            </w:r>
          </w:p>
        </w:tc>
        <w:tc>
          <w:tcPr>
            <w:tcW w:w="129" w:type="dxa"/>
            <w:tcBorders/>
            <w:shd w:fill="CCEEFF" w:val="clear"/>
            <w:vAlign w:val="center"/>
          </w:tcPr>
          <w:p>
            <w:pPr>
              <w:pStyle w:val="TableContents"/>
              <w:spacing w:before="0" w:after="0"/>
              <w:ind w:left="0" w:right="0" w:firstLine="30"/>
              <w:rPr/>
            </w:pPr>
            <w:r>
              <w:rPr/>
              <w:t> </w:t>
            </w:r>
          </w:p>
        </w:tc>
        <w:tc>
          <w:tcPr>
            <w:tcW w:w="1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(53,681</w:t>
            </w:r>
          </w:p>
        </w:tc>
        <w:tc>
          <w:tcPr>
            <w:tcW w:w="16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(53,681</w:t>
            </w:r>
          </w:p>
        </w:tc>
        <w:tc>
          <w:tcPr>
            <w:tcW w:w="16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financial assets (liabilities or temporary equity)</w:t>
            </w:r>
          </w:p>
        </w:tc>
        <w:tc>
          <w:tcPr>
            <w:tcW w:w="129" w:type="dxa"/>
            <w:tcBorders/>
            <w:shd w:fill="auto" w:val="clear"/>
            <w:vAlign w:val="center"/>
          </w:tcPr>
          <w:p>
            <w:pPr>
              <w:pStyle w:val="TableContents"/>
              <w:spacing w:before="0" w:after="0"/>
              <w:ind w:left="0" w:right="0" w:firstLine="30"/>
              <w:rPr/>
            </w:pPr>
            <w:r>
              <w:rPr/>
              <w:t> </w:t>
            </w:r>
          </w:p>
        </w:tc>
        <w:tc>
          <w:tcPr>
            <w:tcW w:w="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(72,482</w:t>
            </w:r>
          </w:p>
        </w:tc>
        <w:tc>
          <w:tcPr>
            <w:tcW w:w="1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4,631</w:t>
            </w:r>
          </w:p>
        </w:tc>
        <w:tc>
          <w:tcPr>
            <w:tcW w:w="8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8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(77,113</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We measure the value of our marketable equity securities under a Level 1 input. These assets are publicly traded equity securities for which market prices are readily available. There were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transfers of assets in or out of Level 1 or Level 2 fair value measurements in the periods presented. 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our marketable equity securities were in an unrealized loss position. The aggregate amount of unrealized losses 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was approximately </w:t>
      </w:r>
      <w:r>
        <w:rPr>
          <w:rFonts w:ascii="inherit" w:hAnsi="inherit"/>
          <w:strike w:val="false"/>
          <w:dstrike w:val="false"/>
          <w:color w:val="000000"/>
          <w:sz w:val="17"/>
          <w:u w:val="none"/>
          <w:effect w:val="none"/>
        </w:rPr>
        <w:t>$1.5 million</w:t>
      </w:r>
      <w:r>
        <w:rPr>
          <w:sz w:val="17"/>
        </w:rPr>
        <w:t xml:space="preserve"> </w:t>
      </w:r>
      <w:r>
        <w:rPr>
          <w:rFonts w:ascii="inherit" w:hAnsi="inherit"/>
          <w:sz w:val="17"/>
        </w:rPr>
        <w:t xml:space="preserve">and we currently believe that the fair value decline is temporary.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Grupo Finmart measures the value of the forward contracts under a Level 2 input. To measure the fair value of the forward contracts, Grupo Finmart used estimations of expected cash flows, appropriately risk-adjusted discount rates and available observable inputs (term of the forward, notional amount, discount rates based on local and foreign rate curves, and a credit value adjustment to consider the likelihood of nonperformance).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We used an income approach to measure the fair value of the contingent consideration using a probability-weighted discounted cash flow approach, in which all outcomes were successful. The significant inputs used for the valuation are not observable in the market, as they are specifically related to Grupo Finmart, and thus this fair value measurement represents a Level 3 measurement within the fair value hierarchy. During three and nine month periods ended </w:t>
      </w:r>
      <w:r>
        <w:rPr>
          <w:rFonts w:ascii="inherit" w:hAnsi="inherit"/>
          <w:strike w:val="false"/>
          <w:dstrike w:val="false"/>
          <w:color w:val="000000"/>
          <w:sz w:val="17"/>
          <w:u w:val="none"/>
          <w:effect w:val="none"/>
        </w:rPr>
        <w:t>June 30, 2013</w:t>
      </w:r>
      <w:r>
        <w:rPr>
          <w:rFonts w:ascii="inherit" w:hAnsi="inherit"/>
          <w:sz w:val="17"/>
        </w:rPr>
        <w:t xml:space="preserve">, we recorded accretion expense 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$0.4 million</w:t>
      </w:r>
      <w:r>
        <w:rPr>
          <w:sz w:val="17"/>
        </w:rPr>
        <w:t xml:space="preserve"> </w:t>
      </w:r>
      <w:r>
        <w:rPr>
          <w:rFonts w:ascii="inherit" w:hAnsi="inherit"/>
          <w:sz w:val="17"/>
        </w:rPr>
        <w:t xml:space="preserve">respectively. In April 2013, we paid </w:t>
      </w:r>
      <w:r>
        <w:rPr>
          <w:rFonts w:ascii="inherit" w:hAnsi="inherit"/>
          <w:strike w:val="false"/>
          <w:dstrike w:val="false"/>
          <w:color w:val="000000"/>
          <w:sz w:val="17"/>
          <w:u w:val="none"/>
          <w:effect w:val="none"/>
        </w:rPr>
        <w:t>$12.0 million</w:t>
      </w:r>
      <w:r>
        <w:rPr>
          <w:sz w:val="17"/>
        </w:rPr>
        <w:t xml:space="preserve"> </w:t>
      </w:r>
      <w:r>
        <w:rPr>
          <w:rFonts w:ascii="inherit" w:hAnsi="inherit"/>
          <w:sz w:val="17"/>
        </w:rPr>
        <w:t xml:space="preserve">in contingent consideration to Grupo Finmart's noncontrolling owners. On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we recorded additional contingent consideration of </w:t>
      </w:r>
      <w:r>
        <w:rPr>
          <w:rFonts w:ascii="inherit" w:hAnsi="inherit"/>
          <w:strike w:val="false"/>
          <w:dstrike w:val="false"/>
          <w:color w:val="000000"/>
          <w:sz w:val="17"/>
          <w:u w:val="none"/>
          <w:effect w:val="none"/>
        </w:rPr>
        <w:t>$0.2 million</w:t>
      </w:r>
      <w:r>
        <w:rPr>
          <w:sz w:val="17"/>
        </w:rPr>
        <w:t xml:space="preserve"> </w:t>
      </w:r>
      <w:r>
        <w:rPr>
          <w:rFonts w:ascii="inherit" w:hAnsi="inherit"/>
          <w:sz w:val="17"/>
        </w:rPr>
        <w:t xml:space="preserve">due to Grupo Finmart's acquisition of a loan portfolio, bringing the contingent consideration liability to </w:t>
      </w:r>
      <w:r>
        <w:rPr>
          <w:rFonts w:ascii="inherit" w:hAnsi="inherit"/>
          <w:strike w:val="false"/>
          <w:dstrike w:val="false"/>
          <w:color w:val="000000"/>
          <w:sz w:val="17"/>
          <w:u w:val="none"/>
          <w:effect w:val="none"/>
        </w:rPr>
        <w:t>$11.2 million</w:t>
      </w:r>
      <w:r>
        <w:rPr>
          <w:rFonts w:ascii="inherit" w:hAnsi="inherit"/>
          <w:sz w:val="17"/>
        </w:rPr>
        <w:t xml:space="preserve">. During the three and nine month periods ended </w:t>
      </w:r>
      <w:r>
        <w:rPr>
          <w:rFonts w:ascii="inherit" w:hAnsi="inherit"/>
          <w:strike w:val="false"/>
          <w:dstrike w:val="false"/>
          <w:color w:val="000000"/>
          <w:sz w:val="17"/>
          <w:u w:val="none"/>
          <w:effect w:val="none"/>
        </w:rPr>
        <w:t>June 30, 2012</w:t>
      </w:r>
      <w:r>
        <w:rPr>
          <w:rFonts w:ascii="inherit" w:hAnsi="inherit"/>
          <w:sz w:val="17"/>
        </w:rPr>
        <w:t xml:space="preserve">, we recorded accretion expense of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 xml:space="preserve">to bring the contingent liability to </w:t>
      </w:r>
      <w:r>
        <w:rPr>
          <w:rFonts w:ascii="inherit" w:hAnsi="inherit"/>
          <w:strike w:val="false"/>
          <w:dstrike w:val="false"/>
          <w:color w:val="000000"/>
          <w:sz w:val="17"/>
          <w:u w:val="none"/>
          <w:effect w:val="none"/>
        </w:rPr>
        <w:t>$23.3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June 30, 2012</w:t>
      </w:r>
      <w:r>
        <w:rPr>
          <w:rFonts w:ascii="inherit" w:hAnsi="inherit"/>
          <w:sz w:val="17"/>
        </w:rPr>
        <w:t xml:space="preserve">. These amounts are included in administrative expenses in our consolidated statement of operations. </w:t>
      </w:r>
    </w:p>
    <w:p>
      <w:pPr>
        <w:pStyle w:val="TextBody"/>
        <w:spacing w:lineRule="auto" w:line="288" w:before="0" w:after="0"/>
        <w:jc w:val="left"/>
        <w:rPr>
          <w:rFonts w:ascii="inherit" w:hAnsi="inherit"/>
          <w:sz w:val="17"/>
        </w:rPr>
      </w:pPr>
      <w:r>
        <w:rPr>
          <w:rFonts w:ascii="inherit" w:hAnsi="inherit"/>
          <w:sz w:val="17"/>
        </w:rPr>
        <w:t xml:space="preserve">The fair value of temporary equity was estimated by applying an income approach and a market approach. This fair value measurement is based on significant inputs that are not observable in the market and thus represents a Level 3 measurement. Key assumptions include discounts for lack of control and lack of marketability that market participants would consider when estimating the fair value of the noncontrolling interest. </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pPr>
      <w:hyperlink w:anchor="s6341541F7667DB742175CD29235C3997">
        <w:bookmarkStart w:id="27" w:name="s6E4EADBFDE4B0355A97ECD28FA221138"/>
        <w:bookmarkEnd w:id="2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trike w:val="false"/>
          <w:dstrike w:val="false"/>
          <w:color w:val="000000"/>
          <w:sz w:val="17"/>
          <w:u w:val="none"/>
          <w:effect w:val="none"/>
        </w:rPr>
        <w:t>NOTE 15: DERIVATIVE INSTRUMENTS AND HEDGING ACTIVITIES</w:t>
      </w:r>
      <w:r>
        <w:rPr>
          <w:sz w:val="17"/>
        </w:rPr>
        <w:t xml:space="preserve"> </w:t>
      </w:r>
    </w:p>
    <w:p>
      <w:pPr>
        <w:pStyle w:val="TextBody"/>
        <w:spacing w:lineRule="auto" w:line="288" w:before="0" w:after="0"/>
        <w:rPr>
          <w:sz w:val="17"/>
        </w:rPr>
      </w:pPr>
      <w:r>
        <w:rPr>
          <w:rFonts w:ascii="inherit" w:hAnsi="inherit"/>
          <w:sz w:val="17"/>
        </w:rPr>
        <w:t xml:space="preserve">Our earnings and financial position are affected by changes in gold values. In fiscal year </w:t>
      </w:r>
      <w:r>
        <w:rPr>
          <w:rFonts w:ascii="inherit" w:hAnsi="inherit"/>
          <w:strike w:val="false"/>
          <w:dstrike w:val="false"/>
          <w:color w:val="000000"/>
          <w:sz w:val="17"/>
          <w:u w:val="none"/>
          <w:effect w:val="none"/>
        </w:rPr>
        <w:t>2012</w:t>
      </w:r>
      <w:r>
        <w:rPr>
          <w:rFonts w:ascii="inherit" w:hAnsi="inherit"/>
          <w:sz w:val="17"/>
        </w:rPr>
        <w:t xml:space="preserve">, we used derivative financial instruments in order to manage our commodity price risk associated with the forecasted sales of gold scrap. These derivatives were not designated as hedges, and according to FASB ASC 815-20-25, “Derivatives and Hedging – Recognition,” changes in their fair value were recorded directly in earnings. As of </w:t>
      </w:r>
      <w:r>
        <w:rPr>
          <w:rFonts w:ascii="Times New Roman" w:hAnsi="Times New Roman"/>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as of </w:t>
      </w:r>
      <w:r>
        <w:rPr>
          <w:rFonts w:ascii="Times New Roman" w:hAnsi="Times New Roman"/>
          <w:strike w:val="false"/>
          <w:dstrike w:val="false"/>
          <w:color w:val="000000"/>
          <w:sz w:val="17"/>
          <w:u w:val="none"/>
          <w:effect w:val="none"/>
        </w:rPr>
        <w:t>September 30, 2012</w:t>
      </w:r>
      <w:r>
        <w:rPr>
          <w:rFonts w:ascii="inherit" w:hAnsi="inherit"/>
          <w:sz w:val="17"/>
        </w:rPr>
        <w:t xml:space="preserve">, we did not have an outstanding balance of non-designated derivatives recorded on our balance sheet. </w:t>
      </w:r>
    </w:p>
    <w:p>
      <w:pPr>
        <w:pStyle w:val="TextBody"/>
        <w:spacing w:lineRule="auto" w:line="288" w:before="0" w:after="0"/>
        <w:rPr>
          <w:sz w:val="17"/>
        </w:rPr>
      </w:pPr>
      <w:r>
        <w:rPr>
          <w:rFonts w:ascii="inherit" w:hAnsi="inherit"/>
          <w:sz w:val="17"/>
        </w:rPr>
        <w:t xml:space="preserve">In the current quarter, Grupo Finmart completed a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cross-border debt offering for which it has to pay interest on a semiannual basis at a fixed rate. Grupo Finmart used derivative instruments (cross currency forwards) to manage its exposure related to changes in exchange rate. Grupo Finmart does not enter into derivative instruments for any purpose other than cash flow hedging. </w:t>
      </w:r>
    </w:p>
    <w:p>
      <w:pPr>
        <w:pStyle w:val="TextBody"/>
        <w:spacing w:lineRule="auto" w:line="288" w:before="0" w:after="0"/>
        <w:rPr>
          <w:rFonts w:ascii="inherit" w:hAnsi="inherit"/>
          <w:sz w:val="17"/>
        </w:rPr>
      </w:pPr>
      <w:r>
        <w:rPr>
          <w:rFonts w:ascii="inherit" w:hAnsi="inherit"/>
          <w:sz w:val="17"/>
        </w:rPr>
        <w:t>Changes in the fair value of forward agreements designated as hedging instruments that effectively offset the variability of cash flows associated with exchange rate are reported in accumulated other comprehensive income. These amounts subsequently are reclassified into earnings in the same period or periods during which the hedged transaction affects earnings.</w:t>
      </w:r>
    </w:p>
    <w:p>
      <w:pPr>
        <w:pStyle w:val="TextBody"/>
        <w:spacing w:lineRule="auto" w:line="288" w:before="0" w:after="0"/>
        <w:jc w:val="both"/>
        <w:rPr>
          <w:rFonts w:ascii="inherit" w:hAnsi="inherit"/>
          <w:sz w:val="17"/>
        </w:rPr>
      </w:pPr>
      <w:r>
        <w:rPr>
          <w:rFonts w:ascii="inherit" w:hAnsi="inherit"/>
          <w:sz w:val="17"/>
        </w:rPr>
        <w:t>We assess the effectiveness of the hedges using linear regression for prospective testing, and the dollar offset method for retrospective testing. A hypothetical derivative with fair value of zero is created at the beginning of the hedge relationship; changes in actual derivative and hypothetical derivatives are used to carry out both testings.</w:t>
      </w:r>
    </w:p>
    <w:p>
      <w:pPr>
        <w:pStyle w:val="TextBody"/>
        <w:spacing w:lineRule="auto" w:line="288" w:before="0" w:after="0"/>
        <w:rPr>
          <w:rFonts w:ascii="inherit" w:hAnsi="inherit"/>
          <w:sz w:val="17"/>
        </w:rPr>
      </w:pPr>
      <w:r>
        <w:rPr>
          <w:rFonts w:ascii="inherit" w:hAnsi="inherit"/>
          <w:sz w:val="17"/>
        </w:rPr>
        <w:t xml:space="preserve">The following tables set forth certain information regarding our derivative instruments: </w:t>
      </w:r>
    </w:p>
    <w:tbl>
      <w:tblPr>
        <w:tblW w:w="10205" w:type="dxa"/>
        <w:jc w:val="left"/>
        <w:tblInd w:w="0" w:type="dxa"/>
        <w:tblCellMar>
          <w:top w:w="0" w:type="dxa"/>
          <w:left w:w="0" w:type="dxa"/>
          <w:bottom w:w="0" w:type="dxa"/>
          <w:right w:w="0" w:type="dxa"/>
        </w:tblCellMar>
      </w:tblPr>
      <w:tblGrid>
        <w:gridCol w:w="3193"/>
        <w:gridCol w:w="140"/>
        <w:gridCol w:w="1533"/>
        <w:gridCol w:w="140"/>
        <w:gridCol w:w="171"/>
        <w:gridCol w:w="1238"/>
        <w:gridCol w:w="88"/>
        <w:gridCol w:w="140"/>
        <w:gridCol w:w="240"/>
        <w:gridCol w:w="1165"/>
        <w:gridCol w:w="88"/>
        <w:gridCol w:w="140"/>
        <w:gridCol w:w="346"/>
        <w:gridCol w:w="1409"/>
        <w:gridCol w:w="174"/>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319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93"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33"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5199"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of Derivative Instruments</w:t>
            </w:r>
          </w:p>
        </w:tc>
      </w:tr>
      <w:tr>
        <w:trPr/>
        <w:tc>
          <w:tcPr>
            <w:tcW w:w="31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40" w:type="dxa"/>
            <w:tcBorders/>
            <w:shd w:fill="auto" w:val="clear"/>
            <w:vAlign w:val="center"/>
          </w:tcPr>
          <w:p>
            <w:pPr>
              <w:pStyle w:val="TableContents"/>
              <w:spacing w:before="0" w:after="0"/>
              <w:ind w:left="0" w:right="0" w:firstLine="30"/>
              <w:rPr/>
            </w:pPr>
            <w:r>
              <w:rPr/>
              <w:t> </w:t>
            </w:r>
          </w:p>
        </w:tc>
        <w:tc>
          <w:tcPr>
            <w:tcW w:w="153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Sheet Location</w:t>
            </w:r>
          </w:p>
        </w:tc>
        <w:tc>
          <w:tcPr>
            <w:tcW w:w="140" w:type="dxa"/>
            <w:tcBorders/>
            <w:shd w:fill="auto" w:val="clear"/>
            <w:vAlign w:val="center"/>
          </w:tcPr>
          <w:p>
            <w:pPr>
              <w:pStyle w:val="TableContents"/>
              <w:spacing w:before="0" w:after="0"/>
              <w:ind w:left="0" w:right="0" w:firstLine="30"/>
              <w:rPr/>
            </w:pPr>
            <w:r>
              <w:rPr/>
              <w:t> </w:t>
            </w:r>
          </w:p>
        </w:tc>
        <w:tc>
          <w:tcPr>
            <w:tcW w:w="14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2013</w:t>
            </w:r>
          </w:p>
        </w:tc>
        <w:tc>
          <w:tcPr>
            <w:tcW w:w="140" w:type="dxa"/>
            <w:tcBorders/>
            <w:shd w:fill="auto" w:val="clear"/>
            <w:vAlign w:val="center"/>
          </w:tcPr>
          <w:p>
            <w:pPr>
              <w:pStyle w:val="TableContents"/>
              <w:spacing w:before="0" w:after="0"/>
              <w:ind w:left="0" w:right="0" w:firstLine="30"/>
              <w:rPr/>
            </w:pPr>
            <w:r>
              <w:rPr/>
              <w:t> </w:t>
            </w:r>
          </w:p>
        </w:tc>
        <w:tc>
          <w:tcPr>
            <w:tcW w:w="149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2012</w:t>
            </w:r>
          </w:p>
        </w:tc>
        <w:tc>
          <w:tcPr>
            <w:tcW w:w="140" w:type="dxa"/>
            <w:tcBorders/>
            <w:shd w:fill="auto" w:val="clear"/>
            <w:vAlign w:val="center"/>
          </w:tcPr>
          <w:p>
            <w:pPr>
              <w:pStyle w:val="TableContents"/>
              <w:spacing w:before="0" w:after="0"/>
              <w:ind w:left="0" w:right="0" w:firstLine="30"/>
              <w:rPr/>
            </w:pPr>
            <w:r>
              <w:rPr/>
              <w:t> </w:t>
            </w:r>
          </w:p>
        </w:tc>
        <w:tc>
          <w:tcPr>
            <w:tcW w:w="192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r>
      <w:tr>
        <w:trPr/>
        <w:tc>
          <w:tcPr>
            <w:tcW w:w="3193"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33"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5199" w:type="dxa"/>
            <w:gridSpan w:val="11"/>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9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Designated as cash flow hedging instruments:</w:t>
            </w:r>
          </w:p>
        </w:tc>
        <w:tc>
          <w:tcPr>
            <w:tcW w:w="140" w:type="dxa"/>
            <w:tcBorders/>
            <w:shd w:fill="CCEEFF" w:val="clear"/>
            <w:vAlign w:val="center"/>
          </w:tcPr>
          <w:p>
            <w:pPr>
              <w:pStyle w:val="TableContents"/>
              <w:spacing w:before="0" w:after="0"/>
              <w:ind w:left="0" w:right="0" w:firstLine="30"/>
              <w:rPr/>
            </w:pPr>
            <w:r>
              <w:rPr/>
              <w:t> </w:t>
            </w:r>
          </w:p>
        </w:tc>
        <w:tc>
          <w:tcPr>
            <w:tcW w:w="1533"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497"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493"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929" w:type="dxa"/>
            <w:gridSpan w:val="3"/>
            <w:tcBorders/>
            <w:shd w:fill="CCEEFF" w:val="clear"/>
            <w:vAlign w:val="center"/>
          </w:tcPr>
          <w:p>
            <w:pPr>
              <w:pStyle w:val="TableContents"/>
              <w:spacing w:before="0" w:after="0"/>
              <w:ind w:left="0" w:right="0" w:firstLine="30"/>
              <w:rPr/>
            </w:pPr>
            <w:r>
              <w:rPr/>
              <w:t> </w:t>
            </w:r>
          </w:p>
        </w:tc>
      </w:tr>
      <w:tr>
        <w:trPr/>
        <w:tc>
          <w:tcPr>
            <w:tcW w:w="319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Foreign currency forwards</w:t>
            </w:r>
          </w:p>
        </w:tc>
        <w:tc>
          <w:tcPr>
            <w:tcW w:w="140" w:type="dxa"/>
            <w:tcBorders/>
            <w:shd w:fill="auto" w:val="clear"/>
            <w:vAlign w:val="center"/>
          </w:tcPr>
          <w:p>
            <w:pPr>
              <w:pStyle w:val="TableContents"/>
              <w:spacing w:before="0" w:after="0"/>
              <w:ind w:left="0" w:right="0" w:firstLine="30"/>
              <w:rPr/>
            </w:pPr>
            <w:r>
              <w:rPr/>
              <w:t> </w:t>
            </w:r>
          </w:p>
        </w:tc>
        <w:tc>
          <w:tcPr>
            <w:tcW w:w="1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40"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shd w:fill="auto" w:val="clear"/>
            <w:vAlign w:val="center"/>
          </w:tcPr>
          <w:p>
            <w:pPr>
              <w:pStyle w:val="TableContents"/>
              <w:spacing w:before="0" w:after="0"/>
              <w:jc w:val="right"/>
              <w:rPr>
                <w:rFonts w:ascii="inherit" w:hAnsi="inherit"/>
                <w:sz w:val="17"/>
              </w:rPr>
            </w:pPr>
            <w:r>
              <w:rPr>
                <w:rFonts w:ascii="inherit" w:hAnsi="inherit"/>
                <w:sz w:val="17"/>
              </w:rPr>
              <w:t>2,395</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5" w:type="dxa"/>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3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09" w:type="dxa"/>
            <w:tcBorders/>
            <w:shd w:fill="auto" w:val="clear"/>
            <w:vAlign w:val="center"/>
          </w:tcPr>
          <w:p>
            <w:pPr>
              <w:pStyle w:val="TableContents"/>
              <w:spacing w:before="0" w:after="0"/>
              <w:jc w:val="right"/>
              <w:rPr/>
            </w:pPr>
            <w:r>
              <w:rPr/>
              <w:t>—</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3370"/>
        <w:gridCol w:w="134"/>
        <w:gridCol w:w="1887"/>
        <w:gridCol w:w="134"/>
        <w:gridCol w:w="161"/>
        <w:gridCol w:w="774"/>
        <w:gridCol w:w="86"/>
        <w:gridCol w:w="134"/>
        <w:gridCol w:w="161"/>
        <w:gridCol w:w="774"/>
        <w:gridCol w:w="86"/>
        <w:gridCol w:w="134"/>
        <w:gridCol w:w="161"/>
        <w:gridCol w:w="881"/>
        <w:gridCol w:w="150"/>
        <w:gridCol w:w="134"/>
        <w:gridCol w:w="161"/>
        <w:gridCol w:w="774"/>
        <w:gridCol w:w="109"/>
      </w:tblGrid>
      <w:tr>
        <w:trPr/>
        <w:tc>
          <w:tcPr>
            <w:tcW w:w="10205" w:type="dxa"/>
            <w:gridSpan w:val="19"/>
            <w:tcBorders/>
            <w:shd w:fill="auto" w:val="clear"/>
            <w:vAlign w:val="center"/>
          </w:tcPr>
          <w:p>
            <w:pPr>
              <w:pStyle w:val="TableContents"/>
              <w:spacing w:before="0" w:after="283"/>
              <w:rPr>
                <w:sz w:val="4"/>
                <w:szCs w:val="4"/>
              </w:rPr>
            </w:pPr>
            <w:r>
              <w:rPr>
                <w:sz w:val="4"/>
                <w:szCs w:val="4"/>
              </w:rPr>
            </w:r>
          </w:p>
        </w:tc>
      </w:tr>
      <w:tr>
        <w:trPr/>
        <w:tc>
          <w:tcPr>
            <w:tcW w:w="337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8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70" w:type="dxa"/>
            <w:tcBorders/>
            <w:shd w:fill="auto" w:val="clear"/>
            <w:vAlign w:val="center"/>
          </w:tcPr>
          <w:p>
            <w:pPr>
              <w:pStyle w:val="TableContents"/>
              <w:spacing w:before="0" w:after="0"/>
              <w:ind w:left="0" w:right="0" w:firstLine="30"/>
              <w:jc w:val="left"/>
              <w:rPr/>
            </w:pPr>
            <w:r>
              <w:rPr/>
              <w:t> </w:t>
            </w:r>
          </w:p>
        </w:tc>
        <w:tc>
          <w:tcPr>
            <w:tcW w:w="134" w:type="dxa"/>
            <w:tcBorders/>
            <w:shd w:fill="auto" w:val="clear"/>
            <w:vAlign w:val="center"/>
          </w:tcPr>
          <w:p>
            <w:pPr>
              <w:pStyle w:val="TableContents"/>
              <w:spacing w:before="0" w:after="0"/>
              <w:ind w:left="0" w:right="0" w:firstLine="30"/>
              <w:rPr/>
            </w:pPr>
            <w:r>
              <w:rPr/>
              <w:t> </w:t>
            </w:r>
          </w:p>
        </w:tc>
        <w:tc>
          <w:tcPr>
            <w:tcW w:w="1887" w:type="dxa"/>
            <w:tcBorders/>
            <w:shd w:fill="auto" w:val="clear"/>
            <w:vAlign w:val="center"/>
          </w:tcPr>
          <w:p>
            <w:pPr>
              <w:pStyle w:val="TableContents"/>
              <w:spacing w:before="0" w:after="0"/>
              <w:ind w:left="0" w:right="0" w:firstLine="30"/>
              <w:jc w:val="left"/>
              <w:rPr/>
            </w:pPr>
            <w:r>
              <w:rPr/>
              <w:t> </w:t>
            </w:r>
          </w:p>
        </w:tc>
        <w:tc>
          <w:tcPr>
            <w:tcW w:w="134" w:type="dxa"/>
            <w:tcBorders/>
            <w:shd w:fill="auto" w:val="clear"/>
            <w:vAlign w:val="center"/>
          </w:tcPr>
          <w:p>
            <w:pPr>
              <w:pStyle w:val="TableContents"/>
              <w:spacing w:before="0" w:after="0"/>
              <w:ind w:left="0" w:right="0" w:firstLine="30"/>
              <w:rPr/>
            </w:pPr>
            <w:r>
              <w:rPr/>
              <w:t> </w:t>
            </w:r>
          </w:p>
        </w:tc>
        <w:tc>
          <w:tcPr>
            <w:tcW w:w="468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 of (Gain) Recognized in Income</w:t>
            </w:r>
          </w:p>
        </w:tc>
      </w:tr>
      <w:tr>
        <w:trPr/>
        <w:tc>
          <w:tcPr>
            <w:tcW w:w="3370"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887" w:type="dxa"/>
            <w:tcBorders/>
            <w:shd w:fill="auto" w:val="clear"/>
            <w:vAlign w:val="center"/>
          </w:tcPr>
          <w:p>
            <w:pPr>
              <w:pStyle w:val="TableContents"/>
              <w:spacing w:before="0" w:after="0"/>
              <w:ind w:left="0" w:right="0" w:firstLine="30"/>
              <w:jc w:val="left"/>
              <w:rPr/>
            </w:pPr>
            <w:r>
              <w:rPr/>
              <w:t> </w:t>
            </w:r>
          </w:p>
        </w:tc>
        <w:tc>
          <w:tcPr>
            <w:tcW w:w="134" w:type="dxa"/>
            <w:tcBorders/>
            <w:shd w:fill="auto" w:val="clear"/>
            <w:vAlign w:val="center"/>
          </w:tcPr>
          <w:p>
            <w:pPr>
              <w:pStyle w:val="TableContents"/>
              <w:spacing w:before="0" w:after="0"/>
              <w:ind w:left="0" w:right="0" w:firstLine="30"/>
              <w:rPr/>
            </w:pPr>
            <w:r>
              <w:rPr/>
              <w:t> </w:t>
            </w:r>
          </w:p>
        </w:tc>
        <w:tc>
          <w:tcPr>
            <w:tcW w:w="217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34" w:type="dxa"/>
            <w:tcBorders/>
            <w:shd w:fill="auto" w:val="clear"/>
            <w:vAlign w:val="center"/>
          </w:tcPr>
          <w:p>
            <w:pPr>
              <w:pStyle w:val="TableContents"/>
              <w:spacing w:before="0" w:after="0"/>
              <w:ind w:left="0" w:right="0" w:firstLine="30"/>
              <w:rPr/>
            </w:pPr>
            <w:r>
              <w:rPr/>
              <w:t> </w:t>
            </w:r>
          </w:p>
        </w:tc>
        <w:tc>
          <w:tcPr>
            <w:tcW w:w="2370"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33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34" w:type="dxa"/>
            <w:tcBorders/>
            <w:shd w:fill="auto" w:val="clear"/>
            <w:vAlign w:val="center"/>
          </w:tcPr>
          <w:p>
            <w:pPr>
              <w:pStyle w:val="TableContents"/>
              <w:spacing w:before="0" w:after="0"/>
              <w:ind w:left="0" w:right="0" w:firstLine="30"/>
              <w:rPr/>
            </w:pPr>
            <w:r>
              <w:rPr/>
              <w:t> </w:t>
            </w:r>
          </w:p>
        </w:tc>
        <w:tc>
          <w:tcPr>
            <w:tcW w:w="188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(Gain)</w:t>
            </w:r>
          </w:p>
        </w:tc>
        <w:tc>
          <w:tcPr>
            <w:tcW w:w="134" w:type="dxa"/>
            <w:tcBorders/>
            <w:shd w:fill="auto" w:val="clear"/>
            <w:vAlign w:val="center"/>
          </w:tcPr>
          <w:p>
            <w:pPr>
              <w:pStyle w:val="TableContents"/>
              <w:spacing w:before="0" w:after="0"/>
              <w:ind w:left="0" w:right="0" w:firstLine="30"/>
              <w:rPr/>
            </w:pPr>
            <w:r>
              <w:rPr/>
              <w:t> </w:t>
            </w:r>
          </w:p>
        </w:tc>
        <w:tc>
          <w:tcPr>
            <w:tcW w:w="10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4" w:type="dxa"/>
            <w:tcBorders/>
            <w:shd w:fill="auto" w:val="clear"/>
            <w:vAlign w:val="center"/>
          </w:tcPr>
          <w:p>
            <w:pPr>
              <w:pStyle w:val="TableContents"/>
              <w:spacing w:before="0" w:after="0"/>
              <w:ind w:left="0" w:right="0" w:firstLine="30"/>
              <w:rPr/>
            </w:pPr>
            <w:r>
              <w:rPr/>
              <w:t> </w:t>
            </w:r>
          </w:p>
        </w:tc>
        <w:tc>
          <w:tcPr>
            <w:tcW w:w="10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4" w:type="dxa"/>
            <w:tcBorders/>
            <w:shd w:fill="auto" w:val="clear"/>
            <w:vAlign w:val="center"/>
          </w:tcPr>
          <w:p>
            <w:pPr>
              <w:pStyle w:val="TableContents"/>
              <w:spacing w:before="0" w:after="0"/>
              <w:ind w:left="0" w:right="0" w:firstLine="30"/>
              <w:rPr/>
            </w:pPr>
            <w:r>
              <w:rPr/>
              <w:t> </w:t>
            </w:r>
          </w:p>
        </w:tc>
        <w:tc>
          <w:tcPr>
            <w:tcW w:w="11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4" w:type="dxa"/>
            <w:tcBorders/>
            <w:shd w:fill="auto" w:val="clear"/>
            <w:vAlign w:val="center"/>
          </w:tcPr>
          <w:p>
            <w:pPr>
              <w:pStyle w:val="TableContents"/>
              <w:spacing w:before="0" w:after="0"/>
              <w:ind w:left="0" w:right="0" w:firstLine="30"/>
              <w:rPr/>
            </w:pPr>
            <w:r>
              <w:rPr/>
              <w:t> </w:t>
            </w:r>
          </w:p>
        </w:tc>
        <w:tc>
          <w:tcPr>
            <w:tcW w:w="10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3370" w:type="dxa"/>
            <w:tcBorders/>
            <w:shd w:fill="auto" w:val="clear"/>
            <w:vAlign w:val="center"/>
          </w:tcPr>
          <w:p>
            <w:pPr>
              <w:pStyle w:val="TableContents"/>
              <w:spacing w:before="0" w:after="0"/>
              <w:ind w:left="0" w:right="0" w:firstLine="30"/>
              <w:jc w:val="left"/>
              <w:rPr/>
            </w:pPr>
            <w:r>
              <w:rPr/>
              <w:t> </w:t>
            </w:r>
          </w:p>
        </w:tc>
        <w:tc>
          <w:tcPr>
            <w:tcW w:w="134" w:type="dxa"/>
            <w:tcBorders/>
            <w:shd w:fill="auto" w:val="clear"/>
            <w:vAlign w:val="center"/>
          </w:tcPr>
          <w:p>
            <w:pPr>
              <w:pStyle w:val="TableContents"/>
              <w:spacing w:before="0" w:after="0"/>
              <w:ind w:left="0" w:right="0" w:firstLine="30"/>
              <w:rPr/>
            </w:pPr>
            <w:r>
              <w:rPr/>
              <w:t> </w:t>
            </w:r>
          </w:p>
        </w:tc>
        <w:tc>
          <w:tcPr>
            <w:tcW w:w="1887" w:type="dxa"/>
            <w:tcBorders/>
            <w:shd w:fill="auto" w:val="clear"/>
            <w:vAlign w:val="center"/>
          </w:tcPr>
          <w:p>
            <w:pPr>
              <w:pStyle w:val="TableContents"/>
              <w:spacing w:before="0" w:after="0"/>
              <w:ind w:left="0" w:right="0" w:firstLine="30"/>
              <w:jc w:val="left"/>
              <w:rPr/>
            </w:pPr>
            <w:r>
              <w:rPr/>
              <w:t> </w:t>
            </w:r>
          </w:p>
        </w:tc>
        <w:tc>
          <w:tcPr>
            <w:tcW w:w="134" w:type="dxa"/>
            <w:tcBorders/>
            <w:shd w:fill="auto" w:val="clear"/>
            <w:vAlign w:val="center"/>
          </w:tcPr>
          <w:p>
            <w:pPr>
              <w:pStyle w:val="TableContents"/>
              <w:spacing w:before="0" w:after="0"/>
              <w:ind w:left="0" w:right="0" w:firstLine="30"/>
              <w:rPr/>
            </w:pPr>
            <w:r>
              <w:rPr/>
              <w:t> </w:t>
            </w:r>
          </w:p>
        </w:tc>
        <w:tc>
          <w:tcPr>
            <w:tcW w:w="4680"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Non-designated derivatives:</w:t>
            </w:r>
          </w:p>
        </w:tc>
        <w:tc>
          <w:tcPr>
            <w:tcW w:w="134" w:type="dxa"/>
            <w:tcBorders/>
            <w:shd w:fill="CCEEFF" w:val="clear"/>
            <w:vAlign w:val="center"/>
          </w:tcPr>
          <w:p>
            <w:pPr>
              <w:pStyle w:val="TableContents"/>
              <w:spacing w:before="0" w:after="0"/>
              <w:ind w:left="0" w:right="0" w:firstLine="30"/>
              <w:rPr/>
            </w:pPr>
            <w:r>
              <w:rPr/>
              <w:t> </w:t>
            </w:r>
          </w:p>
        </w:tc>
        <w:tc>
          <w:tcPr>
            <w:tcW w:w="1887"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021"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021"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192"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044" w:type="dxa"/>
            <w:gridSpan w:val="3"/>
            <w:tcBorders/>
            <w:shd w:fill="CCEEFF" w:val="clear"/>
            <w:vAlign w:val="center"/>
          </w:tcPr>
          <w:p>
            <w:pPr>
              <w:pStyle w:val="TableContents"/>
              <w:spacing w:before="0" w:after="0"/>
              <w:ind w:left="0" w:right="0" w:firstLine="30"/>
              <w:rPr/>
            </w:pPr>
            <w:r>
              <w:rPr/>
              <w:t> </w:t>
            </w:r>
          </w:p>
        </w:tc>
      </w:tr>
      <w:tr>
        <w:trPr/>
        <w:tc>
          <w:tcPr>
            <w:tcW w:w="33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Gold Collar</w:t>
            </w:r>
          </w:p>
        </w:tc>
        <w:tc>
          <w:tcPr>
            <w:tcW w:w="134" w:type="dxa"/>
            <w:tcBorders/>
            <w:shd w:fill="auto" w:val="clear"/>
            <w:vAlign w:val="center"/>
          </w:tcPr>
          <w:p>
            <w:pPr>
              <w:pStyle w:val="TableContents"/>
              <w:spacing w:before="0" w:after="0"/>
              <w:ind w:left="0" w:right="0" w:firstLine="30"/>
              <w:rPr/>
            </w:pPr>
            <w:r>
              <w:rPr/>
              <w:t> </w:t>
            </w:r>
          </w:p>
        </w:tc>
        <w:tc>
          <w:tcPr>
            <w:tcW w:w="188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w:t>
            </w:r>
          </w:p>
        </w:tc>
        <w:tc>
          <w:tcPr>
            <w:tcW w:w="134"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4" w:type="dxa"/>
            <w:tcBorders/>
            <w:shd w:fill="auto" w:val="clear"/>
            <w:vAlign w:val="center"/>
          </w:tcPr>
          <w:p>
            <w:pPr>
              <w:pStyle w:val="TableContents"/>
              <w:spacing w:before="0" w:after="0"/>
              <w:jc w:val="right"/>
              <w:rPr/>
            </w:pPr>
            <w:r>
              <w:rPr/>
              <w:t>—</w:t>
            </w:r>
          </w:p>
        </w:tc>
        <w:tc>
          <w:tcPr>
            <w:tcW w:w="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4" w:type="dxa"/>
            <w:tcBorders/>
            <w:shd w:fill="auto" w:val="clear"/>
            <w:vAlign w:val="center"/>
          </w:tcPr>
          <w:p>
            <w:pPr>
              <w:pStyle w:val="TableContents"/>
              <w:spacing w:before="0" w:after="0"/>
              <w:jc w:val="right"/>
              <w:rPr/>
            </w:pPr>
            <w:r>
              <w:rPr/>
              <w:t>—</w:t>
            </w:r>
          </w:p>
        </w:tc>
        <w:tc>
          <w:tcPr>
            <w:tcW w:w="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81" w:type="dxa"/>
            <w:tcBorders/>
            <w:shd w:fill="auto" w:val="clear"/>
            <w:vAlign w:val="center"/>
          </w:tcPr>
          <w:p>
            <w:pPr>
              <w:pStyle w:val="TableContents"/>
              <w:spacing w:before="0" w:after="0"/>
              <w:jc w:val="right"/>
              <w:rPr>
                <w:rFonts w:ascii="inherit" w:hAnsi="inherit"/>
                <w:sz w:val="17"/>
              </w:rPr>
            </w:pPr>
            <w:r>
              <w:rPr>
                <w:rFonts w:ascii="inherit" w:hAnsi="inherit"/>
                <w:sz w:val="17"/>
              </w:rPr>
              <w:t>(151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4" w:type="dxa"/>
            <w:tcBorders/>
            <w:shd w:fill="auto" w:val="clear"/>
            <w:vAlign w:val="center"/>
          </w:tcPr>
          <w:p>
            <w:pPr>
              <w:pStyle w:val="TableContents"/>
              <w:spacing w:before="0" w:after="0"/>
              <w:jc w:val="right"/>
              <w:rPr/>
            </w:pPr>
            <w:r>
              <w:rPr/>
              <w:t>—</w:t>
            </w:r>
          </w:p>
        </w:tc>
        <w:tc>
          <w:tcPr>
            <w:tcW w:w="10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3310"/>
        <w:gridCol w:w="1707"/>
        <w:gridCol w:w="140"/>
        <w:gridCol w:w="169"/>
        <w:gridCol w:w="916"/>
        <w:gridCol w:w="156"/>
        <w:gridCol w:w="140"/>
        <w:gridCol w:w="169"/>
        <w:gridCol w:w="804"/>
        <w:gridCol w:w="90"/>
        <w:gridCol w:w="140"/>
        <w:gridCol w:w="169"/>
        <w:gridCol w:w="916"/>
        <w:gridCol w:w="156"/>
        <w:gridCol w:w="140"/>
        <w:gridCol w:w="169"/>
        <w:gridCol w:w="804"/>
        <w:gridCol w:w="110"/>
      </w:tblGrid>
      <w:tr>
        <w:trPr/>
        <w:tc>
          <w:tcPr>
            <w:tcW w:w="10205" w:type="dxa"/>
            <w:gridSpan w:val="18"/>
            <w:tcBorders/>
            <w:shd w:fill="auto" w:val="clear"/>
            <w:vAlign w:val="center"/>
          </w:tcPr>
          <w:p>
            <w:pPr>
              <w:pStyle w:val="TableContents"/>
              <w:spacing w:before="0" w:after="283"/>
              <w:rPr>
                <w:sz w:val="4"/>
                <w:szCs w:val="4"/>
              </w:rPr>
            </w:pPr>
            <w:r>
              <w:rPr>
                <w:sz w:val="4"/>
                <w:szCs w:val="4"/>
              </w:rPr>
            </w:r>
          </w:p>
        </w:tc>
      </w:tr>
      <w:tr>
        <w:trPr/>
        <w:tc>
          <w:tcPr>
            <w:tcW w:w="3310"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10" w:type="dxa"/>
            <w:tcBorders/>
            <w:shd w:fill="auto" w:val="clear"/>
            <w:vAlign w:val="center"/>
          </w:tcPr>
          <w:p>
            <w:pPr>
              <w:pStyle w:val="TableContents"/>
              <w:spacing w:before="0" w:after="0"/>
              <w:ind w:left="0" w:right="0" w:firstLine="30"/>
              <w:jc w:val="left"/>
              <w:rPr/>
            </w:pPr>
            <w:r>
              <w:rPr/>
              <w:t> </w:t>
            </w:r>
          </w:p>
        </w:tc>
        <w:tc>
          <w:tcPr>
            <w:tcW w:w="1707"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504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 of (Gain) Recognized in Other Comprehensive Income on Derivatives (Effective Portion)</w:t>
            </w:r>
          </w:p>
        </w:tc>
      </w:tr>
      <w:tr>
        <w:trPr/>
        <w:tc>
          <w:tcPr>
            <w:tcW w:w="3310" w:type="dxa"/>
            <w:tcBorders/>
            <w:shd w:fill="auto" w:val="clear"/>
            <w:vAlign w:val="center"/>
          </w:tcPr>
          <w:p>
            <w:pPr>
              <w:pStyle w:val="TableContents"/>
              <w:spacing w:before="0" w:after="0"/>
              <w:ind w:left="0" w:right="0" w:firstLine="30"/>
              <w:rPr/>
            </w:pPr>
            <w:r>
              <w:rPr/>
              <w:t>  </w:t>
            </w:r>
          </w:p>
        </w:tc>
        <w:tc>
          <w:tcPr>
            <w:tcW w:w="1707"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44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40" w:type="dxa"/>
            <w:tcBorders/>
            <w:shd w:fill="auto" w:val="clear"/>
            <w:vAlign w:val="center"/>
          </w:tcPr>
          <w:p>
            <w:pPr>
              <w:pStyle w:val="TableContents"/>
              <w:spacing w:before="0" w:after="0"/>
              <w:ind w:left="0" w:right="0" w:firstLine="30"/>
              <w:rPr/>
            </w:pPr>
            <w:r>
              <w:rPr/>
              <w:t> </w:t>
            </w:r>
          </w:p>
        </w:tc>
        <w:tc>
          <w:tcPr>
            <w:tcW w:w="2464"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33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70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(Gain)</w:t>
            </w:r>
          </w:p>
        </w:tc>
        <w:tc>
          <w:tcPr>
            <w:tcW w:w="140" w:type="dxa"/>
            <w:tcBorders/>
            <w:shd w:fill="auto" w:val="clear"/>
            <w:vAlign w:val="center"/>
          </w:tcPr>
          <w:p>
            <w:pPr>
              <w:pStyle w:val="TableContents"/>
              <w:spacing w:before="0" w:after="0"/>
              <w:ind w:left="0" w:right="0" w:firstLine="30"/>
              <w:rPr/>
            </w:pPr>
            <w:r>
              <w:rPr/>
              <w:t> </w:t>
            </w:r>
          </w:p>
        </w:tc>
        <w:tc>
          <w:tcPr>
            <w:tcW w:w="12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106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12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10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3310" w:type="dxa"/>
            <w:tcBorders/>
            <w:shd w:fill="auto" w:val="clear"/>
            <w:vAlign w:val="center"/>
          </w:tcPr>
          <w:p>
            <w:pPr>
              <w:pStyle w:val="TableContents"/>
              <w:spacing w:before="0" w:after="0"/>
              <w:ind w:left="0" w:right="0" w:firstLine="30"/>
              <w:jc w:val="left"/>
              <w:rPr/>
            </w:pPr>
            <w:r>
              <w:rPr/>
              <w:t> </w:t>
            </w:r>
          </w:p>
        </w:tc>
        <w:tc>
          <w:tcPr>
            <w:tcW w:w="1707"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504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1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Designated as cash flow hedging instruments:</w:t>
            </w:r>
          </w:p>
        </w:tc>
        <w:tc>
          <w:tcPr>
            <w:tcW w:w="1707"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241"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241"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083" w:type="dxa"/>
            <w:gridSpan w:val="3"/>
            <w:tcBorders/>
            <w:shd w:fill="CCEEFF" w:val="clear"/>
            <w:vAlign w:val="center"/>
          </w:tcPr>
          <w:p>
            <w:pPr>
              <w:pStyle w:val="TableContents"/>
              <w:spacing w:before="0" w:after="0"/>
              <w:ind w:left="0" w:right="0" w:firstLine="30"/>
              <w:rPr/>
            </w:pPr>
            <w:r>
              <w:rPr/>
              <w:t> </w:t>
            </w:r>
          </w:p>
        </w:tc>
      </w:tr>
      <w:tr>
        <w:trPr/>
        <w:tc>
          <w:tcPr>
            <w:tcW w:w="33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forwards</w:t>
            </w:r>
          </w:p>
        </w:tc>
        <w:tc>
          <w:tcPr>
            <w:tcW w:w="170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Effective portion of cash flow hedge</w:t>
            </w:r>
          </w:p>
        </w:tc>
        <w:tc>
          <w:tcPr>
            <w:tcW w:w="140"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6" w:type="dxa"/>
            <w:tcBorders/>
            <w:shd w:fill="auto" w:val="clear"/>
            <w:vAlign w:val="center"/>
          </w:tcPr>
          <w:p>
            <w:pPr>
              <w:pStyle w:val="TableContents"/>
              <w:spacing w:before="0" w:after="0"/>
              <w:jc w:val="right"/>
              <w:rPr>
                <w:rFonts w:ascii="inherit" w:hAnsi="inherit"/>
                <w:sz w:val="17"/>
              </w:rPr>
            </w:pPr>
            <w:r>
              <w:rPr>
                <w:rFonts w:ascii="inherit" w:hAnsi="inherit"/>
                <w:sz w:val="17"/>
              </w:rPr>
              <w:t>(500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4" w:type="dxa"/>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6" w:type="dxa"/>
            <w:tcBorders/>
            <w:shd w:fill="auto" w:val="clear"/>
            <w:vAlign w:val="center"/>
          </w:tcPr>
          <w:p>
            <w:pPr>
              <w:pStyle w:val="TableContents"/>
              <w:spacing w:before="0" w:after="0"/>
              <w:jc w:val="right"/>
              <w:rPr>
                <w:rFonts w:ascii="inherit" w:hAnsi="inherit"/>
                <w:sz w:val="17"/>
              </w:rPr>
            </w:pPr>
            <w:r>
              <w:rPr>
                <w:rFonts w:ascii="inherit" w:hAnsi="inherit"/>
                <w:sz w:val="17"/>
              </w:rPr>
              <w:t>(500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4"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999"/>
        <w:gridCol w:w="136"/>
        <w:gridCol w:w="1900"/>
        <w:gridCol w:w="136"/>
        <w:gridCol w:w="166"/>
        <w:gridCol w:w="992"/>
        <w:gridCol w:w="153"/>
        <w:gridCol w:w="136"/>
        <w:gridCol w:w="166"/>
        <w:gridCol w:w="743"/>
        <w:gridCol w:w="83"/>
        <w:gridCol w:w="136"/>
        <w:gridCol w:w="166"/>
        <w:gridCol w:w="992"/>
        <w:gridCol w:w="153"/>
        <w:gridCol w:w="136"/>
        <w:gridCol w:w="166"/>
        <w:gridCol w:w="743"/>
        <w:gridCol w:w="103"/>
      </w:tblGrid>
      <w:tr>
        <w:trPr/>
        <w:tc>
          <w:tcPr>
            <w:tcW w:w="10205" w:type="dxa"/>
            <w:gridSpan w:val="19"/>
            <w:tcBorders/>
            <w:shd w:fill="auto" w:val="clear"/>
            <w:vAlign w:val="center"/>
          </w:tcPr>
          <w:p>
            <w:pPr>
              <w:pStyle w:val="TableContents"/>
              <w:spacing w:before="0" w:after="283"/>
              <w:rPr>
                <w:sz w:val="4"/>
                <w:szCs w:val="4"/>
              </w:rPr>
            </w:pPr>
            <w:r>
              <w:rPr>
                <w:sz w:val="4"/>
                <w:szCs w:val="4"/>
              </w:rPr>
            </w:r>
          </w:p>
        </w:tc>
      </w:tr>
      <w:tr>
        <w:trPr/>
        <w:tc>
          <w:tcPr>
            <w:tcW w:w="299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99" w:type="dxa"/>
            <w:tcBorders/>
            <w:shd w:fill="auto" w:val="clear"/>
            <w:vAlign w:val="center"/>
          </w:tcPr>
          <w:p>
            <w:pPr>
              <w:pStyle w:val="TableContents"/>
              <w:spacing w:before="0" w:after="0"/>
              <w:ind w:left="0" w:right="0" w:firstLine="30"/>
              <w:jc w:val="left"/>
              <w:rPr/>
            </w:pPr>
            <w:r>
              <w:rPr/>
              <w:t> </w:t>
            </w:r>
          </w:p>
        </w:tc>
        <w:tc>
          <w:tcPr>
            <w:tcW w:w="136" w:type="dxa"/>
            <w:tcBorders/>
            <w:shd w:fill="auto" w:val="clear"/>
            <w:vAlign w:val="center"/>
          </w:tcPr>
          <w:p>
            <w:pPr>
              <w:pStyle w:val="TableContents"/>
              <w:spacing w:before="0" w:after="0"/>
              <w:ind w:left="0" w:right="0" w:firstLine="30"/>
              <w:rPr/>
            </w:pPr>
            <w:r>
              <w:rPr/>
              <w:t> </w:t>
            </w:r>
          </w:p>
        </w:tc>
        <w:tc>
          <w:tcPr>
            <w:tcW w:w="1900" w:type="dxa"/>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503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 of (Gain) Loss on Derivatives Reclassified into Income from Accumulated Other Comprehensive Income (Effective Portion)</w:t>
            </w:r>
          </w:p>
        </w:tc>
      </w:tr>
      <w:tr>
        <w:trPr/>
        <w:tc>
          <w:tcPr>
            <w:tcW w:w="2999" w:type="dxa"/>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900" w:type="dxa"/>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243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36" w:type="dxa"/>
            <w:tcBorders/>
            <w:shd w:fill="auto" w:val="clear"/>
            <w:vAlign w:val="center"/>
          </w:tcPr>
          <w:p>
            <w:pPr>
              <w:pStyle w:val="TableContents"/>
              <w:spacing w:before="0" w:after="0"/>
              <w:ind w:left="0" w:right="0" w:firstLine="30"/>
              <w:rPr/>
            </w:pPr>
            <w:r>
              <w:rPr/>
              <w:t> </w:t>
            </w:r>
          </w:p>
        </w:tc>
        <w:tc>
          <w:tcPr>
            <w:tcW w:w="2459"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299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36" w:type="dxa"/>
            <w:tcBorders/>
            <w:shd w:fill="auto" w:val="clear"/>
            <w:vAlign w:val="center"/>
          </w:tcPr>
          <w:p>
            <w:pPr>
              <w:pStyle w:val="TableContents"/>
              <w:spacing w:before="0" w:after="0"/>
              <w:ind w:left="0" w:right="0" w:firstLine="30"/>
              <w:rPr/>
            </w:pPr>
            <w:r>
              <w:rPr/>
              <w:t> </w:t>
            </w:r>
          </w:p>
        </w:tc>
        <w:tc>
          <w:tcPr>
            <w:tcW w:w="190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(Gain)</w:t>
            </w:r>
          </w:p>
        </w:tc>
        <w:tc>
          <w:tcPr>
            <w:tcW w:w="136" w:type="dxa"/>
            <w:tcBorders/>
            <w:shd w:fill="auto" w:val="clear"/>
            <w:vAlign w:val="center"/>
          </w:tcPr>
          <w:p>
            <w:pPr>
              <w:pStyle w:val="TableContents"/>
              <w:spacing w:before="0" w:after="0"/>
              <w:ind w:left="0" w:right="0" w:firstLine="30"/>
              <w:rPr/>
            </w:pPr>
            <w:r>
              <w:rPr/>
              <w:t> </w:t>
            </w:r>
          </w:p>
        </w:tc>
        <w:tc>
          <w:tcPr>
            <w:tcW w:w="13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6" w:type="dxa"/>
            <w:tcBorders/>
            <w:shd w:fill="auto" w:val="clear"/>
            <w:vAlign w:val="center"/>
          </w:tcPr>
          <w:p>
            <w:pPr>
              <w:pStyle w:val="TableContents"/>
              <w:spacing w:before="0" w:after="0"/>
              <w:ind w:left="0" w:right="0" w:firstLine="30"/>
              <w:rPr/>
            </w:pPr>
            <w:r>
              <w:rPr/>
              <w:t> </w:t>
            </w:r>
          </w:p>
        </w:tc>
        <w:tc>
          <w:tcPr>
            <w:tcW w:w="9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6" w:type="dxa"/>
            <w:tcBorders/>
            <w:shd w:fill="auto" w:val="clear"/>
            <w:vAlign w:val="center"/>
          </w:tcPr>
          <w:p>
            <w:pPr>
              <w:pStyle w:val="TableContents"/>
              <w:spacing w:before="0" w:after="0"/>
              <w:ind w:left="0" w:right="0" w:firstLine="30"/>
              <w:rPr/>
            </w:pPr>
            <w:r>
              <w:rPr/>
              <w:t> </w:t>
            </w:r>
          </w:p>
        </w:tc>
        <w:tc>
          <w:tcPr>
            <w:tcW w:w="13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6" w:type="dxa"/>
            <w:tcBorders/>
            <w:shd w:fill="auto" w:val="clear"/>
            <w:vAlign w:val="center"/>
          </w:tcPr>
          <w:p>
            <w:pPr>
              <w:pStyle w:val="TableContents"/>
              <w:spacing w:before="0" w:after="0"/>
              <w:ind w:left="0" w:right="0" w:firstLine="30"/>
              <w:rPr/>
            </w:pPr>
            <w:r>
              <w:rPr/>
              <w:t> </w:t>
            </w:r>
          </w:p>
        </w:tc>
        <w:tc>
          <w:tcPr>
            <w:tcW w:w="10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2999" w:type="dxa"/>
            <w:tcBorders/>
            <w:shd w:fill="auto" w:val="clear"/>
            <w:vAlign w:val="center"/>
          </w:tcPr>
          <w:p>
            <w:pPr>
              <w:pStyle w:val="TableContents"/>
              <w:spacing w:before="0" w:after="0"/>
              <w:ind w:left="0" w:right="0" w:firstLine="30"/>
              <w:jc w:val="left"/>
              <w:rPr/>
            </w:pPr>
            <w:r>
              <w:rPr/>
              <w:t> </w:t>
            </w:r>
          </w:p>
        </w:tc>
        <w:tc>
          <w:tcPr>
            <w:tcW w:w="136" w:type="dxa"/>
            <w:tcBorders/>
            <w:shd w:fill="auto" w:val="clear"/>
            <w:vAlign w:val="center"/>
          </w:tcPr>
          <w:p>
            <w:pPr>
              <w:pStyle w:val="TableContents"/>
              <w:spacing w:before="0" w:after="0"/>
              <w:ind w:left="0" w:right="0" w:firstLine="30"/>
              <w:rPr/>
            </w:pPr>
            <w:r>
              <w:rPr/>
              <w:t> </w:t>
            </w:r>
          </w:p>
        </w:tc>
        <w:tc>
          <w:tcPr>
            <w:tcW w:w="1900" w:type="dxa"/>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503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99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Designated as cash flow hedging instruments:</w:t>
            </w:r>
          </w:p>
        </w:tc>
        <w:tc>
          <w:tcPr>
            <w:tcW w:w="136" w:type="dxa"/>
            <w:tcBorders/>
            <w:shd w:fill="CCEEFF" w:val="clear"/>
            <w:vAlign w:val="center"/>
          </w:tcPr>
          <w:p>
            <w:pPr>
              <w:pStyle w:val="TableContents"/>
              <w:spacing w:before="0" w:after="0"/>
              <w:ind w:left="0" w:right="0" w:firstLine="30"/>
              <w:rPr/>
            </w:pPr>
            <w:r>
              <w:rPr/>
              <w:t> </w:t>
            </w:r>
          </w:p>
        </w:tc>
        <w:tc>
          <w:tcPr>
            <w:tcW w:w="1900"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992"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012" w:type="dxa"/>
            <w:gridSpan w:val="3"/>
            <w:tcBorders/>
            <w:shd w:fill="CCEEFF" w:val="clear"/>
            <w:vAlign w:val="center"/>
          </w:tcPr>
          <w:p>
            <w:pPr>
              <w:pStyle w:val="TableContents"/>
              <w:spacing w:before="0" w:after="0"/>
              <w:ind w:left="0" w:right="0" w:firstLine="30"/>
              <w:rPr/>
            </w:pPr>
            <w:r>
              <w:rPr/>
              <w:t> </w:t>
            </w:r>
          </w:p>
        </w:tc>
      </w:tr>
      <w:tr>
        <w:trPr/>
        <w:tc>
          <w:tcPr>
            <w:tcW w:w="29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forwards</w:t>
            </w:r>
          </w:p>
        </w:tc>
        <w:tc>
          <w:tcPr>
            <w:tcW w:w="136" w:type="dxa"/>
            <w:tcBorders/>
            <w:shd w:fill="auto" w:val="clear"/>
            <w:vAlign w:val="center"/>
          </w:tcPr>
          <w:p>
            <w:pPr>
              <w:pStyle w:val="TableContents"/>
              <w:spacing w:before="0" w:after="0"/>
              <w:ind w:left="0" w:right="0" w:firstLine="30"/>
              <w:rPr/>
            </w:pPr>
            <w:r>
              <w:rPr/>
              <w:t> </w:t>
            </w:r>
          </w:p>
        </w:tc>
        <w:tc>
          <w:tcPr>
            <w:tcW w:w="1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3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shd w:fill="auto" w:val="clear"/>
            <w:vAlign w:val="center"/>
          </w:tcPr>
          <w:p>
            <w:pPr>
              <w:pStyle w:val="TableContents"/>
              <w:spacing w:before="0" w:after="0"/>
              <w:jc w:val="right"/>
              <w:rPr>
                <w:rFonts w:ascii="inherit" w:hAnsi="inherit"/>
                <w:sz w:val="17"/>
              </w:rPr>
            </w:pPr>
            <w:r>
              <w:rPr>
                <w:rFonts w:ascii="inherit" w:hAnsi="inherit"/>
                <w:sz w:val="17"/>
              </w:rPr>
              <w:t>(1,888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43"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shd w:fill="auto" w:val="clear"/>
            <w:vAlign w:val="center"/>
          </w:tcPr>
          <w:p>
            <w:pPr>
              <w:pStyle w:val="TableContents"/>
              <w:spacing w:before="0" w:after="0"/>
              <w:jc w:val="right"/>
              <w:rPr>
                <w:rFonts w:ascii="inherit" w:hAnsi="inherit"/>
                <w:sz w:val="17"/>
              </w:rPr>
            </w:pPr>
            <w:r>
              <w:rPr>
                <w:rFonts w:ascii="inherit" w:hAnsi="inherit"/>
                <w:sz w:val="17"/>
              </w:rPr>
              <w:t>(1,888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43" w:type="dxa"/>
            <w:tcBorders/>
            <w:shd w:fill="auto" w:val="clear"/>
            <w:vAlign w:val="center"/>
          </w:tcPr>
          <w:p>
            <w:pPr>
              <w:pStyle w:val="TableContents"/>
              <w:spacing w:before="0" w:after="0"/>
              <w:jc w:val="right"/>
              <w:rPr/>
            </w:pPr>
            <w:r>
              <w:rPr/>
              <w:t>—</w:t>
            </w:r>
          </w:p>
        </w:tc>
        <w:tc>
          <w:tcPr>
            <w:tcW w:w="10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rPr/>
      </w:pPr>
      <w:hyperlink w:anchor="s6341541F7667DB742175CD29235C3997">
        <w:bookmarkStart w:id="28" w:name="s6E4EADBFDE4B0355A97ECD28FA2211381"/>
        <w:bookmarkEnd w:id="2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3160"/>
        <w:gridCol w:w="140"/>
        <w:gridCol w:w="1967"/>
        <w:gridCol w:w="140"/>
        <w:gridCol w:w="171"/>
        <w:gridCol w:w="809"/>
        <w:gridCol w:w="157"/>
        <w:gridCol w:w="140"/>
        <w:gridCol w:w="171"/>
        <w:gridCol w:w="783"/>
        <w:gridCol w:w="88"/>
        <w:gridCol w:w="140"/>
        <w:gridCol w:w="171"/>
        <w:gridCol w:w="809"/>
        <w:gridCol w:w="157"/>
        <w:gridCol w:w="140"/>
        <w:gridCol w:w="171"/>
        <w:gridCol w:w="783"/>
        <w:gridCol w:w="108"/>
      </w:tblGrid>
      <w:tr>
        <w:trPr/>
        <w:tc>
          <w:tcPr>
            <w:tcW w:w="10205" w:type="dxa"/>
            <w:gridSpan w:val="19"/>
            <w:tcBorders/>
            <w:shd w:fill="auto" w:val="clear"/>
            <w:vAlign w:val="center"/>
          </w:tcPr>
          <w:p>
            <w:pPr>
              <w:pStyle w:val="TableContents"/>
              <w:spacing w:before="0" w:after="283"/>
              <w:rPr>
                <w:sz w:val="4"/>
                <w:szCs w:val="4"/>
              </w:rPr>
            </w:pPr>
            <w:r>
              <w:rPr>
                <w:sz w:val="4"/>
                <w:szCs w:val="4"/>
              </w:rPr>
            </w:r>
          </w:p>
        </w:tc>
      </w:tr>
      <w:tr>
        <w:trPr/>
        <w:tc>
          <w:tcPr>
            <w:tcW w:w="31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60" w:type="dxa"/>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967"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479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 of (Gain) on Derivatives Recognized in Income (Ineffective Portion Excluded from Effectiveness Testing)</w:t>
            </w:r>
          </w:p>
        </w:tc>
      </w:tr>
      <w:tr>
        <w:trPr/>
        <w:tc>
          <w:tcPr>
            <w:tcW w:w="316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967"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31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40" w:type="dxa"/>
            <w:tcBorders/>
            <w:shd w:fill="auto" w:val="clear"/>
            <w:vAlign w:val="center"/>
          </w:tcPr>
          <w:p>
            <w:pPr>
              <w:pStyle w:val="TableContents"/>
              <w:spacing w:before="0" w:after="0"/>
              <w:ind w:left="0" w:right="0" w:firstLine="30"/>
              <w:rPr/>
            </w:pPr>
            <w:r>
              <w:rPr/>
              <w:t> </w:t>
            </w:r>
          </w:p>
        </w:tc>
        <w:tc>
          <w:tcPr>
            <w:tcW w:w="2339"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316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40" w:type="dxa"/>
            <w:tcBorders/>
            <w:shd w:fill="auto" w:val="clear"/>
            <w:vAlign w:val="center"/>
          </w:tcPr>
          <w:p>
            <w:pPr>
              <w:pStyle w:val="TableContents"/>
              <w:spacing w:before="0" w:after="0"/>
              <w:ind w:left="0" w:right="0" w:firstLine="30"/>
              <w:rPr/>
            </w:pPr>
            <w:r>
              <w:rPr/>
              <w:t> </w:t>
            </w:r>
          </w:p>
        </w:tc>
        <w:tc>
          <w:tcPr>
            <w:tcW w:w="196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(Gain)</w:t>
            </w:r>
          </w:p>
        </w:tc>
        <w:tc>
          <w:tcPr>
            <w:tcW w:w="140" w:type="dxa"/>
            <w:tcBorders/>
            <w:shd w:fill="auto" w:val="clear"/>
            <w:vAlign w:val="center"/>
          </w:tcPr>
          <w:p>
            <w:pPr>
              <w:pStyle w:val="TableContents"/>
              <w:spacing w:before="0" w:after="0"/>
              <w:ind w:left="0" w:right="0" w:firstLine="30"/>
              <w:rPr/>
            </w:pPr>
            <w:r>
              <w:rPr/>
              <w:t> </w:t>
            </w:r>
          </w:p>
        </w:tc>
        <w:tc>
          <w:tcPr>
            <w:tcW w:w="11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10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11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10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3160" w:type="dxa"/>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967"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479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6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Designated as cash flow hedging instruments:</w:t>
            </w:r>
          </w:p>
        </w:tc>
        <w:tc>
          <w:tcPr>
            <w:tcW w:w="140" w:type="dxa"/>
            <w:tcBorders/>
            <w:shd w:fill="CCEEFF" w:val="clear"/>
            <w:vAlign w:val="center"/>
          </w:tcPr>
          <w:p>
            <w:pPr>
              <w:pStyle w:val="TableContents"/>
              <w:spacing w:before="0" w:after="0"/>
              <w:ind w:left="0" w:right="0" w:firstLine="30"/>
              <w:rPr/>
            </w:pPr>
            <w:r>
              <w:rPr/>
              <w:t> </w:t>
            </w:r>
          </w:p>
        </w:tc>
        <w:tc>
          <w:tcPr>
            <w:tcW w:w="1967"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137"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137"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062" w:type="dxa"/>
            <w:gridSpan w:val="3"/>
            <w:tcBorders/>
            <w:shd w:fill="CCEEFF" w:val="clear"/>
            <w:vAlign w:val="center"/>
          </w:tcPr>
          <w:p>
            <w:pPr>
              <w:pStyle w:val="TableContents"/>
              <w:spacing w:before="0" w:after="0"/>
              <w:ind w:left="0" w:right="0" w:firstLine="30"/>
              <w:rPr/>
            </w:pPr>
            <w:r>
              <w:rPr/>
              <w:t> </w:t>
            </w:r>
          </w:p>
        </w:tc>
      </w:tr>
      <w:tr>
        <w:trPr/>
        <w:tc>
          <w:tcPr>
            <w:tcW w:w="3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forwards</w:t>
            </w:r>
          </w:p>
        </w:tc>
        <w:tc>
          <w:tcPr>
            <w:tcW w:w="140" w:type="dxa"/>
            <w:tcBorders/>
            <w:shd w:fill="auto" w:val="clear"/>
            <w:vAlign w:val="center"/>
          </w:tcPr>
          <w:p>
            <w:pPr>
              <w:pStyle w:val="TableContents"/>
              <w:spacing w:before="0" w:after="0"/>
              <w:ind w:left="0" w:right="0" w:firstLine="30"/>
              <w:rPr/>
            </w:pPr>
            <w:r>
              <w:rPr/>
              <w:t> </w:t>
            </w:r>
          </w:p>
        </w:tc>
        <w:tc>
          <w:tcPr>
            <w:tcW w:w="19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40"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3" w:type="dxa"/>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9" w:type="dxa"/>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3" w:type="dxa"/>
            <w:tcBorders/>
            <w:shd w:fill="auto" w:val="clear"/>
            <w:vAlign w:val="center"/>
          </w:tcPr>
          <w:p>
            <w:pPr>
              <w:pStyle w:val="TableContents"/>
              <w:spacing w:before="0" w:after="0"/>
              <w:jc w:val="right"/>
              <w:rPr/>
            </w:pPr>
            <w:r>
              <w:rPr/>
              <w:t>—</w:t>
            </w:r>
          </w:p>
        </w:tc>
        <w:tc>
          <w:tcPr>
            <w:tcW w:w="108"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rPr/>
      </w:pPr>
      <w:hyperlink w:anchor="s6341541F7667DB742175CD29235C3997">
        <w:bookmarkStart w:id="29" w:name="s2841D07A93B94E6A14D7CD28FA42069A"/>
        <w:bookmarkEnd w:id="2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trike w:val="false"/>
          <w:dstrike w:val="false"/>
          <w:color w:val="000000"/>
          <w:sz w:val="17"/>
          <w:u w:val="none"/>
          <w:effect w:val="none"/>
        </w:rPr>
        <w:t>NOTE 16: CONDENSED CONSOLIDATING FINANCIAL INFORMATION</w:t>
      </w:r>
      <w:r>
        <w:rPr>
          <w:sz w:val="17"/>
        </w:rPr>
        <w:t xml:space="preserve"> </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February 3, 2012</w:t>
      </w:r>
      <w:r>
        <w:rPr>
          <w:rFonts w:ascii="inherit" w:hAnsi="inherit"/>
          <w:sz w:val="17"/>
        </w:rPr>
        <w:t xml:space="preserve">, we filed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100% owned domestic subsidiaries will fully and unconditionally guarantee on a joint and several basis our payment obligations under such debt securities issued by the parent. </w:t>
      </w:r>
    </w:p>
    <w:p>
      <w:pPr>
        <w:pStyle w:val="TextBody"/>
        <w:spacing w:lineRule="auto" w:line="288" w:before="0" w:after="0"/>
        <w:rPr>
          <w:sz w:val="17"/>
        </w:rPr>
      </w:pPr>
      <w:r>
        <w:rPr>
          <w:rFonts w:ascii="inherit" w:hAnsi="inherit"/>
          <w:sz w:val="17"/>
        </w:rPr>
        <w:t xml:space="preserve">In accordance with Rule 3-10(f) of Regulation S-X, the following presents condensed consolidating financial information as of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for the current and prior three and nine-month periods then ended and as of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for EZCORP, Inc. (the “Parent”), each of the Parent’s domestic subsidiaries (the “Subsidiary Guarantors”) on a combined basis and each of the Parent’s other subsidiaries (the “Other Subsidiaries”) on a combined basis. Eliminating entries presented are necessary to consolidate the groups of entities. Subsequent to the issuance of our consolidated financial statements for the year ended </w:t>
      </w:r>
      <w:r>
        <w:rPr>
          <w:rFonts w:ascii="inherit" w:hAnsi="inherit"/>
          <w:strike w:val="false"/>
          <w:dstrike w:val="false"/>
          <w:color w:val="000000"/>
          <w:sz w:val="17"/>
          <w:u w:val="none"/>
          <w:effect w:val="none"/>
        </w:rPr>
        <w:t>September 30, 2012</w:t>
      </w:r>
      <w:r>
        <w:rPr>
          <w:rFonts w:ascii="inherit" w:hAnsi="inherit"/>
          <w:sz w:val="17"/>
        </w:rPr>
        <w:t xml:space="preserve">, we identified certain errors in the presentation of the condensed consolidating financial statements contained in this footnote as of </w:t>
      </w:r>
      <w:r>
        <w:rPr>
          <w:rFonts w:ascii="inherit" w:hAnsi="inherit"/>
          <w:strike w:val="false"/>
          <w:dstrike w:val="false"/>
          <w:color w:val="000000"/>
          <w:sz w:val="17"/>
          <w:u w:val="none"/>
          <w:effect w:val="none"/>
        </w:rPr>
        <w:t>September 30, 2012</w:t>
      </w:r>
      <w:r>
        <w:rPr>
          <w:rFonts w:ascii="inherit" w:hAnsi="inherit"/>
          <w:sz w:val="17"/>
        </w:rPr>
        <w:t xml:space="preserve">,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for the three and nine months ended </w:t>
      </w:r>
      <w:r>
        <w:rPr>
          <w:rFonts w:ascii="inherit" w:hAnsi="inherit"/>
          <w:strike w:val="false"/>
          <w:dstrike w:val="false"/>
          <w:color w:val="000000"/>
          <w:sz w:val="17"/>
          <w:u w:val="none"/>
          <w:effect w:val="none"/>
        </w:rPr>
        <w:t>June 30, 2012</w:t>
      </w:r>
      <w:r>
        <w:rPr>
          <w:rFonts w:ascii="inherit" w:hAnsi="inherit"/>
          <w:sz w:val="17"/>
        </w:rPr>
        <w:t xml:space="preserve">.  The condensed consolidating financial information presented on the following pages has been corrected for these errors.  These adjustments did not have an impact on the consolidated financial statements as of </w:t>
      </w:r>
      <w:r>
        <w:rPr>
          <w:rFonts w:ascii="inherit" w:hAnsi="inherit"/>
          <w:strike w:val="false"/>
          <w:dstrike w:val="false"/>
          <w:color w:val="000000"/>
          <w:sz w:val="17"/>
          <w:u w:val="none"/>
          <w:effect w:val="none"/>
        </w:rPr>
        <w:t>September 30, 2012</w:t>
      </w:r>
      <w:r>
        <w:rPr>
          <w:rFonts w:ascii="inherit" w:hAnsi="inherit"/>
          <w:sz w:val="17"/>
        </w:rPr>
        <w:t xml:space="preserve">, </w:t>
      </w:r>
      <w:r>
        <w:rPr>
          <w:rFonts w:ascii="inherit" w:hAnsi="inherit"/>
          <w:strike w:val="false"/>
          <w:dstrike w:val="false"/>
          <w:color w:val="000000"/>
          <w:sz w:val="17"/>
          <w:u w:val="none"/>
          <w:effect w:val="none"/>
        </w:rPr>
        <w:t>June 30, 2012</w:t>
      </w:r>
      <w:r>
        <w:rPr>
          <w:rFonts w:ascii="inherit" w:hAnsi="inherit"/>
          <w:sz w:val="17"/>
        </w:rPr>
        <w:t xml:space="preserve">, or for the three and nine months ended </w:t>
      </w:r>
      <w:r>
        <w:rPr>
          <w:rFonts w:ascii="inherit" w:hAnsi="inherit"/>
          <w:strike w:val="false"/>
          <w:dstrike w:val="false"/>
          <w:color w:val="000000"/>
          <w:sz w:val="17"/>
          <w:u w:val="none"/>
          <w:effect w:val="none"/>
        </w:rPr>
        <w:t>June 30, 2012</w:t>
      </w:r>
      <w:r>
        <w:rPr>
          <w:rFonts w:ascii="inherit" w:hAnsi="inherit"/>
          <w:sz w:val="17"/>
        </w:rPr>
        <w: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rPr/>
      </w:pPr>
      <w:hyperlink w:anchor="s6341541F7667DB742175CD29235C3997">
        <w:bookmarkStart w:id="30" w:name="s2841D07A93B94E6A14D7CD28FA42069A1"/>
        <w:bookmarkEnd w:id="30"/>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z w:val="17"/>
        </w:rPr>
        <w:t>Condens</w:t>
      </w:r>
      <w:r>
        <w:rPr>
          <w:rFonts w:ascii="inherit" w:hAnsi="inherit"/>
          <w:b/>
          <w:sz w:val="15"/>
        </w:rPr>
        <w:t>ed Consolidating Balance Sheets</w:t>
      </w:r>
    </w:p>
    <w:tbl>
      <w:tblPr>
        <w:tblW w:w="10205" w:type="dxa"/>
        <w:jc w:val="left"/>
        <w:tblInd w:w="0" w:type="dxa"/>
        <w:tblCellMar>
          <w:top w:w="0" w:type="dxa"/>
          <w:left w:w="0" w:type="dxa"/>
          <w:bottom w:w="0" w:type="dxa"/>
          <w:right w:w="0" w:type="dxa"/>
        </w:tblCellMar>
      </w:tblPr>
      <w:tblGrid>
        <w:gridCol w:w="2281"/>
        <w:gridCol w:w="145"/>
        <w:gridCol w:w="1036"/>
        <w:gridCol w:w="130"/>
        <w:gridCol w:w="111"/>
        <w:gridCol w:w="145"/>
        <w:gridCol w:w="888"/>
        <w:gridCol w:w="130"/>
        <w:gridCol w:w="111"/>
        <w:gridCol w:w="145"/>
        <w:gridCol w:w="891"/>
        <w:gridCol w:w="132"/>
        <w:gridCol w:w="111"/>
        <w:gridCol w:w="145"/>
        <w:gridCol w:w="1095"/>
        <w:gridCol w:w="130"/>
        <w:gridCol w:w="111"/>
        <w:gridCol w:w="145"/>
        <w:gridCol w:w="1036"/>
        <w:gridCol w:w="128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81" w:type="dxa"/>
            <w:tcBorders/>
            <w:shd w:fill="auto" w:val="clear"/>
            <w:vAlign w:val="center"/>
          </w:tcPr>
          <w:p>
            <w:pPr>
              <w:pStyle w:val="TableContents"/>
              <w:spacing w:before="0" w:after="0"/>
              <w:ind w:left="0" w:right="0" w:firstLine="30"/>
              <w:jc w:val="left"/>
              <w:rPr/>
            </w:pPr>
            <w:r>
              <w:rPr/>
              <w:t> </w:t>
            </w:r>
          </w:p>
        </w:tc>
        <w:tc>
          <w:tcPr>
            <w:tcW w:w="7924" w:type="dxa"/>
            <w:gridSpan w:val="19"/>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June 30, 2013</w:t>
            </w:r>
          </w:p>
        </w:tc>
      </w:tr>
      <w:tr>
        <w:trPr/>
        <w:tc>
          <w:tcPr>
            <w:tcW w:w="2281" w:type="dxa"/>
            <w:tcBorders/>
            <w:shd w:fill="auto" w:val="clear"/>
            <w:vAlign w:val="center"/>
          </w:tcPr>
          <w:p>
            <w:pPr>
              <w:pStyle w:val="TableContents"/>
              <w:spacing w:before="0" w:after="0"/>
              <w:ind w:left="0" w:right="0" w:firstLine="30"/>
              <w:jc w:val="left"/>
              <w:rPr/>
            </w:pPr>
            <w:r>
              <w:rPr/>
              <w:t> </w:t>
            </w:r>
          </w:p>
        </w:tc>
        <w:tc>
          <w:tcPr>
            <w:tcW w:w="13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1" w:type="dxa"/>
            <w:tcBorders/>
            <w:shd w:fill="auto" w:val="clear"/>
            <w:vAlign w:val="center"/>
          </w:tcPr>
          <w:p>
            <w:pPr>
              <w:pStyle w:val="TableContents"/>
              <w:spacing w:before="0" w:after="0"/>
              <w:ind w:left="0" w:right="0" w:firstLine="30"/>
              <w:rPr/>
            </w:pPr>
            <w:r>
              <w:rPr/>
              <w:t> </w:t>
            </w:r>
          </w:p>
        </w:tc>
        <w:tc>
          <w:tcPr>
            <w:tcW w:w="116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1" w:type="dxa"/>
            <w:tcBorders/>
            <w:shd w:fill="auto" w:val="clear"/>
            <w:vAlign w:val="center"/>
          </w:tcPr>
          <w:p>
            <w:pPr>
              <w:pStyle w:val="TableContents"/>
              <w:spacing w:before="0" w:after="0"/>
              <w:ind w:left="0" w:right="0" w:firstLine="30"/>
              <w:rPr/>
            </w:pPr>
            <w:r>
              <w:rPr/>
              <w:t> </w:t>
            </w:r>
          </w:p>
        </w:tc>
        <w:tc>
          <w:tcPr>
            <w:tcW w:w="116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1" w:type="dxa"/>
            <w:tcBorders/>
            <w:shd w:fill="auto" w:val="clear"/>
            <w:vAlign w:val="center"/>
          </w:tcPr>
          <w:p>
            <w:pPr>
              <w:pStyle w:val="TableContents"/>
              <w:spacing w:before="0" w:after="0"/>
              <w:ind w:left="0" w:right="0" w:firstLine="30"/>
              <w:rPr/>
            </w:pPr>
            <w:r>
              <w:rPr/>
              <w:t> </w:t>
            </w:r>
          </w:p>
        </w:tc>
        <w:tc>
          <w:tcPr>
            <w:tcW w:w="13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1" w:type="dxa"/>
            <w:tcBorders/>
            <w:shd w:fill="auto" w:val="clear"/>
            <w:vAlign w:val="center"/>
          </w:tcPr>
          <w:p>
            <w:pPr>
              <w:pStyle w:val="TableContents"/>
              <w:spacing w:before="0" w:after="0"/>
              <w:ind w:left="0" w:right="0" w:firstLine="30"/>
              <w:rPr/>
            </w:pPr>
            <w:r>
              <w:rPr/>
              <w:t> </w:t>
            </w:r>
          </w:p>
        </w:tc>
        <w:tc>
          <w:tcPr>
            <w:tcW w:w="24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281" w:type="dxa"/>
            <w:tcBorders/>
            <w:shd w:fill="auto" w:val="clear"/>
            <w:vAlign w:val="center"/>
          </w:tcPr>
          <w:p>
            <w:pPr>
              <w:pStyle w:val="TableContents"/>
              <w:spacing w:before="0" w:after="0"/>
              <w:ind w:left="0" w:right="0" w:firstLine="30"/>
              <w:jc w:val="left"/>
              <w:rPr/>
            </w:pPr>
            <w:r>
              <w:rPr/>
              <w:t>  </w:t>
            </w:r>
          </w:p>
        </w:tc>
        <w:tc>
          <w:tcPr>
            <w:tcW w:w="7924"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1311"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163"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168"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2468" w:type="dxa"/>
            <w:gridSpan w:val="3"/>
            <w:tcBorders/>
            <w:shd w:fill="auto" w:val="clear"/>
            <w:vAlign w:val="center"/>
          </w:tcPr>
          <w:p>
            <w:pPr>
              <w:pStyle w:val="TableContents"/>
              <w:spacing w:before="0" w:after="0"/>
              <w:ind w:left="0" w:right="0" w:firstLine="420"/>
              <w:rPr/>
            </w:pPr>
            <w:r>
              <w:rPr/>
              <w:t> </w:t>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311"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163"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168"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2468" w:type="dxa"/>
            <w:gridSpan w:val="3"/>
            <w:tcBorders/>
            <w:shd w:fill="CCEEFF" w:val="clear"/>
            <w:vAlign w:val="center"/>
          </w:tcPr>
          <w:p>
            <w:pPr>
              <w:pStyle w:val="TableContents"/>
              <w:spacing w:before="0" w:after="0"/>
              <w:ind w:left="0" w:right="0" w:firstLine="780"/>
              <w:rPr/>
            </w:pPr>
            <w:r>
              <w:rPr/>
              <w:t> </w:t>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4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703</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88" w:type="dxa"/>
            <w:tcBorders/>
            <w:shd w:fill="auto" w:val="clear"/>
            <w:vAlign w:val="center"/>
          </w:tcPr>
          <w:p>
            <w:pPr>
              <w:pStyle w:val="TableContents"/>
              <w:spacing w:before="0" w:after="0"/>
              <w:jc w:val="right"/>
              <w:rPr>
                <w:rFonts w:ascii="inherit" w:hAnsi="inherit"/>
                <w:sz w:val="17"/>
              </w:rPr>
            </w:pPr>
            <w:r>
              <w:rPr>
                <w:rFonts w:ascii="inherit" w:hAnsi="inherit"/>
                <w:sz w:val="17"/>
              </w:rPr>
              <w:t>11,244</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91" w:type="dxa"/>
            <w:tcBorders/>
            <w:shd w:fill="auto" w:val="clear"/>
            <w:vAlign w:val="center"/>
          </w:tcPr>
          <w:p>
            <w:pPr>
              <w:pStyle w:val="TableContents"/>
              <w:spacing w:before="0" w:after="0"/>
              <w:jc w:val="right"/>
              <w:rPr>
                <w:rFonts w:ascii="inherit" w:hAnsi="inherit"/>
                <w:sz w:val="17"/>
              </w:rPr>
            </w:pPr>
            <w:r>
              <w:rPr>
                <w:rFonts w:ascii="inherit" w:hAnsi="inherit"/>
                <w:sz w:val="17"/>
              </w:rPr>
              <w:t>34,008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45,955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181"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181"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137,237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16,858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154,095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181"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19,035</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23,682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42,717</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181"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26,022</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2,568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28,590</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181"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7,294</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28,316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35,610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181"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101,283</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21,220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122,503</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9,484</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6,232</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15,716</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Intercompany receivables</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313,387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84,649</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(398,036</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receivable</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12,937</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12,937</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1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30,691</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6,644</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37,377</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18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336,553</w:t>
            </w:r>
          </w:p>
        </w:tc>
        <w:tc>
          <w:tcPr>
            <w:tcW w:w="1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423,687</w:t>
            </w:r>
          </w:p>
        </w:tc>
        <w:tc>
          <w:tcPr>
            <w:tcW w:w="1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136,428</w:t>
            </w:r>
          </w:p>
        </w:tc>
        <w:tc>
          <w:tcPr>
            <w:tcW w:w="13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(398,036</w:t>
            </w:r>
          </w:p>
        </w:tc>
        <w:tc>
          <w:tcPr>
            <w:tcW w:w="13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498,632</w:t>
            </w:r>
          </w:p>
        </w:tc>
        <w:tc>
          <w:tcPr>
            <w:tcW w:w="1287" w:type="dxa"/>
            <w:tcBorders>
              <w:top w:val="single" w:sz="2" w:space="0" w:color="000000"/>
            </w:tcBorders>
            <w:shd w:fill="CCEEFF"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94,455</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52,252</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146,707</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subsidiaries</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661,854</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109,146</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(771,000</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181"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77,207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33,105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110,312</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Restricted cash, non-current</w:t>
            </w:r>
          </w:p>
        </w:tc>
        <w:tc>
          <w:tcPr>
            <w:tcW w:w="1181"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2,182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2,182</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181"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277,307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148,841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426,148</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1,165</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39,195</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24,173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64,533</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181"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82,631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82,631</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7,018</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16,038</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23,056</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1,094,027</w:t>
            </w:r>
          </w:p>
        </w:tc>
        <w:tc>
          <w:tcPr>
            <w:tcW w:w="1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985,812</w:t>
            </w:r>
          </w:p>
        </w:tc>
        <w:tc>
          <w:tcPr>
            <w:tcW w:w="1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443,398</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(1,169,036</w:t>
            </w:r>
          </w:p>
        </w:tc>
        <w:tc>
          <w:tcPr>
            <w:tcW w:w="1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1,354,201</w:t>
            </w:r>
          </w:p>
        </w:tc>
        <w:tc>
          <w:tcPr>
            <w:tcW w:w="12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Liabilities and stockholders’ equity:</w:t>
            </w:r>
          </w:p>
        </w:tc>
        <w:tc>
          <w:tcPr>
            <w:tcW w:w="1311"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163"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168"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2468" w:type="dxa"/>
            <w:gridSpan w:val="3"/>
            <w:tcBorders/>
            <w:shd w:fill="CCEEFF" w:val="clear"/>
            <w:vAlign w:val="center"/>
          </w:tcPr>
          <w:p>
            <w:pPr>
              <w:pStyle w:val="TableContents"/>
              <w:spacing w:before="0" w:after="0"/>
              <w:ind w:left="0" w:right="0" w:firstLine="420"/>
              <w:rPr/>
            </w:pPr>
            <w:r>
              <w:rPr/>
              <w:t> </w:t>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311"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163"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168"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2468" w:type="dxa"/>
            <w:gridSpan w:val="3"/>
            <w:tcBorders/>
            <w:shd w:fill="auto" w:val="clear"/>
            <w:vAlign w:val="center"/>
          </w:tcPr>
          <w:p>
            <w:pPr>
              <w:pStyle w:val="TableContents"/>
              <w:spacing w:before="0" w:after="0"/>
              <w:ind w:left="0" w:right="0" w:firstLine="780"/>
              <w:rPr/>
            </w:pPr>
            <w:r>
              <w:rPr/>
              <w:t> </w:t>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88" w:type="dxa"/>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1" w:type="dxa"/>
            <w:tcBorders/>
            <w:shd w:fill="CCEEFF" w:val="clear"/>
            <w:vAlign w:val="center"/>
          </w:tcPr>
          <w:p>
            <w:pPr>
              <w:pStyle w:val="TableContents"/>
              <w:spacing w:before="0" w:after="0"/>
              <w:jc w:val="right"/>
              <w:rPr>
                <w:rFonts w:ascii="inherit" w:hAnsi="inherit"/>
                <w:sz w:val="17"/>
              </w:rPr>
            </w:pPr>
            <w:r>
              <w:rPr>
                <w:rFonts w:ascii="inherit" w:hAnsi="inherit"/>
                <w:sz w:val="17"/>
              </w:rPr>
              <w:t>33,525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33,525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capital lease obligations</w:t>
            </w:r>
          </w:p>
        </w:tc>
        <w:tc>
          <w:tcPr>
            <w:tcW w:w="1181"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533</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533</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45,934</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22,939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68,960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11,500</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11,116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22,640</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181"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6,863</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7,912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Intercompany payables</w:t>
            </w:r>
          </w:p>
        </w:tc>
        <w:tc>
          <w:tcPr>
            <w:tcW w:w="11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252,527</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124,304</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(376,831</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18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11,587</w:t>
            </w:r>
          </w:p>
        </w:tc>
        <w:tc>
          <w:tcPr>
            <w:tcW w:w="1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305,881</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192,933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(376,831</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133,570</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122,500</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97,080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(21,206</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198,374</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capital lease obligations</w:t>
            </w:r>
          </w:p>
        </w:tc>
        <w:tc>
          <w:tcPr>
            <w:tcW w:w="1181"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521</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521</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8,440</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508</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8,948</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12,000</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2,196</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2,255</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16,451</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154,527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309,106</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292,268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(398,037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357,864</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w:t>
            </w:r>
          </w:p>
        </w:tc>
        <w:tc>
          <w:tcPr>
            <w:tcW w:w="1311"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163"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168"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2468" w:type="dxa"/>
            <w:gridSpan w:val="3"/>
            <w:tcBorders/>
            <w:shd w:fill="CCEEFF" w:val="clear"/>
            <w:vAlign w:val="center"/>
          </w:tcPr>
          <w:p>
            <w:pPr>
              <w:pStyle w:val="TableContents"/>
              <w:spacing w:before="0" w:after="0"/>
              <w:ind w:left="0" w:right="0" w:firstLine="420"/>
              <w:rPr/>
            </w:pPr>
            <w:r>
              <w:rPr/>
              <w:t> </w:t>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Temporary equity:</w:t>
            </w:r>
          </w:p>
        </w:tc>
        <w:tc>
          <w:tcPr>
            <w:tcW w:w="1311"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163"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168"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2468" w:type="dxa"/>
            <w:gridSpan w:val="3"/>
            <w:tcBorders/>
            <w:shd w:fill="auto" w:val="clear"/>
            <w:vAlign w:val="center"/>
          </w:tcPr>
          <w:p>
            <w:pPr>
              <w:pStyle w:val="TableContents"/>
              <w:spacing w:before="0" w:after="0"/>
              <w:ind w:left="0" w:right="0" w:firstLine="780"/>
              <w:rPr/>
            </w:pPr>
            <w:r>
              <w:rPr/>
              <w:t> </w:t>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181"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56,837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56,837</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311"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163"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168"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2468" w:type="dxa"/>
            <w:gridSpan w:val="3"/>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Class A Non-voting Common Stock, par value $.01 per share;</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512</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Class B Voting Common Stock, convertible, par value $.01 per share;</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Additional paid-in capital</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317,258</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155,527</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112,968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(268,495</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317,258</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Retained earnings</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624,620</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524,267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(9,926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(514,341</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624,620</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 (loss)</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(2,920</w:t>
            </w:r>
          </w:p>
        </w:tc>
        <w:tc>
          <w:tcPr>
            <w:tcW w:w="13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0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(3,100</w:t>
            </w:r>
          </w:p>
        </w:tc>
        <w:tc>
          <w:tcPr>
            <w:tcW w:w="13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0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(8,750</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11,850</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(2,920</w:t>
            </w:r>
          </w:p>
        </w:tc>
        <w:tc>
          <w:tcPr>
            <w:tcW w:w="1287" w:type="dxa"/>
            <w:tcBorders>
              <w:bottom w:val="single" w:sz="2" w:space="0" w:color="000000"/>
            </w:tcBorders>
            <w:shd w:fill="CCEEFF" w:val="clear"/>
            <w:tcMar>
              <w:bottom w:w="30" w:type="dxa"/>
            </w:tcMar>
            <w:vAlign w:val="center"/>
          </w:tcPr>
          <w:p>
            <w:pPr>
              <w:pStyle w:val="TableContents"/>
              <w:spacing w:before="0" w:after="0"/>
              <w:ind w:left="0" w:right="0" w:firstLine="900"/>
              <w:jc w:val="left"/>
              <w:rPr>
                <w:rFonts w:ascii="inherit" w:hAnsi="inherit"/>
                <w:sz w:val="17"/>
              </w:rPr>
            </w:pPr>
            <w:r>
              <w:rPr>
                <w:rFonts w:ascii="inherit" w:hAnsi="inherit"/>
                <w:sz w:val="17"/>
              </w:rPr>
              <w:t>)</w:t>
            </w:r>
          </w:p>
        </w:tc>
      </w:tr>
      <w:tr>
        <w:trPr/>
        <w:tc>
          <w:tcPr>
            <w:tcW w:w="2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 stockholders' equity</w:t>
            </w:r>
          </w:p>
        </w:tc>
        <w:tc>
          <w:tcPr>
            <w:tcW w:w="11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939,500</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676,706</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3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94,293</w:t>
            </w:r>
          </w:p>
        </w:tc>
        <w:tc>
          <w:tcPr>
            <w:tcW w:w="1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(770,999</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939,500</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stockholders’ equity</w:t>
            </w:r>
          </w:p>
        </w:tc>
        <w:tc>
          <w:tcPr>
            <w:tcW w:w="14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1,094,027</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985,812</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443,398</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(1,169,036</w:t>
            </w:r>
          </w:p>
        </w:tc>
        <w:tc>
          <w:tcPr>
            <w:tcW w:w="13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4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1,354,201</w:t>
            </w:r>
          </w:p>
        </w:tc>
        <w:tc>
          <w:tcPr>
            <w:tcW w:w="128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rPr/>
      </w:pPr>
      <w:hyperlink w:anchor="s6341541F7667DB742175CD29235C3997">
        <w:bookmarkStart w:id="31" w:name="s2841D07A93B94E6A14D7CD28FA42069A2"/>
        <w:bookmarkEnd w:id="31"/>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308"/>
        <w:gridCol w:w="150"/>
        <w:gridCol w:w="930"/>
        <w:gridCol w:w="135"/>
        <w:gridCol w:w="115"/>
        <w:gridCol w:w="150"/>
        <w:gridCol w:w="930"/>
        <w:gridCol w:w="135"/>
        <w:gridCol w:w="115"/>
        <w:gridCol w:w="150"/>
        <w:gridCol w:w="933"/>
        <w:gridCol w:w="137"/>
        <w:gridCol w:w="115"/>
        <w:gridCol w:w="150"/>
        <w:gridCol w:w="989"/>
        <w:gridCol w:w="135"/>
        <w:gridCol w:w="115"/>
        <w:gridCol w:w="150"/>
        <w:gridCol w:w="1077"/>
        <w:gridCol w:w="1286"/>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30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08" w:type="dxa"/>
            <w:tcBorders/>
            <w:shd w:fill="auto" w:val="clear"/>
            <w:vAlign w:val="center"/>
          </w:tcPr>
          <w:p>
            <w:pPr>
              <w:pStyle w:val="TableContents"/>
              <w:spacing w:before="0" w:after="0"/>
              <w:ind w:left="0" w:right="0" w:firstLine="30"/>
              <w:jc w:val="left"/>
              <w:rPr/>
            </w:pPr>
            <w:r>
              <w:rPr/>
              <w:t> </w:t>
            </w:r>
          </w:p>
        </w:tc>
        <w:tc>
          <w:tcPr>
            <w:tcW w:w="7897" w:type="dxa"/>
            <w:gridSpan w:val="19"/>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June 30, 2012</w:t>
            </w:r>
          </w:p>
        </w:tc>
      </w:tr>
      <w:tr>
        <w:trPr/>
        <w:tc>
          <w:tcPr>
            <w:tcW w:w="2308" w:type="dxa"/>
            <w:tcBorders/>
            <w:shd w:fill="auto" w:val="clear"/>
            <w:vAlign w:val="center"/>
          </w:tcPr>
          <w:p>
            <w:pPr>
              <w:pStyle w:val="TableContents"/>
              <w:spacing w:before="0" w:after="0"/>
              <w:ind w:left="0" w:right="0" w:firstLine="30"/>
              <w:rPr/>
            </w:pPr>
            <w:r>
              <w:rPr/>
              <w:t>  </w:t>
            </w:r>
          </w:p>
        </w:tc>
        <w:tc>
          <w:tcPr>
            <w:tcW w:w="12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21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22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2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25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308" w:type="dxa"/>
            <w:tcBorders/>
            <w:shd w:fill="auto" w:val="clear"/>
            <w:vAlign w:val="center"/>
          </w:tcPr>
          <w:p>
            <w:pPr>
              <w:pStyle w:val="TableContents"/>
              <w:spacing w:before="0" w:after="0"/>
              <w:ind w:left="0" w:right="0" w:firstLine="30"/>
              <w:rPr/>
            </w:pPr>
            <w:r>
              <w:rPr/>
              <w:t>  </w:t>
            </w:r>
          </w:p>
        </w:tc>
        <w:tc>
          <w:tcPr>
            <w:tcW w:w="7897"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Assets:</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513" w:type="dxa"/>
            <w:gridSpan w:val="3"/>
            <w:tcBorders/>
            <w:shd w:fill="auto" w:val="clear"/>
            <w:vAlign w:val="center"/>
          </w:tcPr>
          <w:p>
            <w:pPr>
              <w:pStyle w:val="TableContents"/>
              <w:spacing w:before="0" w:after="0"/>
              <w:ind w:left="0" w:right="0" w:firstLine="420"/>
              <w:rPr/>
            </w:pPr>
            <w:r>
              <w:rPr/>
              <w:t> </w:t>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513" w:type="dxa"/>
            <w:gridSpan w:val="3"/>
            <w:tcBorders/>
            <w:shd w:fill="CCEEFF" w:val="clear"/>
            <w:vAlign w:val="center"/>
          </w:tcPr>
          <w:p>
            <w:pPr>
              <w:pStyle w:val="TableContents"/>
              <w:spacing w:before="0" w:after="0"/>
              <w:ind w:left="0" w:right="0" w:firstLine="780"/>
              <w:rPr/>
            </w:pPr>
            <w:r>
              <w:rPr/>
              <w:t> </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703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28,674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shd w:fill="auto" w:val="clear"/>
            <w:vAlign w:val="center"/>
          </w:tcPr>
          <w:p>
            <w:pPr>
              <w:pStyle w:val="TableContents"/>
              <w:spacing w:before="0" w:after="0"/>
              <w:jc w:val="right"/>
              <w:rPr>
                <w:rFonts w:ascii="inherit" w:hAnsi="inherit"/>
                <w:sz w:val="17"/>
              </w:rPr>
            </w:pPr>
            <w:r>
              <w:rPr>
                <w:rFonts w:ascii="inherit" w:hAnsi="inherit"/>
                <w:sz w:val="17"/>
              </w:rPr>
              <w:t>21,397</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shd w:fill="auto" w:val="clear"/>
            <w:vAlign w:val="center"/>
          </w:tcPr>
          <w:p>
            <w:pPr>
              <w:pStyle w:val="TableContents"/>
              <w:spacing w:before="0" w:after="0"/>
              <w:jc w:val="right"/>
              <w:rPr>
                <w:rFonts w:ascii="inherit" w:hAnsi="inherit"/>
                <w:sz w:val="17"/>
              </w:rPr>
            </w:pPr>
            <w:r>
              <w:rPr>
                <w:rFonts w:ascii="inherit" w:hAnsi="inherit"/>
                <w:sz w:val="17"/>
              </w:rPr>
              <w:t>50,774</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Restricted cash</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1,051</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loans</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134,038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13,439</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147,477</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 net</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14,928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13,836</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28,764</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 receivable, net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24,041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2,051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26,092</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receivable, net</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6,026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19,703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25,729</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Inventory, net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81,355</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13,066</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94,421</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12,710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5,479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18,226</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Intercompany receivables</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292,506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(292,506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pPr>
            <w:r>
              <w:rPr/>
              <w:t>—</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 receivable</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9,383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9,383</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assets</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35,840</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4,386</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40,268</w:t>
            </w:r>
          </w:p>
        </w:tc>
        <w:tc>
          <w:tcPr>
            <w:tcW w:w="1286"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315,344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330,381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88,966</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(292,506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442,185</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unconsolidated affiliates</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74,153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51,156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125,309</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subsidiaries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515,704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95,943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(611,647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pPr>
            <w:r>
              <w:rPr/>
              <w:t>—</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69,911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30,331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100,242</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221,574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144,670</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366,286</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 net</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1,698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15,957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19,511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37,166</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Non-current consumer loans, net</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54,479</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54,479</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net</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8,634</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1,474</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10,108</w:t>
            </w:r>
          </w:p>
        </w:tc>
        <w:tc>
          <w:tcPr>
            <w:tcW w:w="1286"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906,941</w:t>
            </w:r>
          </w:p>
        </w:tc>
        <w:tc>
          <w:tcPr>
            <w:tcW w:w="1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793,556</w:t>
            </w:r>
          </w:p>
        </w:tc>
        <w:tc>
          <w:tcPr>
            <w:tcW w:w="1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339,431</w:t>
            </w:r>
          </w:p>
        </w:tc>
        <w:tc>
          <w:tcPr>
            <w:tcW w:w="1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(904,153</w:t>
            </w:r>
          </w:p>
        </w:tc>
        <w:tc>
          <w:tcPr>
            <w:tcW w:w="13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1,135,775</w:t>
            </w:r>
          </w:p>
        </w:tc>
        <w:tc>
          <w:tcPr>
            <w:tcW w:w="128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Liabilities and stockholders’ equity:</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513" w:type="dxa"/>
            <w:gridSpan w:val="3"/>
            <w:tcBorders/>
            <w:shd w:fill="auto" w:val="clear"/>
            <w:vAlign w:val="center"/>
          </w:tcPr>
          <w:p>
            <w:pPr>
              <w:pStyle w:val="TableContents"/>
              <w:spacing w:before="0" w:after="0"/>
              <w:ind w:left="0" w:right="0" w:firstLine="420"/>
              <w:rPr/>
            </w:pPr>
            <w:r>
              <w:rPr/>
              <w:t> </w:t>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liabilities:</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513" w:type="dxa"/>
            <w:gridSpan w:val="3"/>
            <w:tcBorders/>
            <w:shd w:fill="CCEEFF" w:val="clear"/>
            <w:vAlign w:val="center"/>
          </w:tcPr>
          <w:p>
            <w:pPr>
              <w:pStyle w:val="TableContents"/>
              <w:spacing w:before="0" w:after="0"/>
              <w:ind w:left="0" w:right="0" w:firstLine="780"/>
              <w:rPr/>
            </w:pPr>
            <w:r>
              <w:rPr/>
              <w:t> </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maturities of long-term debt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31,126</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31,126</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capital lease obligations</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395</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and other accrued expenses</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43,643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10,749</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54,487</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current liabilities</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11,923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14,848</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5,884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856</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6,740</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Intercompany payables</w:t>
            </w:r>
          </w:p>
        </w:tc>
        <w:tc>
          <w:tcPr>
            <w:tcW w:w="108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209,979</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72,863</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(282,842</w:t>
            </w:r>
          </w:p>
        </w:tc>
        <w:tc>
          <w:tcPr>
            <w:tcW w:w="13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86"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262,826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127,517</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(282,842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107,596</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less current maturities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114,700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70,704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(9,664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175,740</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capital lease obligations</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764</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liability</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6,373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239</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7,788</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gains and other long-term liabilities</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1,880</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11,370</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13,250</w:t>
            </w:r>
          </w:p>
        </w:tc>
        <w:tc>
          <w:tcPr>
            <w:tcW w:w="128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121,168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266,646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209,830</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(292,506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305,138</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Commitments and contingencies</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513" w:type="dxa"/>
            <w:gridSpan w:val="3"/>
            <w:tcBorders/>
            <w:shd w:fill="auto" w:val="clear"/>
            <w:vAlign w:val="center"/>
          </w:tcPr>
          <w:p>
            <w:pPr>
              <w:pStyle w:val="TableContents"/>
              <w:spacing w:before="0" w:after="0"/>
              <w:ind w:left="0" w:right="0" w:firstLine="420"/>
              <w:rPr/>
            </w:pPr>
            <w:r>
              <w:rPr/>
              <w:t> </w:t>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Temporary equity:</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513" w:type="dxa"/>
            <w:gridSpan w:val="3"/>
            <w:tcBorders/>
            <w:shd w:fill="CCEEFF" w:val="clear"/>
            <w:vAlign w:val="center"/>
          </w:tcPr>
          <w:p>
            <w:pPr>
              <w:pStyle w:val="TableContents"/>
              <w:spacing w:before="0" w:after="0"/>
              <w:ind w:left="0" w:right="0" w:firstLine="780"/>
              <w:rPr/>
            </w:pPr>
            <w:r>
              <w:rPr/>
              <w:t> </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Redeemable noncontrolling interest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44,864</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44,864</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Stockholders’ equity:</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513" w:type="dxa"/>
            <w:gridSpan w:val="3"/>
            <w:tcBorders/>
            <w:shd w:fill="CCEEFF" w:val="clear"/>
            <w:vAlign w:val="center"/>
          </w:tcPr>
          <w:p>
            <w:pPr>
              <w:pStyle w:val="TableContents"/>
              <w:spacing w:before="0" w:after="0"/>
              <w:ind w:left="0" w:right="0" w:firstLine="780"/>
              <w:rPr/>
            </w:pPr>
            <w:r>
              <w:rPr/>
              <w:t> </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$.01 per share;</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482</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Class B Voting Common Stock, convertible, par value $.01 per share;</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266,653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149,443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102,188</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(251,631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266,653</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Retained earnings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527,231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378,251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(5,010</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(373,241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527,231</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income (loss)</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(8,623</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(796</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(12,442</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13,238</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(8,623</w:t>
            </w:r>
          </w:p>
        </w:tc>
        <w:tc>
          <w:tcPr>
            <w:tcW w:w="1286" w:type="dxa"/>
            <w:tcBorders>
              <w:bottom w:val="single" w:sz="2" w:space="0" w:color="000000"/>
            </w:tcBorders>
            <w:shd w:fill="auto" w:val="clear"/>
            <w:tcMar>
              <w:bottom w:w="30" w:type="dxa"/>
            </w:tcMar>
            <w:vAlign w:val="center"/>
          </w:tcPr>
          <w:p>
            <w:pPr>
              <w:pStyle w:val="TableContents"/>
              <w:spacing w:before="0" w:after="0"/>
              <w:ind w:left="0" w:right="0" w:firstLine="900"/>
              <w:jc w:val="left"/>
              <w:rPr>
                <w:rFonts w:ascii="inherit" w:hAnsi="inherit"/>
                <w:sz w:val="17"/>
              </w:rPr>
            </w:pPr>
            <w:r>
              <w:rPr>
                <w:rFonts w:ascii="inherit" w:hAnsi="inherit"/>
                <w:sz w:val="17"/>
              </w:rPr>
              <w:t>)</w:t>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EZCORP, Inc. stockholders' equity</w:t>
            </w:r>
          </w:p>
        </w:tc>
        <w:tc>
          <w:tcPr>
            <w:tcW w:w="10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785,773</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526,910</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84,737</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(611,647</w:t>
            </w:r>
          </w:p>
        </w:tc>
        <w:tc>
          <w:tcPr>
            <w:tcW w:w="13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785,773</w:t>
            </w:r>
          </w:p>
        </w:tc>
        <w:tc>
          <w:tcPr>
            <w:tcW w:w="1286"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906,941</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793,556</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339,431</w:t>
            </w:r>
          </w:p>
        </w:tc>
        <w:tc>
          <w:tcPr>
            <w:tcW w:w="13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(904,153</w:t>
            </w:r>
          </w:p>
        </w:tc>
        <w:tc>
          <w:tcPr>
            <w:tcW w:w="13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1,135,775</w:t>
            </w:r>
          </w:p>
        </w:tc>
        <w:tc>
          <w:tcPr>
            <w:tcW w:w="1286"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rPr/>
      </w:pPr>
      <w:hyperlink w:anchor="s6341541F7667DB742175CD29235C3997">
        <w:bookmarkStart w:id="32" w:name="s2841D07A93B94E6A14D7CD28FA42069A3"/>
        <w:bookmarkEnd w:id="3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43"/>
        <w:gridCol w:w="138"/>
        <w:gridCol w:w="872"/>
        <w:gridCol w:w="138"/>
        <w:gridCol w:w="119"/>
        <w:gridCol w:w="142"/>
        <w:gridCol w:w="896"/>
        <w:gridCol w:w="144"/>
        <w:gridCol w:w="119"/>
        <w:gridCol w:w="152"/>
        <w:gridCol w:w="950"/>
        <w:gridCol w:w="154"/>
        <w:gridCol w:w="119"/>
        <w:gridCol w:w="146"/>
        <w:gridCol w:w="978"/>
        <w:gridCol w:w="147"/>
        <w:gridCol w:w="119"/>
        <w:gridCol w:w="138"/>
        <w:gridCol w:w="1004"/>
        <w:gridCol w:w="128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4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43" w:type="dxa"/>
            <w:tcBorders/>
            <w:shd w:fill="auto" w:val="clear"/>
            <w:vAlign w:val="center"/>
          </w:tcPr>
          <w:p>
            <w:pPr>
              <w:pStyle w:val="TableContents"/>
              <w:spacing w:before="0" w:after="0"/>
              <w:ind w:left="0" w:right="0" w:firstLine="30"/>
              <w:rPr/>
            </w:pPr>
            <w:r>
              <w:rPr/>
              <w:t>  </w:t>
            </w:r>
          </w:p>
        </w:tc>
        <w:tc>
          <w:tcPr>
            <w:tcW w:w="7762"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r>
      <w:tr>
        <w:trPr/>
        <w:tc>
          <w:tcPr>
            <w:tcW w:w="2443" w:type="dxa"/>
            <w:tcBorders/>
            <w:shd w:fill="auto" w:val="clear"/>
            <w:vAlign w:val="center"/>
          </w:tcPr>
          <w:p>
            <w:pPr>
              <w:pStyle w:val="TableContents"/>
              <w:spacing w:before="0" w:after="0"/>
              <w:ind w:left="0" w:right="0" w:firstLine="30"/>
              <w:rPr/>
            </w:pPr>
            <w:r>
              <w:rPr/>
              <w:t>  </w:t>
            </w:r>
          </w:p>
        </w:tc>
        <w:tc>
          <w:tcPr>
            <w:tcW w:w="11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Subsidiary</w:t>
              <w:br/>
              <w:t>Guarantors</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w:t>
              <w:br/>
              <w:t>Subsidiaries</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43" w:type="dxa"/>
            <w:tcBorders/>
            <w:shd w:fill="auto" w:val="clear"/>
            <w:vAlign w:val="center"/>
          </w:tcPr>
          <w:p>
            <w:pPr>
              <w:pStyle w:val="TableContents"/>
              <w:spacing w:before="0" w:after="0"/>
              <w:ind w:left="0" w:right="0" w:firstLine="30"/>
              <w:rPr/>
            </w:pPr>
            <w:r>
              <w:rPr/>
              <w:t>  </w:t>
            </w:r>
          </w:p>
        </w:tc>
        <w:tc>
          <w:tcPr>
            <w:tcW w:w="7762"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Assets:</w:t>
            </w:r>
          </w:p>
        </w:tc>
        <w:tc>
          <w:tcPr>
            <w:tcW w:w="114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shd w:fill="auto" w:val="clear"/>
            <w:vAlign w:val="center"/>
          </w:tcPr>
          <w:p>
            <w:pPr>
              <w:pStyle w:val="TableContents"/>
              <w:spacing w:before="0" w:after="0"/>
              <w:ind w:left="0" w:right="0" w:firstLine="420"/>
              <w:rPr/>
            </w:pPr>
            <w:r>
              <w:rPr/>
              <w:t> </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shd w:fill="auto" w:val="clear"/>
            <w:vAlign w:val="center"/>
          </w:tcPr>
          <w:p>
            <w:pPr>
              <w:pStyle w:val="TableContents"/>
              <w:spacing w:before="0" w:after="0"/>
              <w:jc w:val="right"/>
              <w:rPr>
                <w:rFonts w:ascii="inherit" w:hAnsi="inherit"/>
                <w:sz w:val="15"/>
              </w:rPr>
            </w:pPr>
            <w:r>
              <w:rPr>
                <w:rFonts w:ascii="inherit" w:hAnsi="inherit"/>
                <w:sz w:val="15"/>
              </w:rPr>
              <w:t>703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shd w:fill="auto" w:val="clear"/>
            <w:vAlign w:val="center"/>
          </w:tcPr>
          <w:p>
            <w:pPr>
              <w:pStyle w:val="TableContents"/>
              <w:spacing w:before="0" w:after="0"/>
              <w:jc w:val="right"/>
              <w:rPr>
                <w:rFonts w:ascii="inherit" w:hAnsi="inherit"/>
                <w:sz w:val="15"/>
              </w:rPr>
            </w:pPr>
            <w:r>
              <w:rPr>
                <w:rFonts w:ascii="inherit" w:hAnsi="inherit"/>
                <w:sz w:val="15"/>
              </w:rPr>
              <w:t>27,686</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shd w:fill="auto" w:val="clear"/>
            <w:vAlign w:val="center"/>
          </w:tcPr>
          <w:p>
            <w:pPr>
              <w:pStyle w:val="TableContents"/>
              <w:spacing w:before="0" w:after="0"/>
              <w:jc w:val="right"/>
              <w:rPr>
                <w:rFonts w:ascii="inherit" w:hAnsi="inherit"/>
                <w:sz w:val="15"/>
              </w:rPr>
            </w:pPr>
            <w:r>
              <w:rPr>
                <w:rFonts w:ascii="inherit" w:hAnsi="inherit"/>
                <w:sz w:val="15"/>
              </w:rPr>
              <w:t>20,088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shd w:fill="auto" w:val="clear"/>
            <w:vAlign w:val="center"/>
          </w:tcPr>
          <w:p>
            <w:pPr>
              <w:pStyle w:val="TableContents"/>
              <w:spacing w:before="0" w:after="0"/>
              <w:jc w:val="right"/>
              <w:rPr>
                <w:rFonts w:ascii="inherit" w:hAnsi="inherit"/>
                <w:sz w:val="15"/>
              </w:rPr>
            </w:pPr>
            <w:r>
              <w:rPr>
                <w:rFonts w:ascii="inherit" w:hAnsi="inherit"/>
                <w:sz w:val="15"/>
              </w:rPr>
              <w:t>48,477</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Restricted cash</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loans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140,885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16,763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157,648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 net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16,562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17,590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34,152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 receivable,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26,663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2,738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29,401</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receivable, net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6,899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23,517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30,416</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Inventory,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93,165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16,049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109,214</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9,484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5,500</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14,984</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Intercompany receivables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363,065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(363,065</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taxes receivable</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10,209</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10,511</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assets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2,243</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38,629</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4,579</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45,451</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385,704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355,989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102,771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(363,065</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481,399</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unconsolidated affiliates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74,254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51,812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126,066</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subsidiaries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510,045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95,942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(605,987</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74,837</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33,294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108,131</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Restricted cash, non-current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4,337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4,337</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224,275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150,388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374,663</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 net</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1,548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17,228</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26,409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45,185</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Non-current consumer loans,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61,997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61,997</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net</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8,585</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7,644</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16,229</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971,551</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828,668</w:t>
            </w:r>
          </w:p>
        </w:tc>
        <w:tc>
          <w:tcPr>
            <w:tcW w:w="1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386,840</w:t>
            </w:r>
          </w:p>
        </w:tc>
        <w:tc>
          <w:tcPr>
            <w:tcW w:w="1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(969,052</w:t>
            </w:r>
          </w:p>
        </w:tc>
        <w:tc>
          <w:tcPr>
            <w:tcW w:w="147"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1,218,007</w:t>
            </w:r>
          </w:p>
        </w:tc>
        <w:tc>
          <w:tcPr>
            <w:tcW w:w="1287"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liabilities:</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Current maturities of long-term debt</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shd w:fill="auto" w:val="clear"/>
            <w:vAlign w:val="center"/>
          </w:tcPr>
          <w:p>
            <w:pPr>
              <w:pStyle w:val="TableContents"/>
              <w:spacing w:before="0" w:after="0"/>
              <w:jc w:val="right"/>
              <w:rPr>
                <w:rFonts w:ascii="inherit" w:hAnsi="inherit"/>
                <w:sz w:val="15"/>
              </w:rPr>
            </w:pPr>
            <w:r>
              <w:rPr>
                <w:rFonts w:ascii="inherit" w:hAnsi="inherit"/>
                <w:sz w:val="15"/>
              </w:rPr>
              <w:t>21,085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shd w:fill="auto" w:val="clear"/>
            <w:vAlign w:val="center"/>
          </w:tcPr>
          <w:p>
            <w:pPr>
              <w:pStyle w:val="TableContents"/>
              <w:spacing w:before="0" w:after="0"/>
              <w:jc w:val="right"/>
              <w:rPr>
                <w:rFonts w:ascii="inherit" w:hAnsi="inherit"/>
                <w:sz w:val="15"/>
              </w:rPr>
            </w:pPr>
            <w:r>
              <w:rPr>
                <w:rFonts w:ascii="inherit" w:hAnsi="inherit"/>
                <w:sz w:val="15"/>
              </w:rPr>
              <w:t>21,085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capital lease obligations</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594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594</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and other accrued expenses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53,169</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10,807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64,104</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current liabilities</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2,925</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11,896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14,821</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6,251</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987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7,238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Intercompany payables</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257,571</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84,850</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(342,421</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320,510</w:t>
            </w:r>
          </w:p>
        </w:tc>
        <w:tc>
          <w:tcPr>
            <w:tcW w:w="14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129,625</w:t>
            </w:r>
          </w:p>
        </w:tc>
        <w:tc>
          <w:tcPr>
            <w:tcW w:w="15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(342,421</w:t>
            </w:r>
          </w:p>
        </w:tc>
        <w:tc>
          <w:tcPr>
            <w:tcW w:w="14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107,842</w:t>
            </w:r>
          </w:p>
        </w:tc>
        <w:tc>
          <w:tcPr>
            <w:tcW w:w="1287" w:type="dxa"/>
            <w:tcBorders>
              <w:top w:val="single" w:sz="2" w:space="0" w:color="000000"/>
            </w:tcBorders>
            <w:shd w:fill="auto"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less current maturities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130,000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89,480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(20,644</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198,836</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capital lease obligations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995</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liability</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6,595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1,327</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7,922</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gains and other long-term liabilities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1,898</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12,005</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13,903</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136,723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324,730</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231,110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(363,065</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329,498</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Commitments and contingencies</w:t>
            </w:r>
          </w:p>
        </w:tc>
        <w:tc>
          <w:tcPr>
            <w:tcW w:w="114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shd w:fill="auto" w:val="clear"/>
            <w:vAlign w:val="center"/>
          </w:tcPr>
          <w:p>
            <w:pPr>
              <w:pStyle w:val="TableContents"/>
              <w:spacing w:before="0" w:after="0"/>
              <w:ind w:left="0" w:right="0" w:firstLine="420"/>
              <w:rPr/>
            </w:pPr>
            <w:r>
              <w:rPr/>
              <w:t> </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Temporary equity:</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Redeemable noncontrolling interest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53,681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53,681</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Stockholders’ equity:</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$.01 per share;</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482</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Class B Voting Common Stock, convertible, par value $.01 per share;</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268,626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80,210</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102,188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(182,398</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268,626</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Retained earnings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565,803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425,024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2,373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(427,397</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565,803</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income (loss)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(1,309</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(2,512</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3,821</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1287" w:type="dxa"/>
            <w:tcBorders>
              <w:bottom w:val="single" w:sz="2" w:space="0" w:color="000000"/>
            </w:tcBorders>
            <w:shd w:fill="auto" w:val="clear"/>
            <w:tcMar>
              <w:bottom w:w="30" w:type="dxa"/>
            </w:tcMar>
            <w:vAlign w:val="center"/>
          </w:tcPr>
          <w:p>
            <w:pPr>
              <w:pStyle w:val="TableContents"/>
              <w:spacing w:before="0" w:after="0"/>
              <w:ind w:left="0" w:right="0" w:firstLine="900"/>
              <w:jc w:val="left"/>
              <w:rPr>
                <w:rFonts w:ascii="inherit" w:hAnsi="inherit"/>
                <w:sz w:val="15"/>
              </w:rPr>
            </w:pPr>
            <w:r>
              <w:rPr>
                <w:rFonts w:ascii="inherit" w:hAnsi="inherit"/>
                <w:sz w:val="15"/>
              </w:rPr>
              <w:t>)</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EZCORP, Inc. stockholders' equity</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834,828</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503,938</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102,049</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(605,987</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834,828</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971,551</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828,668</w:t>
            </w:r>
          </w:p>
        </w:tc>
        <w:tc>
          <w:tcPr>
            <w:tcW w:w="1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386,840</w:t>
            </w:r>
          </w:p>
        </w:tc>
        <w:tc>
          <w:tcPr>
            <w:tcW w:w="1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(969,052</w:t>
            </w:r>
          </w:p>
        </w:tc>
        <w:tc>
          <w:tcPr>
            <w:tcW w:w="147"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1,218,007</w:t>
            </w:r>
          </w:p>
        </w:tc>
        <w:tc>
          <w:tcPr>
            <w:tcW w:w="128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rPr/>
      </w:pPr>
      <w:hyperlink w:anchor="s6341541F7667DB742175CD29235C3997">
        <w:bookmarkStart w:id="33" w:name="s2841D07A93B94E6A14D7CD28FA42069A4"/>
        <w:bookmarkEnd w:id="33"/>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Statements of Operations</w:t>
      </w:r>
    </w:p>
    <w:tbl>
      <w:tblPr>
        <w:tblW w:w="10205" w:type="dxa"/>
        <w:jc w:val="left"/>
        <w:tblInd w:w="0" w:type="dxa"/>
        <w:tblCellMar>
          <w:top w:w="0" w:type="dxa"/>
          <w:left w:w="0" w:type="dxa"/>
          <w:bottom w:w="0" w:type="dxa"/>
          <w:right w:w="0" w:type="dxa"/>
        </w:tblCellMar>
      </w:tblPr>
      <w:tblGrid>
        <w:gridCol w:w="3018"/>
        <w:gridCol w:w="157"/>
        <w:gridCol w:w="822"/>
        <w:gridCol w:w="142"/>
        <w:gridCol w:w="123"/>
        <w:gridCol w:w="161"/>
        <w:gridCol w:w="889"/>
        <w:gridCol w:w="147"/>
        <w:gridCol w:w="123"/>
        <w:gridCol w:w="163"/>
        <w:gridCol w:w="956"/>
        <w:gridCol w:w="149"/>
        <w:gridCol w:w="123"/>
        <w:gridCol w:w="194"/>
        <w:gridCol w:w="911"/>
        <w:gridCol w:w="177"/>
        <w:gridCol w:w="123"/>
        <w:gridCol w:w="157"/>
        <w:gridCol w:w="865"/>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301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18" w:type="dxa"/>
            <w:tcBorders/>
            <w:shd w:fill="auto" w:val="clear"/>
            <w:vAlign w:val="center"/>
          </w:tcPr>
          <w:p>
            <w:pPr>
              <w:pStyle w:val="TableContents"/>
              <w:spacing w:before="0" w:after="0"/>
              <w:ind w:left="0" w:right="0" w:firstLine="30"/>
              <w:jc w:val="left"/>
              <w:rPr/>
            </w:pPr>
            <w:r>
              <w:rPr/>
              <w:t> </w:t>
            </w:r>
          </w:p>
        </w:tc>
        <w:tc>
          <w:tcPr>
            <w:tcW w:w="7187"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2013</w:t>
            </w:r>
          </w:p>
        </w:tc>
      </w:tr>
      <w:tr>
        <w:trPr/>
        <w:tc>
          <w:tcPr>
            <w:tcW w:w="3018" w:type="dxa"/>
            <w:tcBorders/>
            <w:shd w:fill="auto" w:val="clear"/>
            <w:vAlign w:val="center"/>
          </w:tcPr>
          <w:p>
            <w:pPr>
              <w:pStyle w:val="TableContents"/>
              <w:spacing w:before="0" w:after="0"/>
              <w:ind w:left="0" w:right="0" w:firstLine="30"/>
              <w:jc w:val="left"/>
              <w:rPr/>
            </w:pPr>
            <w:r>
              <w:rPr/>
              <w:t> </w:t>
            </w:r>
          </w:p>
        </w:tc>
        <w:tc>
          <w:tcPr>
            <w:tcW w:w="11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3" w:type="dxa"/>
            <w:tcBorders/>
            <w:shd w:fill="auto" w:val="clear"/>
            <w:vAlign w:val="center"/>
          </w:tcPr>
          <w:p>
            <w:pPr>
              <w:pStyle w:val="TableContents"/>
              <w:spacing w:before="0" w:after="0"/>
              <w:ind w:left="0" w:right="0" w:firstLine="30"/>
              <w:rPr/>
            </w:pPr>
            <w:r>
              <w:rPr/>
              <w:t> </w:t>
            </w:r>
          </w:p>
        </w:tc>
        <w:tc>
          <w:tcPr>
            <w:tcW w:w="119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3" w:type="dxa"/>
            <w:tcBorders/>
            <w:shd w:fill="auto" w:val="clear"/>
            <w:vAlign w:val="center"/>
          </w:tcPr>
          <w:p>
            <w:pPr>
              <w:pStyle w:val="TableContents"/>
              <w:spacing w:before="0" w:after="0"/>
              <w:ind w:left="0" w:right="0" w:firstLine="30"/>
              <w:rPr/>
            </w:pPr>
            <w:r>
              <w:rPr/>
              <w:t> </w:t>
            </w:r>
          </w:p>
        </w:tc>
        <w:tc>
          <w:tcPr>
            <w:tcW w:w="126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3" w:type="dxa"/>
            <w:tcBorders/>
            <w:shd w:fill="auto" w:val="clear"/>
            <w:vAlign w:val="center"/>
          </w:tcPr>
          <w:p>
            <w:pPr>
              <w:pStyle w:val="TableContents"/>
              <w:spacing w:before="0" w:after="0"/>
              <w:ind w:left="0" w:right="0" w:firstLine="30"/>
              <w:rPr/>
            </w:pPr>
            <w:r>
              <w:rPr/>
              <w:t> </w:t>
            </w:r>
          </w:p>
        </w:tc>
        <w:tc>
          <w:tcPr>
            <w:tcW w:w="12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3" w:type="dxa"/>
            <w:tcBorders/>
            <w:shd w:fill="auto" w:val="clear"/>
            <w:vAlign w:val="center"/>
          </w:tcPr>
          <w:p>
            <w:pPr>
              <w:pStyle w:val="TableContents"/>
              <w:spacing w:before="0" w:after="0"/>
              <w:ind w:left="0" w:right="0" w:firstLine="30"/>
              <w:rPr/>
            </w:pPr>
            <w:r>
              <w:rPr/>
              <w:t> </w:t>
            </w:r>
          </w:p>
        </w:tc>
        <w:tc>
          <w:tcPr>
            <w:tcW w:w="18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018" w:type="dxa"/>
            <w:tcBorders/>
            <w:shd w:fill="auto" w:val="clear"/>
            <w:vAlign w:val="center"/>
          </w:tcPr>
          <w:p>
            <w:pPr>
              <w:pStyle w:val="TableContents"/>
              <w:spacing w:before="0" w:after="0"/>
              <w:ind w:left="0" w:right="0" w:firstLine="30"/>
              <w:jc w:val="left"/>
              <w:rPr/>
            </w:pPr>
            <w:r>
              <w:rPr/>
              <w:t> </w:t>
            </w:r>
          </w:p>
        </w:tc>
        <w:tc>
          <w:tcPr>
            <w:tcW w:w="7187"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0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21"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197"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68"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82"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827" w:type="dxa"/>
            <w:gridSpan w:val="3"/>
            <w:tcBorders/>
            <w:shd w:fill="auto" w:val="clear"/>
            <w:vAlign w:val="center"/>
          </w:tcPr>
          <w:p>
            <w:pPr>
              <w:pStyle w:val="TableContents"/>
              <w:spacing w:before="0" w:after="0"/>
              <w:ind w:left="0" w:right="0" w:firstLine="420"/>
              <w:rPr/>
            </w:pPr>
            <w:r>
              <w:rPr/>
              <w:t> </w:t>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2"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89" w:type="dxa"/>
            <w:tcBorders/>
            <w:shd w:fill="CCEEFF" w:val="clear"/>
            <w:vAlign w:val="center"/>
          </w:tcPr>
          <w:p>
            <w:pPr>
              <w:pStyle w:val="TableContents"/>
              <w:spacing w:before="0" w:after="0"/>
              <w:jc w:val="right"/>
              <w:rPr>
                <w:rFonts w:ascii="inherit" w:hAnsi="inherit"/>
                <w:sz w:val="17"/>
              </w:rPr>
            </w:pPr>
            <w:r>
              <w:rPr>
                <w:rFonts w:ascii="inherit" w:hAnsi="inherit"/>
                <w:sz w:val="17"/>
              </w:rPr>
              <w:t>70,948</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6" w:type="dxa"/>
            <w:tcBorders/>
            <w:shd w:fill="CCEEFF" w:val="clear"/>
            <w:vAlign w:val="center"/>
          </w:tcPr>
          <w:p>
            <w:pPr>
              <w:pStyle w:val="TableContents"/>
              <w:spacing w:before="0" w:after="0"/>
              <w:jc w:val="right"/>
              <w:rPr>
                <w:rFonts w:ascii="inherit" w:hAnsi="inherit"/>
                <w:sz w:val="17"/>
              </w:rPr>
            </w:pPr>
            <w:r>
              <w:rPr>
                <w:rFonts w:ascii="inherit" w:hAnsi="inherit"/>
                <w:sz w:val="17"/>
              </w:rPr>
              <w:t>15,628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1" w:type="dxa"/>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65" w:type="dxa"/>
            <w:tcBorders/>
            <w:shd w:fill="CCEEFF" w:val="clear"/>
            <w:vAlign w:val="center"/>
          </w:tcPr>
          <w:p>
            <w:pPr>
              <w:pStyle w:val="TableContents"/>
              <w:spacing w:before="0" w:after="0"/>
              <w:jc w:val="right"/>
              <w:rPr>
                <w:rFonts w:ascii="inherit" w:hAnsi="inherit"/>
                <w:sz w:val="17"/>
              </w:rPr>
            </w:pPr>
            <w:r>
              <w:rPr>
                <w:rFonts w:ascii="inherit" w:hAnsi="inherit"/>
                <w:sz w:val="17"/>
              </w:rPr>
              <w:t>86,576</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979"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26,141</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26,288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979"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52,505</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7,892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60,397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979"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38,002</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21,232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59,234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97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930</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1,741</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2,671</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979"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188,526</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46,640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235,166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979"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41,532</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9,518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51,050</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cost of goods sold</w:t>
            </w:r>
          </w:p>
        </w:tc>
        <w:tc>
          <w:tcPr>
            <w:tcW w:w="979"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20,178</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20,377</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97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9,398</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3,120</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12,518</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79"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117,418</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33,803</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151,221</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121"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197"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827" w:type="dxa"/>
            <w:gridSpan w:val="3"/>
            <w:tcBorders/>
            <w:shd w:fill="CCEEFF" w:val="clear"/>
            <w:vAlign w:val="center"/>
          </w:tcPr>
          <w:p>
            <w:pPr>
              <w:pStyle w:val="TableContents"/>
              <w:spacing w:before="0" w:after="0"/>
              <w:ind w:left="0" w:right="0" w:firstLine="420"/>
              <w:rPr/>
            </w:pPr>
            <w:r>
              <w:rPr/>
              <w:t> </w:t>
            </w:r>
          </w:p>
        </w:tc>
      </w:tr>
      <w:tr>
        <w:trPr/>
        <w:tc>
          <w:tcPr>
            <w:tcW w:w="30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979"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82,075</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22,155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104,230</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9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12,343</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12,644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979"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6,761</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2,207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8,968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979"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w:t>
            </w:r>
          </w:p>
        </w:tc>
        <w:tc>
          <w:tcPr>
            <w:tcW w:w="80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97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w:t>
            </w:r>
          </w:p>
        </w:tc>
        <w:tc>
          <w:tcPr>
            <w:tcW w:w="14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101,312</w:t>
            </w:r>
          </w:p>
        </w:tc>
        <w:tc>
          <w:tcPr>
            <w:tcW w:w="14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24,742</w:t>
            </w:r>
          </w:p>
        </w:tc>
        <w:tc>
          <w:tcPr>
            <w:tcW w:w="14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7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126,020</w:t>
            </w:r>
          </w:p>
        </w:tc>
        <w:tc>
          <w:tcPr>
            <w:tcW w:w="80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97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w:t>
            </w:r>
          </w:p>
        </w:tc>
        <w:tc>
          <w:tcPr>
            <w:tcW w:w="1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16,106</w:t>
            </w:r>
          </w:p>
        </w:tc>
        <w:tc>
          <w:tcPr>
            <w:tcW w:w="1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9,061</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7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25,201</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(income)</w:t>
            </w:r>
          </w:p>
        </w:tc>
        <w:tc>
          <w:tcPr>
            <w:tcW w:w="9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(605</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3,260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3,637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9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(2,836</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(1,492</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(4,328</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of net income in subsidiaries</w:t>
            </w:r>
          </w:p>
        </w:tc>
        <w:tc>
          <w:tcPr>
            <w:tcW w:w="9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(1,242</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pPr>
            <w:r>
              <w:rPr/>
              <w:t>—</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expense</w:t>
            </w:r>
          </w:p>
        </w:tc>
        <w:tc>
          <w:tcPr>
            <w:tcW w:w="97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before income taxes</w:t>
            </w:r>
          </w:p>
        </w:tc>
        <w:tc>
          <w:tcPr>
            <w:tcW w:w="9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646</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18,173</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5,735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1,242</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25,796</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9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7,365</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1,768</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9,139</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(Loss) income from continuing operations, net of tax</w:t>
            </w:r>
          </w:p>
        </w:tc>
        <w:tc>
          <w:tcPr>
            <w:tcW w:w="9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(6,719</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18,167</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3,967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1,242</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16,657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(loss) from discontinued operations, net of tax</w:t>
            </w:r>
          </w:p>
        </w:tc>
        <w:tc>
          <w:tcPr>
            <w:tcW w:w="9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838</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(3,149</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(19,186</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(loss) income</w:t>
            </w:r>
          </w:p>
        </w:tc>
        <w:tc>
          <w:tcPr>
            <w:tcW w:w="9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(5,881</w:t>
            </w:r>
          </w:p>
        </w:tc>
        <w:tc>
          <w:tcPr>
            <w:tcW w:w="14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15,018</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(15,219</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1,242</w:t>
            </w:r>
          </w:p>
        </w:tc>
        <w:tc>
          <w:tcPr>
            <w:tcW w:w="1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(4,840</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97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1,041</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1,041</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1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(loss) income attributable to EZCORP, Inc.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(5,881</w:t>
            </w:r>
          </w:p>
        </w:tc>
        <w:tc>
          <w:tcPr>
            <w:tcW w:w="1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15,018</w:t>
            </w:r>
          </w:p>
        </w:tc>
        <w:tc>
          <w:tcPr>
            <w:tcW w:w="14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(16,260</w:t>
            </w:r>
          </w:p>
        </w:tc>
        <w:tc>
          <w:tcPr>
            <w:tcW w:w="149"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1,242</w:t>
            </w:r>
          </w:p>
        </w:tc>
        <w:tc>
          <w:tcPr>
            <w:tcW w:w="17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(5,881</w:t>
            </w:r>
          </w:p>
        </w:tc>
        <w:tc>
          <w:tcPr>
            <w:tcW w:w="80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rPr/>
      </w:pPr>
      <w:hyperlink w:anchor="s6341541F7667DB742175CD29235C3997">
        <w:bookmarkStart w:id="34" w:name="s2841D07A93B94E6A14D7CD28FA42069A5"/>
        <w:bookmarkEnd w:id="34"/>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997"/>
        <w:gridCol w:w="156"/>
        <w:gridCol w:w="861"/>
        <w:gridCol w:w="142"/>
        <w:gridCol w:w="123"/>
        <w:gridCol w:w="161"/>
        <w:gridCol w:w="885"/>
        <w:gridCol w:w="147"/>
        <w:gridCol w:w="123"/>
        <w:gridCol w:w="171"/>
        <w:gridCol w:w="936"/>
        <w:gridCol w:w="157"/>
        <w:gridCol w:w="123"/>
        <w:gridCol w:w="165"/>
        <w:gridCol w:w="963"/>
        <w:gridCol w:w="150"/>
        <w:gridCol w:w="123"/>
        <w:gridCol w:w="156"/>
        <w:gridCol w:w="861"/>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99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97" w:type="dxa"/>
            <w:tcBorders/>
            <w:shd w:fill="auto" w:val="clear"/>
            <w:vAlign w:val="center"/>
          </w:tcPr>
          <w:p>
            <w:pPr>
              <w:pStyle w:val="TableContents"/>
              <w:spacing w:before="0" w:after="0"/>
              <w:ind w:left="0" w:right="0" w:firstLine="30"/>
              <w:jc w:val="left"/>
              <w:rPr/>
            </w:pPr>
            <w:r>
              <w:rPr/>
              <w:t> </w:t>
            </w:r>
          </w:p>
        </w:tc>
        <w:tc>
          <w:tcPr>
            <w:tcW w:w="7208"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2012</w:t>
            </w:r>
          </w:p>
        </w:tc>
      </w:tr>
      <w:tr>
        <w:trPr/>
        <w:tc>
          <w:tcPr>
            <w:tcW w:w="2997" w:type="dxa"/>
            <w:tcBorders/>
            <w:shd w:fill="auto" w:val="clear"/>
            <w:vAlign w:val="center"/>
          </w:tcPr>
          <w:p>
            <w:pPr>
              <w:pStyle w:val="TableContents"/>
              <w:spacing w:before="0" w:after="0"/>
              <w:ind w:left="0" w:right="0" w:firstLine="30"/>
              <w:jc w:val="left"/>
              <w:rPr/>
            </w:pPr>
            <w:r>
              <w:rPr/>
              <w:t> </w:t>
            </w:r>
          </w:p>
        </w:tc>
        <w:tc>
          <w:tcPr>
            <w:tcW w:w="11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3" w:type="dxa"/>
            <w:tcBorders/>
            <w:shd w:fill="auto" w:val="clear"/>
            <w:vAlign w:val="center"/>
          </w:tcPr>
          <w:p>
            <w:pPr>
              <w:pStyle w:val="TableContents"/>
              <w:spacing w:before="0" w:after="0"/>
              <w:ind w:left="0" w:right="0" w:firstLine="30"/>
              <w:rPr/>
            </w:pPr>
            <w:r>
              <w:rPr/>
              <w:t> </w:t>
            </w:r>
          </w:p>
        </w:tc>
        <w:tc>
          <w:tcPr>
            <w:tcW w:w="119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3" w:type="dxa"/>
            <w:tcBorders/>
            <w:shd w:fill="auto" w:val="clear"/>
            <w:vAlign w:val="center"/>
          </w:tcPr>
          <w:p>
            <w:pPr>
              <w:pStyle w:val="TableContents"/>
              <w:spacing w:before="0" w:after="0"/>
              <w:ind w:left="0" w:right="0" w:firstLine="30"/>
              <w:rPr/>
            </w:pPr>
            <w:r>
              <w:rPr/>
              <w:t> </w:t>
            </w:r>
          </w:p>
        </w:tc>
        <w:tc>
          <w:tcPr>
            <w:tcW w:w="126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3" w:type="dxa"/>
            <w:tcBorders/>
            <w:shd w:fill="auto" w:val="clear"/>
            <w:vAlign w:val="center"/>
          </w:tcPr>
          <w:p>
            <w:pPr>
              <w:pStyle w:val="TableContents"/>
              <w:spacing w:before="0" w:after="0"/>
              <w:ind w:left="0" w:right="0" w:firstLine="30"/>
              <w:rPr/>
            </w:pPr>
            <w:r>
              <w:rPr/>
              <w:t> </w:t>
            </w:r>
          </w:p>
        </w:tc>
        <w:tc>
          <w:tcPr>
            <w:tcW w:w="12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3" w:type="dxa"/>
            <w:tcBorders/>
            <w:shd w:fill="auto" w:val="clear"/>
            <w:vAlign w:val="center"/>
          </w:tcPr>
          <w:p>
            <w:pPr>
              <w:pStyle w:val="TableContents"/>
              <w:spacing w:before="0" w:after="0"/>
              <w:ind w:left="0" w:right="0" w:firstLine="30"/>
              <w:rPr/>
            </w:pPr>
            <w:r>
              <w:rPr/>
              <w:t> </w:t>
            </w:r>
          </w:p>
        </w:tc>
        <w:tc>
          <w:tcPr>
            <w:tcW w:w="18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97" w:type="dxa"/>
            <w:tcBorders/>
            <w:shd w:fill="auto" w:val="clear"/>
            <w:vAlign w:val="center"/>
          </w:tcPr>
          <w:p>
            <w:pPr>
              <w:pStyle w:val="TableContents"/>
              <w:spacing w:before="0" w:after="0"/>
              <w:ind w:left="0" w:right="0" w:firstLine="30"/>
              <w:jc w:val="left"/>
              <w:rPr/>
            </w:pPr>
            <w:r>
              <w:rPr/>
              <w:t> </w:t>
            </w:r>
          </w:p>
        </w:tc>
        <w:tc>
          <w:tcPr>
            <w:tcW w:w="7208"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9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59"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64"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822" w:type="dxa"/>
            <w:gridSpan w:val="3"/>
            <w:tcBorders/>
            <w:shd w:fill="auto" w:val="clear"/>
            <w:vAlign w:val="center"/>
          </w:tcPr>
          <w:p>
            <w:pPr>
              <w:pStyle w:val="TableContents"/>
              <w:spacing w:before="0" w:after="0"/>
              <w:ind w:left="0" w:right="0" w:firstLine="420"/>
              <w:rPr/>
            </w:pPr>
            <w:r>
              <w:rPr/>
              <w:t> </w:t>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85" w:type="dxa"/>
            <w:tcBorders/>
            <w:shd w:fill="CCEEFF" w:val="clear"/>
            <w:vAlign w:val="center"/>
          </w:tcPr>
          <w:p>
            <w:pPr>
              <w:pStyle w:val="TableContents"/>
              <w:spacing w:before="0" w:after="0"/>
              <w:jc w:val="right"/>
              <w:rPr>
                <w:rFonts w:ascii="inherit" w:hAnsi="inherit"/>
                <w:sz w:val="17"/>
              </w:rPr>
            </w:pPr>
            <w:r>
              <w:rPr>
                <w:rFonts w:ascii="inherit" w:hAnsi="inherit"/>
                <w:sz w:val="17"/>
              </w:rPr>
              <w:t>64,852</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36" w:type="dxa"/>
            <w:tcBorders/>
            <w:shd w:fill="CCEEFF" w:val="clear"/>
            <w:vAlign w:val="center"/>
          </w:tcPr>
          <w:p>
            <w:pPr>
              <w:pStyle w:val="TableContents"/>
              <w:spacing w:before="0" w:after="0"/>
              <w:jc w:val="right"/>
              <w:rPr>
                <w:rFonts w:ascii="inherit" w:hAnsi="inherit"/>
                <w:sz w:val="17"/>
              </w:rPr>
            </w:pPr>
            <w:r>
              <w:rPr>
                <w:rFonts w:ascii="inherit" w:hAnsi="inherit"/>
                <w:sz w:val="17"/>
              </w:rPr>
              <w:t>10,434</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3" w:type="dxa"/>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shd w:fill="CCEEFF" w:val="clear"/>
            <w:vAlign w:val="center"/>
          </w:tcPr>
          <w:p>
            <w:pPr>
              <w:pStyle w:val="TableContents"/>
              <w:spacing w:before="0" w:after="0"/>
              <w:jc w:val="right"/>
              <w:rPr>
                <w:rFonts w:ascii="inherit" w:hAnsi="inherit"/>
                <w:sz w:val="17"/>
              </w:rPr>
            </w:pPr>
            <w:r>
              <w:rPr>
                <w:rFonts w:ascii="inherit" w:hAnsi="inherit"/>
                <w:sz w:val="17"/>
              </w:rPr>
              <w:t>75,286</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1017"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37,108</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3,422</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40,530</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17"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49,969</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5,687</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55,656</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17"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35,651</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16,102</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51,753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2,002</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939</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(1,598</w:t>
            </w:r>
          </w:p>
        </w:tc>
        <w:tc>
          <w:tcPr>
            <w:tcW w:w="1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1,348</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189,582</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36,584</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224,573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017"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37,950</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5,892</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43,842</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cost of goods sold</w:t>
            </w:r>
          </w:p>
        </w:tc>
        <w:tc>
          <w:tcPr>
            <w:tcW w:w="1017"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24,218</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2,898</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27,116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8,740</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1,949</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10,689</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118,674</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25,845</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142,926</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Operating expenses: </w:t>
            </w:r>
          </w:p>
        </w:tc>
        <w:tc>
          <w:tcPr>
            <w:tcW w:w="1159"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193"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64"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822" w:type="dxa"/>
            <w:gridSpan w:val="3"/>
            <w:tcBorders/>
            <w:shd w:fill="CCEEFF" w:val="clear"/>
            <w:vAlign w:val="center"/>
          </w:tcPr>
          <w:p>
            <w:pPr>
              <w:pStyle w:val="TableContents"/>
              <w:spacing w:before="0" w:after="0"/>
              <w:ind w:left="0" w:right="0" w:firstLine="420"/>
              <w:rPr/>
            </w:pPr>
            <w:r>
              <w:rPr/>
              <w:t> </w:t>
            </w:r>
          </w:p>
        </w:tc>
      </w:tr>
      <w:tr>
        <w:trPr/>
        <w:tc>
          <w:tcPr>
            <w:tcW w:w="29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017"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68,115</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17,085</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85,200</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17"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9,578</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1,877</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9,857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017"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4,752</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7,019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017"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w:t>
            </w:r>
          </w:p>
        </w:tc>
        <w:tc>
          <w:tcPr>
            <w:tcW w:w="80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01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4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82,539</w:t>
            </w:r>
          </w:p>
        </w:tc>
        <w:tc>
          <w:tcPr>
            <w:tcW w:w="14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21,448</w:t>
            </w:r>
          </w:p>
        </w:tc>
        <w:tc>
          <w:tcPr>
            <w:tcW w:w="15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(1,598</w:t>
            </w:r>
          </w:p>
        </w:tc>
        <w:tc>
          <w:tcPr>
            <w:tcW w:w="15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102,389</w:t>
            </w:r>
          </w:p>
        </w:tc>
        <w:tc>
          <w:tcPr>
            <w:tcW w:w="80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01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w:t>
            </w:r>
          </w:p>
        </w:tc>
        <w:tc>
          <w:tcPr>
            <w:tcW w:w="1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36,135</w:t>
            </w:r>
          </w:p>
        </w:tc>
        <w:tc>
          <w:tcPr>
            <w:tcW w:w="1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4,397</w:t>
            </w:r>
          </w:p>
        </w:tc>
        <w:tc>
          <w:tcPr>
            <w:tcW w:w="15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40,537</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(income)</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877</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(2,247</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(1,950</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pPr>
            <w:r>
              <w:rPr/>
              <w:t>—</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of net income in subsidiaries</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(38,479</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pPr>
            <w:r>
              <w:rPr/>
              <w:t>—</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38,479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pPr>
            <w:r>
              <w:rPr/>
              <w:t>—</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expense (income)</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501</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(341</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(loss) from continuing operations before income taxes</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39,854</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37,856</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4,446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(38,479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43,677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11,363</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1,353</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12,718</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(loss) from continuing operations, net of tax</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28,491</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37,854</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3,093</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(38,479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30,959</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(loss) from discontinued operations, net of tax</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(1,183</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(loss)</w:t>
            </w:r>
          </w:p>
        </w:tc>
        <w:tc>
          <w:tcPr>
            <w:tcW w:w="10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1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37,757</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1,910</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(38,479</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29,711</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4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(loss) attributable to EZCORP, Inc. </w:t>
            </w:r>
          </w:p>
        </w:tc>
        <w:tc>
          <w:tcPr>
            <w:tcW w:w="1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1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37,757</w:t>
            </w:r>
          </w:p>
        </w:tc>
        <w:tc>
          <w:tcPr>
            <w:tcW w:w="14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722</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(38,479</w:t>
            </w:r>
          </w:p>
        </w:tc>
        <w:tc>
          <w:tcPr>
            <w:tcW w:w="15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80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rPr/>
      </w:pPr>
      <w:hyperlink w:anchor="s6341541F7667DB742175CD29235C3997">
        <w:bookmarkStart w:id="35" w:name="s2841D07A93B94E6A14D7CD28FA42069A6"/>
        <w:bookmarkEnd w:id="35"/>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915"/>
        <w:gridCol w:w="155"/>
        <w:gridCol w:w="848"/>
        <w:gridCol w:w="140"/>
        <w:gridCol w:w="121"/>
        <w:gridCol w:w="155"/>
        <w:gridCol w:w="949"/>
        <w:gridCol w:w="140"/>
        <w:gridCol w:w="121"/>
        <w:gridCol w:w="161"/>
        <w:gridCol w:w="940"/>
        <w:gridCol w:w="147"/>
        <w:gridCol w:w="121"/>
        <w:gridCol w:w="163"/>
        <w:gridCol w:w="950"/>
        <w:gridCol w:w="149"/>
        <w:gridCol w:w="121"/>
        <w:gridCol w:w="155"/>
        <w:gridCol w:w="949"/>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9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15" w:type="dxa"/>
            <w:tcBorders/>
            <w:shd w:fill="auto" w:val="clear"/>
            <w:vAlign w:val="center"/>
          </w:tcPr>
          <w:p>
            <w:pPr>
              <w:pStyle w:val="TableContents"/>
              <w:spacing w:before="0" w:after="0"/>
              <w:ind w:left="0" w:right="0" w:firstLine="30"/>
              <w:jc w:val="left"/>
              <w:rPr/>
            </w:pPr>
            <w:r>
              <w:rPr/>
              <w:t> </w:t>
            </w:r>
          </w:p>
        </w:tc>
        <w:tc>
          <w:tcPr>
            <w:tcW w:w="7290"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2013</w:t>
            </w:r>
          </w:p>
        </w:tc>
      </w:tr>
      <w:tr>
        <w:trPr/>
        <w:tc>
          <w:tcPr>
            <w:tcW w:w="2915" w:type="dxa"/>
            <w:tcBorders/>
            <w:shd w:fill="auto" w:val="clear"/>
            <w:vAlign w:val="center"/>
          </w:tcPr>
          <w:p>
            <w:pPr>
              <w:pStyle w:val="TableContents"/>
              <w:spacing w:before="0" w:after="0"/>
              <w:ind w:left="0" w:right="0" w:firstLine="30"/>
              <w:jc w:val="left"/>
              <w:rPr/>
            </w:pPr>
            <w:r>
              <w:rPr/>
              <w:t> </w:t>
            </w:r>
          </w:p>
        </w:tc>
        <w:tc>
          <w:tcPr>
            <w:tcW w:w="11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1" w:type="dxa"/>
            <w:tcBorders/>
            <w:shd w:fill="auto" w:val="clear"/>
            <w:vAlign w:val="center"/>
          </w:tcPr>
          <w:p>
            <w:pPr>
              <w:pStyle w:val="TableContents"/>
              <w:spacing w:before="0" w:after="0"/>
              <w:ind w:left="0" w:right="0" w:firstLine="30"/>
              <w:rPr/>
            </w:pPr>
            <w:r>
              <w:rPr/>
              <w:t> </w:t>
            </w:r>
          </w:p>
        </w:tc>
        <w:tc>
          <w:tcPr>
            <w:tcW w:w="124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1" w:type="dxa"/>
            <w:tcBorders/>
            <w:shd w:fill="auto" w:val="clear"/>
            <w:vAlign w:val="center"/>
          </w:tcPr>
          <w:p>
            <w:pPr>
              <w:pStyle w:val="TableContents"/>
              <w:spacing w:before="0" w:after="0"/>
              <w:ind w:left="0" w:right="0" w:firstLine="30"/>
              <w:rPr/>
            </w:pPr>
            <w:r>
              <w:rPr/>
              <w:t> </w:t>
            </w:r>
          </w:p>
        </w:tc>
        <w:tc>
          <w:tcPr>
            <w:tcW w:w="124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1" w:type="dxa"/>
            <w:tcBorders/>
            <w:shd w:fill="auto" w:val="clear"/>
            <w:vAlign w:val="center"/>
          </w:tcPr>
          <w:p>
            <w:pPr>
              <w:pStyle w:val="TableContents"/>
              <w:spacing w:before="0" w:after="0"/>
              <w:ind w:left="0" w:right="0" w:firstLine="30"/>
              <w:rPr/>
            </w:pPr>
            <w:r>
              <w:rPr/>
              <w:t> </w:t>
            </w:r>
          </w:p>
        </w:tc>
        <w:tc>
          <w:tcPr>
            <w:tcW w:w="12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1" w:type="dxa"/>
            <w:tcBorders/>
            <w:shd w:fill="auto" w:val="clear"/>
            <w:vAlign w:val="center"/>
          </w:tcPr>
          <w:p>
            <w:pPr>
              <w:pStyle w:val="TableContents"/>
              <w:spacing w:before="0" w:after="0"/>
              <w:ind w:left="0" w:right="0" w:firstLine="30"/>
              <w:rPr/>
            </w:pPr>
            <w:r>
              <w:rPr/>
              <w:t> </w:t>
            </w:r>
          </w:p>
        </w:tc>
        <w:tc>
          <w:tcPr>
            <w:tcW w:w="19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15" w:type="dxa"/>
            <w:tcBorders/>
            <w:shd w:fill="auto" w:val="clear"/>
            <w:vAlign w:val="center"/>
          </w:tcPr>
          <w:p>
            <w:pPr>
              <w:pStyle w:val="TableContents"/>
              <w:spacing w:before="0" w:after="0"/>
              <w:ind w:left="0" w:right="0" w:firstLine="30"/>
              <w:jc w:val="left"/>
              <w:rPr/>
            </w:pPr>
            <w:r>
              <w:rPr/>
              <w:t> </w:t>
            </w:r>
          </w:p>
        </w:tc>
        <w:tc>
          <w:tcPr>
            <w:tcW w:w="7290"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9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43"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44"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48"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62"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909" w:type="dxa"/>
            <w:gridSpan w:val="3"/>
            <w:tcBorders/>
            <w:shd w:fill="auto" w:val="clear"/>
            <w:vAlign w:val="center"/>
          </w:tcPr>
          <w:p>
            <w:pPr>
              <w:pStyle w:val="TableContents"/>
              <w:spacing w:before="0" w:after="0"/>
              <w:ind w:left="0" w:right="0" w:firstLine="420"/>
              <w:rPr/>
            </w:pPr>
            <w:r>
              <w:rPr/>
              <w:t> </w:t>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48"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9" w:type="dxa"/>
            <w:tcBorders/>
            <w:shd w:fill="CCEEFF" w:val="clear"/>
            <w:vAlign w:val="center"/>
          </w:tcPr>
          <w:p>
            <w:pPr>
              <w:pStyle w:val="TableContents"/>
              <w:spacing w:before="0" w:after="0"/>
              <w:jc w:val="right"/>
              <w:rPr>
                <w:rFonts w:ascii="inherit" w:hAnsi="inherit"/>
                <w:sz w:val="17"/>
              </w:rPr>
            </w:pPr>
            <w:r>
              <w:rPr>
                <w:rFonts w:ascii="inherit" w:hAnsi="inherit"/>
                <w:sz w:val="17"/>
              </w:rPr>
              <w:t>236,080</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0" w:type="dxa"/>
            <w:tcBorders/>
            <w:shd w:fill="CCEEFF" w:val="clear"/>
            <w:vAlign w:val="center"/>
          </w:tcPr>
          <w:p>
            <w:pPr>
              <w:pStyle w:val="TableContents"/>
              <w:spacing w:before="0" w:after="0"/>
              <w:jc w:val="right"/>
              <w:rPr>
                <w:rFonts w:ascii="inherit" w:hAnsi="inherit"/>
                <w:sz w:val="17"/>
              </w:rPr>
            </w:pPr>
            <w:r>
              <w:rPr>
                <w:rFonts w:ascii="inherit" w:hAnsi="inherit"/>
                <w:sz w:val="17"/>
              </w:rPr>
              <w:t>45,182</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0" w:type="dxa"/>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9" w:type="dxa"/>
            <w:tcBorders/>
            <w:shd w:fill="CCEEFF" w:val="clear"/>
            <w:vAlign w:val="center"/>
          </w:tcPr>
          <w:p>
            <w:pPr>
              <w:pStyle w:val="TableContents"/>
              <w:spacing w:before="0" w:after="0"/>
              <w:jc w:val="right"/>
              <w:rPr>
                <w:rFonts w:ascii="inherit" w:hAnsi="inherit"/>
                <w:sz w:val="17"/>
              </w:rPr>
            </w:pPr>
            <w:r>
              <w:rPr>
                <w:rFonts w:ascii="inherit" w:hAnsi="inherit"/>
                <w:sz w:val="17"/>
              </w:rPr>
              <w:t>281,262</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1003"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108,292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5,287</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113,579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03"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165,202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22,610</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187,812</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03"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120,467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62,652</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183,119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0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4,859</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5,310</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10,169</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03"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634,900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141,041</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775,941</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003"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138,142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26,569</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164,711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cost of goods sold</w:t>
            </w:r>
          </w:p>
        </w:tc>
        <w:tc>
          <w:tcPr>
            <w:tcW w:w="1003"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76,621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4,372</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80,993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0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25,734</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8,762</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34,496</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03"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394,403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101,338</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495,741</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Operating expenses: </w:t>
            </w:r>
          </w:p>
        </w:tc>
        <w:tc>
          <w:tcPr>
            <w:tcW w:w="1143"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44"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48"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62"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420"/>
              <w:rPr/>
            </w:pPr>
            <w:r>
              <w:rPr/>
              <w:t> </w:t>
            </w:r>
          </w:p>
        </w:tc>
      </w:tr>
      <w:tr>
        <w:trPr/>
        <w:tc>
          <w:tcPr>
            <w:tcW w:w="29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003"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244,561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64,785</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309,346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(137</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34,211</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844</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34,918</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003"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18,514</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6,115</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24,629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003"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220</w:t>
            </w:r>
          </w:p>
        </w:tc>
        <w:tc>
          <w:tcPr>
            <w:tcW w:w="80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003"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297,446</w:t>
            </w:r>
          </w:p>
        </w:tc>
        <w:tc>
          <w:tcPr>
            <w:tcW w:w="14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71,804</w:t>
            </w:r>
          </w:p>
        </w:tc>
        <w:tc>
          <w:tcPr>
            <w:tcW w:w="14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4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369,113</w:t>
            </w:r>
          </w:p>
        </w:tc>
        <w:tc>
          <w:tcPr>
            <w:tcW w:w="80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00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137</w:t>
            </w:r>
          </w:p>
        </w:tc>
        <w:tc>
          <w:tcPr>
            <w:tcW w:w="1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96,957</w:t>
            </w:r>
          </w:p>
        </w:tc>
        <w:tc>
          <w:tcPr>
            <w:tcW w:w="1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29,534</w:t>
            </w:r>
          </w:p>
        </w:tc>
        <w:tc>
          <w:tcPr>
            <w:tcW w:w="1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126,628</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(interest)</w:t>
            </w:r>
          </w:p>
        </w:tc>
        <w:tc>
          <w:tcPr>
            <w:tcW w:w="10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2,958</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9,406</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11,027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(9,062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(4,429</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(13,491</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of net income in subsidiaries</w:t>
            </w:r>
          </w:p>
        </w:tc>
        <w:tc>
          <w:tcPr>
            <w:tcW w:w="10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(86,944</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86,944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pPr>
            <w:r>
              <w:rPr/>
              <w:t>—</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00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(197</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197</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(loss) from continuing operations before income taxes</w:t>
            </w:r>
          </w:p>
        </w:tc>
        <w:tc>
          <w:tcPr>
            <w:tcW w:w="10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93,185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102,920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19,931</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(86,944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129,092</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00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35,378</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6,700</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42,084</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(loss) from continuing operations, net of tax</w:t>
            </w:r>
          </w:p>
        </w:tc>
        <w:tc>
          <w:tcPr>
            <w:tcW w:w="10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57,807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102,914</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13,231</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(86,944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87,008</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(loss) from discontinued operations, net of tax</w:t>
            </w:r>
          </w:p>
        </w:tc>
        <w:tc>
          <w:tcPr>
            <w:tcW w:w="1003"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1,010</w:t>
            </w:r>
          </w:p>
        </w:tc>
        <w:tc>
          <w:tcPr>
            <w:tcW w:w="14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(3,671</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(22,152</w:t>
            </w:r>
          </w:p>
        </w:tc>
        <w:tc>
          <w:tcPr>
            <w:tcW w:w="14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pPr>
            <w:r>
              <w:rPr/>
              <w:t>—</w:t>
            </w:r>
          </w:p>
        </w:tc>
        <w:tc>
          <w:tcPr>
            <w:tcW w:w="14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(24,813</w:t>
            </w:r>
          </w:p>
        </w:tc>
        <w:tc>
          <w:tcPr>
            <w:tcW w:w="8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(loss)</w:t>
            </w:r>
          </w:p>
        </w:tc>
        <w:tc>
          <w:tcPr>
            <w:tcW w:w="1003"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58,817</w:t>
            </w:r>
          </w:p>
        </w:tc>
        <w:tc>
          <w:tcPr>
            <w:tcW w:w="14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99,243</w:t>
            </w:r>
          </w:p>
        </w:tc>
        <w:tc>
          <w:tcPr>
            <w:tcW w:w="14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0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(8,921</w:t>
            </w:r>
          </w:p>
        </w:tc>
        <w:tc>
          <w:tcPr>
            <w:tcW w:w="14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13"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(86,944</w:t>
            </w:r>
          </w:p>
        </w:tc>
        <w:tc>
          <w:tcPr>
            <w:tcW w:w="14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0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62,195</w:t>
            </w:r>
          </w:p>
        </w:tc>
        <w:tc>
          <w:tcPr>
            <w:tcW w:w="80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00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3,378</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1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3,378</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(loss) attributable to EZCORP, Inc.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58,817</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99,243</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(12,299</w:t>
            </w:r>
          </w:p>
        </w:tc>
        <w:tc>
          <w:tcPr>
            <w:tcW w:w="147"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(86,944</w:t>
            </w:r>
          </w:p>
        </w:tc>
        <w:tc>
          <w:tcPr>
            <w:tcW w:w="149"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58,817</w:t>
            </w:r>
          </w:p>
        </w:tc>
        <w:tc>
          <w:tcPr>
            <w:tcW w:w="80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rPr/>
      </w:pPr>
      <w:hyperlink w:anchor="s6341541F7667DB742175CD29235C3997">
        <w:bookmarkStart w:id="36" w:name="s2841D07A93B94E6A14D7CD28FA42069A7"/>
        <w:bookmarkEnd w:id="3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677"/>
        <w:gridCol w:w="153"/>
        <w:gridCol w:w="972"/>
        <w:gridCol w:w="139"/>
        <w:gridCol w:w="120"/>
        <w:gridCol w:w="153"/>
        <w:gridCol w:w="972"/>
        <w:gridCol w:w="139"/>
        <w:gridCol w:w="120"/>
        <w:gridCol w:w="169"/>
        <w:gridCol w:w="946"/>
        <w:gridCol w:w="154"/>
        <w:gridCol w:w="120"/>
        <w:gridCol w:w="153"/>
        <w:gridCol w:w="1029"/>
        <w:gridCol w:w="139"/>
        <w:gridCol w:w="120"/>
        <w:gridCol w:w="153"/>
        <w:gridCol w:w="972"/>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7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77" w:type="dxa"/>
            <w:tcBorders/>
            <w:shd w:fill="auto" w:val="clear"/>
            <w:vAlign w:val="center"/>
          </w:tcPr>
          <w:p>
            <w:pPr>
              <w:pStyle w:val="TableContents"/>
              <w:spacing w:before="0" w:after="0"/>
              <w:ind w:left="0" w:right="0" w:firstLine="30"/>
              <w:jc w:val="left"/>
              <w:rPr/>
            </w:pPr>
            <w:r>
              <w:rPr/>
              <w:t> </w:t>
            </w:r>
          </w:p>
        </w:tc>
        <w:tc>
          <w:tcPr>
            <w:tcW w:w="7528"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2677" w:type="dxa"/>
            <w:tcBorders/>
            <w:shd w:fill="auto" w:val="clear"/>
            <w:vAlign w:val="center"/>
          </w:tcPr>
          <w:p>
            <w:pPr>
              <w:pStyle w:val="TableContents"/>
              <w:spacing w:before="0" w:after="0"/>
              <w:ind w:left="0" w:right="0" w:firstLine="30"/>
              <w:jc w:val="left"/>
              <w:rPr/>
            </w:pPr>
            <w:r>
              <w:rPr/>
              <w:t> </w:t>
            </w:r>
          </w:p>
        </w:tc>
        <w:tc>
          <w:tcPr>
            <w:tcW w:w="12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0" w:type="dxa"/>
            <w:tcBorders/>
            <w:shd w:fill="auto" w:val="clear"/>
            <w:vAlign w:val="center"/>
          </w:tcPr>
          <w:p>
            <w:pPr>
              <w:pStyle w:val="TableContents"/>
              <w:spacing w:before="0" w:after="0"/>
              <w:ind w:left="0" w:right="0" w:firstLine="30"/>
              <w:rPr/>
            </w:pPr>
            <w:r>
              <w:rPr/>
              <w:t> </w:t>
            </w:r>
          </w:p>
        </w:tc>
        <w:tc>
          <w:tcPr>
            <w:tcW w:w="126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0" w:type="dxa"/>
            <w:tcBorders/>
            <w:shd w:fill="auto" w:val="clear"/>
            <w:vAlign w:val="center"/>
          </w:tcPr>
          <w:p>
            <w:pPr>
              <w:pStyle w:val="TableContents"/>
              <w:spacing w:before="0" w:after="0"/>
              <w:ind w:left="0" w:right="0" w:firstLine="30"/>
              <w:rPr/>
            </w:pPr>
            <w:r>
              <w:rPr/>
              <w:t> </w:t>
            </w:r>
          </w:p>
        </w:tc>
        <w:tc>
          <w:tcPr>
            <w:tcW w:w="126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0" w:type="dxa"/>
            <w:tcBorders/>
            <w:shd w:fill="auto" w:val="clear"/>
            <w:vAlign w:val="center"/>
          </w:tcPr>
          <w:p>
            <w:pPr>
              <w:pStyle w:val="TableContents"/>
              <w:spacing w:before="0" w:after="0"/>
              <w:ind w:left="0" w:right="0" w:firstLine="30"/>
              <w:rPr/>
            </w:pPr>
            <w:r>
              <w:rPr/>
              <w:t> </w:t>
            </w:r>
          </w:p>
        </w:tc>
        <w:tc>
          <w:tcPr>
            <w:tcW w:w="13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0" w:type="dxa"/>
            <w:tcBorders/>
            <w:shd w:fill="auto" w:val="clear"/>
            <w:vAlign w:val="center"/>
          </w:tcPr>
          <w:p>
            <w:pPr>
              <w:pStyle w:val="TableContents"/>
              <w:spacing w:before="0" w:after="0"/>
              <w:ind w:left="0" w:right="0" w:firstLine="30"/>
              <w:rPr/>
            </w:pPr>
            <w:r>
              <w:rPr/>
              <w:t> </w:t>
            </w:r>
          </w:p>
        </w:tc>
        <w:tc>
          <w:tcPr>
            <w:tcW w:w="1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677" w:type="dxa"/>
            <w:tcBorders/>
            <w:shd w:fill="auto" w:val="clear"/>
            <w:vAlign w:val="center"/>
          </w:tcPr>
          <w:p>
            <w:pPr>
              <w:pStyle w:val="TableContents"/>
              <w:spacing w:before="0" w:after="0"/>
              <w:ind w:left="0" w:right="0" w:firstLine="30"/>
              <w:jc w:val="left"/>
              <w:rPr/>
            </w:pPr>
            <w:r>
              <w:rPr/>
              <w:t> </w:t>
            </w:r>
          </w:p>
        </w:tc>
        <w:tc>
          <w:tcPr>
            <w:tcW w:w="7528"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264"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64"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69"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321"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930" w:type="dxa"/>
            <w:gridSpan w:val="3"/>
            <w:tcBorders/>
            <w:shd w:fill="auto" w:val="clear"/>
            <w:vAlign w:val="center"/>
          </w:tcPr>
          <w:p>
            <w:pPr>
              <w:pStyle w:val="TableContents"/>
              <w:spacing w:before="0" w:after="0"/>
              <w:ind w:left="0" w:right="0" w:firstLine="420"/>
              <w:rPr/>
            </w:pPr>
            <w:r>
              <w:rPr/>
              <w:t> </w:t>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shd w:fill="CCEEFF" w:val="clear"/>
            <w:vAlign w:val="center"/>
          </w:tcPr>
          <w:p>
            <w:pPr>
              <w:pStyle w:val="TableContents"/>
              <w:spacing w:before="0" w:after="0"/>
              <w:jc w:val="right"/>
              <w:rPr>
                <w:rFonts w:ascii="inherit" w:hAnsi="inherit"/>
                <w:sz w:val="17"/>
              </w:rPr>
            </w:pPr>
            <w:r>
              <w:rPr>
                <w:rFonts w:ascii="inherit" w:hAnsi="inherit"/>
                <w:sz w:val="17"/>
              </w:rPr>
              <w:t>225,481</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shd w:fill="CCEEFF" w:val="clear"/>
            <w:vAlign w:val="center"/>
          </w:tcPr>
          <w:p>
            <w:pPr>
              <w:pStyle w:val="TableContents"/>
              <w:spacing w:before="0" w:after="0"/>
              <w:jc w:val="right"/>
              <w:rPr>
                <w:rFonts w:ascii="inherit" w:hAnsi="inherit"/>
                <w:sz w:val="17"/>
              </w:rPr>
            </w:pPr>
            <w:r>
              <w:rPr>
                <w:rFonts w:ascii="inherit" w:hAnsi="inherit"/>
                <w:sz w:val="17"/>
              </w:rPr>
              <w:t>30,790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9" w:type="dxa"/>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shd w:fill="CCEEFF" w:val="clear"/>
            <w:vAlign w:val="center"/>
          </w:tcPr>
          <w:p>
            <w:pPr>
              <w:pStyle w:val="TableContents"/>
              <w:spacing w:before="0" w:after="0"/>
              <w:jc w:val="right"/>
              <w:rPr>
                <w:rFonts w:ascii="inherit" w:hAnsi="inherit"/>
                <w:sz w:val="17"/>
              </w:rPr>
            </w:pPr>
            <w:r>
              <w:rPr>
                <w:rFonts w:ascii="inherit" w:hAnsi="inherit"/>
                <w:sz w:val="17"/>
              </w:rPr>
              <w:t>256,271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138,600</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8,466</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147,066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154,823</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16,057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170,880</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116,351</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27,243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143,594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20,144</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3,833</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1,583</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(22,209</w:t>
            </w:r>
          </w:p>
        </w:tc>
        <w:tc>
          <w:tcPr>
            <w:tcW w:w="13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3,351</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20,144</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639,088</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84,139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(22,209</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721,162</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131,084</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16,537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147,621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cost of goods sold</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86,475</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6,332</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92,807</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23,753</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3,516</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27,269</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20,144</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397,776</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57,754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(22,209</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453,465</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Operating expenses: </w:t>
            </w:r>
          </w:p>
        </w:tc>
        <w:tc>
          <w:tcPr>
            <w:tcW w:w="1264"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64"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69"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321"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930" w:type="dxa"/>
            <w:gridSpan w:val="3"/>
            <w:tcBorders/>
            <w:shd w:fill="CCEEFF" w:val="clear"/>
            <w:vAlign w:val="center"/>
          </w:tcPr>
          <w:p>
            <w:pPr>
              <w:pStyle w:val="TableContents"/>
              <w:spacing w:before="0" w:after="0"/>
              <w:ind w:left="0" w:right="0" w:firstLine="420"/>
              <w:rPr/>
            </w:pPr>
            <w:r>
              <w:rPr/>
              <w:t> </w:t>
            </w:r>
          </w:p>
        </w:tc>
      </w:tr>
      <w:tr>
        <w:trPr/>
        <w:tc>
          <w:tcPr>
            <w:tcW w:w="26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209,803</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38,211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248,014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31,313</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4,266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(2,070</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33,509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13,295</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5,670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80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12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3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254,282</w:t>
            </w:r>
          </w:p>
        </w:tc>
        <w:tc>
          <w:tcPr>
            <w:tcW w:w="13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48,384</w:t>
            </w:r>
          </w:p>
        </w:tc>
        <w:tc>
          <w:tcPr>
            <w:tcW w:w="15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(2,070</w:t>
            </w:r>
          </w:p>
        </w:tc>
        <w:tc>
          <w:tcPr>
            <w:tcW w:w="13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300,596</w:t>
            </w:r>
          </w:p>
        </w:tc>
        <w:tc>
          <w:tcPr>
            <w:tcW w:w="80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12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20,144</w:t>
            </w:r>
          </w:p>
        </w:tc>
        <w:tc>
          <w:tcPr>
            <w:tcW w:w="13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143,494</w:t>
            </w:r>
          </w:p>
        </w:tc>
        <w:tc>
          <w:tcPr>
            <w:tcW w:w="13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9,370</w:t>
            </w:r>
          </w:p>
        </w:tc>
        <w:tc>
          <w:tcPr>
            <w:tcW w:w="1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39"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152,869</w:t>
            </w:r>
          </w:p>
        </w:tc>
        <w:tc>
          <w:tcPr>
            <w:tcW w:w="8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(1,392</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2,870</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2,216</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3,694</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(6,725</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(6,210</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of net income in subsidiaries</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(126,006</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126,006</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pPr>
            <w:r>
              <w:rPr/>
              <w:t>—</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expense (interest)</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167</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(324</w:t>
            </w:r>
          </w:p>
        </w:tc>
        <w:tc>
          <w:tcPr>
            <w:tcW w:w="15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(loss) from continuing operations before income taxes</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154,267</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146,667</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7,478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(146,145</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162,267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49,024</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20,141</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3,638</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3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52,664</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(loss) from continuing operations, net of tax</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105,243</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126,526</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(126,006</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109,603</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income from discontinued operations, net of tax</w:t>
            </w:r>
          </w:p>
        </w:tc>
        <w:tc>
          <w:tcPr>
            <w:tcW w:w="112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3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307</w:t>
            </w:r>
          </w:p>
        </w:tc>
        <w:tc>
          <w:tcPr>
            <w:tcW w:w="13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(3,367</w:t>
            </w:r>
          </w:p>
        </w:tc>
        <w:tc>
          <w:tcPr>
            <w:tcW w:w="15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pPr>
            <w:r>
              <w:rPr/>
              <w:t>—</w:t>
            </w:r>
          </w:p>
        </w:tc>
        <w:tc>
          <w:tcPr>
            <w:tcW w:w="13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(3,167</w:t>
            </w:r>
          </w:p>
        </w:tc>
        <w:tc>
          <w:tcPr>
            <w:tcW w:w="8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(loss)</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126,833</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473</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(126,006</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106,436</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1,300</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(loss) attributable to EZCORP, Inc. </w:t>
            </w:r>
          </w:p>
        </w:tc>
        <w:tc>
          <w:tcPr>
            <w:tcW w:w="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13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126,833</w:t>
            </w:r>
          </w:p>
        </w:tc>
        <w:tc>
          <w:tcPr>
            <w:tcW w:w="13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(827</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(126,006</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80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rPr/>
      </w:pPr>
      <w:hyperlink w:anchor="s6341541F7667DB742175CD29235C3997">
        <w:bookmarkStart w:id="37" w:name="s2841D07A93B94E6A14D7CD28FA42069A8"/>
        <w:bookmarkEnd w:id="3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Statements of Comprehensive Income</w:t>
      </w:r>
    </w:p>
    <w:tbl>
      <w:tblPr>
        <w:tblW w:w="10205" w:type="dxa"/>
        <w:jc w:val="left"/>
        <w:tblInd w:w="0" w:type="dxa"/>
        <w:tblCellMar>
          <w:top w:w="0" w:type="dxa"/>
          <w:left w:w="0" w:type="dxa"/>
          <w:bottom w:w="0" w:type="dxa"/>
          <w:right w:w="0" w:type="dxa"/>
        </w:tblCellMar>
      </w:tblPr>
      <w:tblGrid>
        <w:gridCol w:w="2670"/>
        <w:gridCol w:w="157"/>
        <w:gridCol w:w="960"/>
        <w:gridCol w:w="142"/>
        <w:gridCol w:w="123"/>
        <w:gridCol w:w="161"/>
        <w:gridCol w:w="926"/>
        <w:gridCol w:w="147"/>
        <w:gridCol w:w="123"/>
        <w:gridCol w:w="163"/>
        <w:gridCol w:w="994"/>
        <w:gridCol w:w="149"/>
        <w:gridCol w:w="123"/>
        <w:gridCol w:w="174"/>
        <w:gridCol w:w="988"/>
        <w:gridCol w:w="159"/>
        <w:gridCol w:w="123"/>
        <w:gridCol w:w="157"/>
        <w:gridCol w:w="960"/>
        <w:gridCol w:w="806"/>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7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70" w:type="dxa"/>
            <w:tcBorders/>
            <w:shd w:fill="auto" w:val="clear"/>
            <w:vAlign w:val="center"/>
          </w:tcPr>
          <w:p>
            <w:pPr>
              <w:pStyle w:val="TableContents"/>
              <w:spacing w:before="0" w:after="0"/>
              <w:ind w:left="0" w:right="0" w:firstLine="30"/>
              <w:jc w:val="left"/>
              <w:rPr/>
            </w:pPr>
            <w:r>
              <w:rPr/>
              <w:t> </w:t>
            </w:r>
          </w:p>
        </w:tc>
        <w:tc>
          <w:tcPr>
            <w:tcW w:w="753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2013</w:t>
            </w:r>
          </w:p>
        </w:tc>
      </w:tr>
      <w:tr>
        <w:trPr/>
        <w:tc>
          <w:tcPr>
            <w:tcW w:w="2670" w:type="dxa"/>
            <w:tcBorders/>
            <w:shd w:fill="auto" w:val="clear"/>
            <w:vAlign w:val="center"/>
          </w:tcPr>
          <w:p>
            <w:pPr>
              <w:pStyle w:val="TableContents"/>
              <w:spacing w:before="0" w:after="0"/>
              <w:ind w:left="0" w:right="0" w:firstLine="30"/>
              <w:jc w:val="left"/>
              <w:rPr/>
            </w:pPr>
            <w:r>
              <w:rPr/>
              <w:t> </w:t>
            </w:r>
          </w:p>
        </w:tc>
        <w:tc>
          <w:tcPr>
            <w:tcW w:w="12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3" w:type="dxa"/>
            <w:tcBorders/>
            <w:shd w:fill="auto" w:val="clear"/>
            <w:vAlign w:val="center"/>
          </w:tcPr>
          <w:p>
            <w:pPr>
              <w:pStyle w:val="TableContents"/>
              <w:spacing w:before="0" w:after="0"/>
              <w:ind w:left="0" w:right="0" w:firstLine="30"/>
              <w:rPr/>
            </w:pPr>
            <w:r>
              <w:rPr/>
              <w:t> </w:t>
            </w:r>
          </w:p>
        </w:tc>
        <w:tc>
          <w:tcPr>
            <w:tcW w:w="123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3" w:type="dxa"/>
            <w:tcBorders/>
            <w:shd w:fill="auto" w:val="clear"/>
            <w:vAlign w:val="center"/>
          </w:tcPr>
          <w:p>
            <w:pPr>
              <w:pStyle w:val="TableContents"/>
              <w:spacing w:before="0" w:after="0"/>
              <w:ind w:left="0" w:right="0" w:firstLine="30"/>
              <w:rPr/>
            </w:pPr>
            <w:r>
              <w:rPr/>
              <w:t> </w:t>
            </w:r>
          </w:p>
        </w:tc>
        <w:tc>
          <w:tcPr>
            <w:tcW w:w="130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3" w:type="dxa"/>
            <w:tcBorders/>
            <w:shd w:fill="auto" w:val="clear"/>
            <w:vAlign w:val="center"/>
          </w:tcPr>
          <w:p>
            <w:pPr>
              <w:pStyle w:val="TableContents"/>
              <w:spacing w:before="0" w:after="0"/>
              <w:ind w:left="0" w:right="0" w:firstLine="30"/>
              <w:rPr/>
            </w:pPr>
            <w:r>
              <w:rPr/>
              <w:t> </w:t>
            </w:r>
          </w:p>
        </w:tc>
        <w:tc>
          <w:tcPr>
            <w:tcW w:w="13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3" w:type="dxa"/>
            <w:tcBorders/>
            <w:shd w:fill="auto" w:val="clear"/>
            <w:vAlign w:val="center"/>
          </w:tcPr>
          <w:p>
            <w:pPr>
              <w:pStyle w:val="TableContents"/>
              <w:spacing w:before="0" w:after="0"/>
              <w:ind w:left="0" w:right="0" w:firstLine="30"/>
              <w:rPr/>
            </w:pPr>
            <w:r>
              <w:rPr/>
              <w:t> </w:t>
            </w:r>
          </w:p>
        </w:tc>
        <w:tc>
          <w:tcPr>
            <w:tcW w:w="19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670" w:type="dxa"/>
            <w:tcBorders/>
            <w:shd w:fill="auto" w:val="clear"/>
            <w:vAlign w:val="center"/>
          </w:tcPr>
          <w:p>
            <w:pPr>
              <w:pStyle w:val="TableContents"/>
              <w:spacing w:before="0" w:after="0"/>
              <w:ind w:left="0" w:right="0" w:firstLine="30"/>
              <w:jc w:val="left"/>
              <w:rPr/>
            </w:pPr>
            <w:r>
              <w:rPr/>
              <w:t> </w:t>
            </w:r>
          </w:p>
        </w:tc>
        <w:tc>
          <w:tcPr>
            <w:tcW w:w="7535"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7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(Loss) income from continuing operations, net of tax</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auto" w:val="clear"/>
            <w:vAlign w:val="center"/>
          </w:tcPr>
          <w:p>
            <w:pPr>
              <w:pStyle w:val="TableContents"/>
              <w:spacing w:before="0" w:after="0"/>
              <w:jc w:val="right"/>
              <w:rPr>
                <w:rFonts w:ascii="inherit" w:hAnsi="inherit"/>
                <w:sz w:val="17"/>
              </w:rPr>
            </w:pPr>
            <w:r>
              <w:rPr>
                <w:rFonts w:ascii="inherit" w:hAnsi="inherit"/>
                <w:sz w:val="17"/>
              </w:rPr>
              <w:t>(6,719</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shd w:fill="auto" w:val="clear"/>
            <w:vAlign w:val="center"/>
          </w:tcPr>
          <w:p>
            <w:pPr>
              <w:pStyle w:val="TableContents"/>
              <w:spacing w:before="0" w:after="0"/>
              <w:jc w:val="right"/>
              <w:rPr>
                <w:rFonts w:ascii="inherit" w:hAnsi="inherit"/>
                <w:sz w:val="17"/>
              </w:rPr>
            </w:pPr>
            <w:r>
              <w:rPr>
                <w:rFonts w:ascii="inherit" w:hAnsi="inherit"/>
                <w:sz w:val="17"/>
              </w:rPr>
              <w:t>18,167</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4" w:type="dxa"/>
            <w:tcBorders/>
            <w:shd w:fill="auto" w:val="clear"/>
            <w:vAlign w:val="center"/>
          </w:tcPr>
          <w:p>
            <w:pPr>
              <w:pStyle w:val="TableContents"/>
              <w:spacing w:before="0" w:after="0"/>
              <w:jc w:val="right"/>
              <w:rPr>
                <w:rFonts w:ascii="inherit" w:hAnsi="inherit"/>
                <w:sz w:val="17"/>
              </w:rPr>
            </w:pPr>
            <w:r>
              <w:rPr>
                <w:rFonts w:ascii="inherit" w:hAnsi="inherit"/>
                <w:sz w:val="17"/>
              </w:rPr>
              <w:t>3,967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shd w:fill="auto" w:val="clear"/>
            <w:vAlign w:val="center"/>
          </w:tcPr>
          <w:p>
            <w:pPr>
              <w:pStyle w:val="TableContents"/>
              <w:spacing w:before="0" w:after="0"/>
              <w:jc w:val="right"/>
              <w:rPr>
                <w:rFonts w:ascii="inherit" w:hAnsi="inherit"/>
                <w:sz w:val="17"/>
              </w:rPr>
            </w:pPr>
            <w:r>
              <w:rPr>
                <w:rFonts w:ascii="inherit" w:hAnsi="inherit"/>
                <w:sz w:val="17"/>
              </w:rPr>
              <w:t>1,242</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auto" w:val="clear"/>
            <w:vAlign w:val="center"/>
          </w:tcPr>
          <w:p>
            <w:pPr>
              <w:pStyle w:val="TableContents"/>
              <w:spacing w:before="0" w:after="0"/>
              <w:jc w:val="right"/>
              <w:rPr>
                <w:rFonts w:ascii="inherit" w:hAnsi="inherit"/>
                <w:sz w:val="17"/>
              </w:rPr>
            </w:pPr>
            <w:r>
              <w:rPr>
                <w:rFonts w:ascii="inherit" w:hAnsi="inherit"/>
                <w:sz w:val="17"/>
              </w:rPr>
              <w:t>16,657</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Loss (income) from discontinued operations, net of tax</w:t>
            </w:r>
          </w:p>
        </w:tc>
        <w:tc>
          <w:tcPr>
            <w:tcW w:w="11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838</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(3,149</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5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(19,186</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6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Net (loss) income</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(5,881</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15,018</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1,242</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(4,840</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259"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34"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306"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321"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923" w:type="dxa"/>
            <w:gridSpan w:val="3"/>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(loss) gain</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(12,208</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(2,371</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(13,588</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12,638</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(15,529</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67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Effective portion of cash flow hedge</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7"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7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Unrealized holding (losses) gains arising during period</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(1,457</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(1,457</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1,457</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67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1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1,189</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1,339</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5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(1,339</w:t>
            </w:r>
          </w:p>
        </w:tc>
        <w:tc>
          <w:tcPr>
            <w:tcW w:w="15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1,189</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7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(loss) income, net of tax</w:t>
            </w:r>
          </w:p>
        </w:tc>
        <w:tc>
          <w:tcPr>
            <w:tcW w:w="11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(11,976</w:t>
            </w:r>
          </w:p>
        </w:tc>
        <w:tc>
          <w:tcPr>
            <w:tcW w:w="14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(2,489</w:t>
            </w:r>
          </w:p>
        </w:tc>
        <w:tc>
          <w:tcPr>
            <w:tcW w:w="14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(13,088</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6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12,256</w:t>
            </w:r>
          </w:p>
        </w:tc>
        <w:tc>
          <w:tcPr>
            <w:tcW w:w="1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(15,297</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(loss) income</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(17,857</w:t>
            </w:r>
          </w:p>
        </w:tc>
        <w:tc>
          <w:tcPr>
            <w:tcW w:w="14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6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12,529</w:t>
            </w:r>
          </w:p>
        </w:tc>
        <w:tc>
          <w:tcPr>
            <w:tcW w:w="14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(28,307</w:t>
            </w:r>
          </w:p>
        </w:tc>
        <w:tc>
          <w:tcPr>
            <w:tcW w:w="14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7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13,498</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(20,137</w:t>
            </w:r>
          </w:p>
        </w:tc>
        <w:tc>
          <w:tcPr>
            <w:tcW w:w="806" w:type="dxa"/>
            <w:tcBorders>
              <w:bottom w:val="double" w:sz="6"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67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259"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34"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306"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321"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923" w:type="dxa"/>
            <w:gridSpan w:val="3"/>
            <w:tcBorders/>
            <w:shd w:fill="auto" w:val="clear"/>
            <w:vAlign w:val="center"/>
          </w:tcPr>
          <w:p>
            <w:pPr>
              <w:pStyle w:val="TableContents"/>
              <w:spacing w:before="0" w:after="0"/>
              <w:ind w:left="0" w:right="0" w:firstLine="780"/>
              <w:rPr/>
            </w:pPr>
            <w:r>
              <w:rPr/>
              <w:t> </w:t>
            </w:r>
          </w:p>
        </w:tc>
      </w:tr>
      <w:tr>
        <w:trPr/>
        <w:tc>
          <w:tcPr>
            <w:tcW w:w="267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income</w:t>
            </w:r>
          </w:p>
        </w:tc>
        <w:tc>
          <w:tcPr>
            <w:tcW w:w="1117"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7"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2" w:type="dxa"/>
            <w:gridSpan w:val="2"/>
            <w:tcBorders/>
            <w:shd w:fill="CCEEFF" w:val="clear"/>
            <w:vAlign w:val="center"/>
          </w:tcPr>
          <w:p>
            <w:pPr>
              <w:pStyle w:val="TableContents"/>
              <w:spacing w:before="0" w:after="0"/>
              <w:jc w:val="right"/>
              <w:rPr/>
            </w:pPr>
            <w:r>
              <w:rPr/>
              <w:t>—</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1,041</w:t>
            </w:r>
          </w:p>
        </w:tc>
        <w:tc>
          <w:tcPr>
            <w:tcW w:w="80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7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loss</w:t>
            </w:r>
          </w:p>
        </w:tc>
        <w:tc>
          <w:tcPr>
            <w:tcW w:w="111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(3,321</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6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(3,321</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loss attributable to redeemable noncontrolling interest</w:t>
            </w:r>
          </w:p>
        </w:tc>
        <w:tc>
          <w:tcPr>
            <w:tcW w:w="111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5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(2,280</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6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(2,280</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7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Comprehensive (loss) income attributable to EZCORP, Inc.</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(17,857</w:t>
            </w:r>
          </w:p>
        </w:tc>
        <w:tc>
          <w:tcPr>
            <w:tcW w:w="14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12,529</w:t>
            </w:r>
          </w:p>
        </w:tc>
        <w:tc>
          <w:tcPr>
            <w:tcW w:w="14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(26,027</w:t>
            </w:r>
          </w:p>
        </w:tc>
        <w:tc>
          <w:tcPr>
            <w:tcW w:w="1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7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13,498</w:t>
            </w:r>
          </w:p>
        </w:tc>
        <w:tc>
          <w:tcPr>
            <w:tcW w:w="15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(17,857</w:t>
            </w:r>
          </w:p>
        </w:tc>
        <w:tc>
          <w:tcPr>
            <w:tcW w:w="80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pPr>
      <w:r>
        <w:rPr/>
        <w:t> </w:t>
      </w:r>
    </w:p>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2720"/>
        <w:gridCol w:w="158"/>
        <w:gridCol w:w="913"/>
        <w:gridCol w:w="143"/>
        <w:gridCol w:w="124"/>
        <w:gridCol w:w="162"/>
        <w:gridCol w:w="937"/>
        <w:gridCol w:w="148"/>
        <w:gridCol w:w="124"/>
        <w:gridCol w:w="180"/>
        <w:gridCol w:w="973"/>
        <w:gridCol w:w="165"/>
        <w:gridCol w:w="124"/>
        <w:gridCol w:w="166"/>
        <w:gridCol w:w="1015"/>
        <w:gridCol w:w="152"/>
        <w:gridCol w:w="124"/>
        <w:gridCol w:w="158"/>
        <w:gridCol w:w="913"/>
        <w:gridCol w:w="806"/>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2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20" w:type="dxa"/>
            <w:tcBorders/>
            <w:shd w:fill="auto" w:val="clear"/>
            <w:vAlign w:val="center"/>
          </w:tcPr>
          <w:p>
            <w:pPr>
              <w:pStyle w:val="TableContents"/>
              <w:spacing w:before="0" w:after="0"/>
              <w:ind w:left="0" w:right="0" w:firstLine="30"/>
              <w:jc w:val="left"/>
              <w:rPr/>
            </w:pPr>
            <w:r>
              <w:rPr/>
              <w:t> </w:t>
            </w:r>
          </w:p>
        </w:tc>
        <w:tc>
          <w:tcPr>
            <w:tcW w:w="748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2012</w:t>
            </w:r>
          </w:p>
        </w:tc>
      </w:tr>
      <w:tr>
        <w:trPr/>
        <w:tc>
          <w:tcPr>
            <w:tcW w:w="2720" w:type="dxa"/>
            <w:tcBorders/>
            <w:shd w:fill="auto" w:val="clear"/>
            <w:vAlign w:val="center"/>
          </w:tcPr>
          <w:p>
            <w:pPr>
              <w:pStyle w:val="TableContents"/>
              <w:spacing w:before="0" w:after="0"/>
              <w:ind w:left="0" w:right="0" w:firstLine="30"/>
              <w:jc w:val="left"/>
              <w:rPr/>
            </w:pPr>
            <w:r>
              <w:rPr/>
              <w:t> </w:t>
            </w:r>
          </w:p>
        </w:tc>
        <w:tc>
          <w:tcPr>
            <w:tcW w:w="12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4" w:type="dxa"/>
            <w:tcBorders/>
            <w:shd w:fill="auto" w:val="clear"/>
            <w:vAlign w:val="center"/>
          </w:tcPr>
          <w:p>
            <w:pPr>
              <w:pStyle w:val="TableContents"/>
              <w:spacing w:before="0" w:after="0"/>
              <w:ind w:left="0" w:right="0" w:firstLine="30"/>
              <w:rPr/>
            </w:pPr>
            <w:r>
              <w:rPr/>
              <w:t> </w:t>
            </w:r>
          </w:p>
        </w:tc>
        <w:tc>
          <w:tcPr>
            <w:tcW w:w="124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4" w:type="dxa"/>
            <w:tcBorders/>
            <w:shd w:fill="auto" w:val="clear"/>
            <w:vAlign w:val="center"/>
          </w:tcPr>
          <w:p>
            <w:pPr>
              <w:pStyle w:val="TableContents"/>
              <w:spacing w:before="0" w:after="0"/>
              <w:ind w:left="0" w:right="0" w:firstLine="30"/>
              <w:rPr/>
            </w:pPr>
            <w:r>
              <w:rPr/>
              <w:t> </w:t>
            </w:r>
          </w:p>
        </w:tc>
        <w:tc>
          <w:tcPr>
            <w:tcW w:w="131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4" w:type="dxa"/>
            <w:tcBorders/>
            <w:shd w:fill="auto" w:val="clear"/>
            <w:vAlign w:val="center"/>
          </w:tcPr>
          <w:p>
            <w:pPr>
              <w:pStyle w:val="TableContents"/>
              <w:spacing w:before="0" w:after="0"/>
              <w:ind w:left="0" w:right="0" w:firstLine="30"/>
              <w:rPr/>
            </w:pPr>
            <w:r>
              <w:rPr/>
              <w:t> </w:t>
            </w:r>
          </w:p>
        </w:tc>
        <w:tc>
          <w:tcPr>
            <w:tcW w:w="133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4" w:type="dxa"/>
            <w:tcBorders/>
            <w:shd w:fill="auto" w:val="clear"/>
            <w:vAlign w:val="center"/>
          </w:tcPr>
          <w:p>
            <w:pPr>
              <w:pStyle w:val="TableContents"/>
              <w:spacing w:before="0" w:after="0"/>
              <w:ind w:left="0" w:right="0" w:firstLine="30"/>
              <w:rPr/>
            </w:pPr>
            <w:r>
              <w:rPr/>
              <w:t> </w:t>
            </w:r>
          </w:p>
        </w:tc>
        <w:tc>
          <w:tcPr>
            <w:tcW w:w="18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720" w:type="dxa"/>
            <w:tcBorders/>
            <w:shd w:fill="auto" w:val="clear"/>
            <w:vAlign w:val="center"/>
          </w:tcPr>
          <w:p>
            <w:pPr>
              <w:pStyle w:val="TableContents"/>
              <w:spacing w:before="0" w:after="0"/>
              <w:ind w:left="0" w:right="0" w:firstLine="30"/>
              <w:jc w:val="left"/>
              <w:rPr/>
            </w:pPr>
            <w:r>
              <w:rPr/>
              <w:t> </w:t>
            </w:r>
          </w:p>
        </w:tc>
        <w:tc>
          <w:tcPr>
            <w:tcW w:w="7485"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2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Income (loss) from continuing operations, net of tax</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auto" w:val="clear"/>
            <w:vAlign w:val="center"/>
          </w:tcPr>
          <w:p>
            <w:pPr>
              <w:pStyle w:val="TableContents"/>
              <w:spacing w:before="0" w:after="0"/>
              <w:jc w:val="right"/>
              <w:rPr>
                <w:rFonts w:ascii="inherit" w:hAnsi="inherit"/>
                <w:sz w:val="17"/>
              </w:rPr>
            </w:pPr>
            <w:r>
              <w:rPr>
                <w:rFonts w:ascii="inherit" w:hAnsi="inherit"/>
                <w:sz w:val="17"/>
              </w:rPr>
              <w:t>28,491</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7" w:type="dxa"/>
            <w:tcBorders/>
            <w:shd w:fill="auto" w:val="clear"/>
            <w:vAlign w:val="center"/>
          </w:tcPr>
          <w:p>
            <w:pPr>
              <w:pStyle w:val="TableContents"/>
              <w:spacing w:before="0" w:after="0"/>
              <w:jc w:val="right"/>
              <w:rPr>
                <w:rFonts w:ascii="inherit" w:hAnsi="inherit"/>
                <w:sz w:val="17"/>
              </w:rPr>
            </w:pPr>
            <w:r>
              <w:rPr>
                <w:rFonts w:ascii="inherit" w:hAnsi="inherit"/>
                <w:sz w:val="17"/>
              </w:rPr>
              <w:t>37,854</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auto" w:val="clear"/>
            <w:vAlign w:val="center"/>
          </w:tcPr>
          <w:p>
            <w:pPr>
              <w:pStyle w:val="TableContents"/>
              <w:spacing w:before="0" w:after="0"/>
              <w:jc w:val="right"/>
              <w:rPr>
                <w:rFonts w:ascii="inherit" w:hAnsi="inherit"/>
                <w:sz w:val="17"/>
              </w:rPr>
            </w:pPr>
            <w:r>
              <w:rPr>
                <w:rFonts w:ascii="inherit" w:hAnsi="inherit"/>
                <w:sz w:val="17"/>
              </w:rPr>
              <w:t>3,093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shd w:fill="auto" w:val="clear"/>
            <w:vAlign w:val="center"/>
          </w:tcPr>
          <w:p>
            <w:pPr>
              <w:pStyle w:val="TableContents"/>
              <w:spacing w:before="0" w:after="0"/>
              <w:jc w:val="right"/>
              <w:rPr>
                <w:rFonts w:ascii="inherit" w:hAnsi="inherit"/>
                <w:sz w:val="17"/>
              </w:rPr>
            </w:pPr>
            <w:r>
              <w:rPr>
                <w:rFonts w:ascii="inherit" w:hAnsi="inherit"/>
                <w:sz w:val="17"/>
              </w:rPr>
              <w:t>(38,479</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auto" w:val="clear"/>
            <w:vAlign w:val="center"/>
          </w:tcPr>
          <w:p>
            <w:pPr>
              <w:pStyle w:val="TableContents"/>
              <w:spacing w:before="0" w:after="0"/>
              <w:jc w:val="right"/>
              <w:rPr>
                <w:rFonts w:ascii="inherit" w:hAnsi="inherit"/>
                <w:sz w:val="17"/>
              </w:rPr>
            </w:pPr>
            <w:r>
              <w:rPr>
                <w:rFonts w:ascii="inherit" w:hAnsi="inherit"/>
                <w:sz w:val="17"/>
              </w:rPr>
              <w:t>30,959</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Income (loss) from discontinued operations</w:t>
            </w:r>
          </w:p>
        </w:tc>
        <w:tc>
          <w:tcPr>
            <w:tcW w:w="107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0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(1,183</w:t>
            </w:r>
          </w:p>
        </w:tc>
        <w:tc>
          <w:tcPr>
            <w:tcW w:w="16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07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2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Net income (loss)</w:t>
            </w:r>
          </w:p>
        </w:tc>
        <w:tc>
          <w:tcPr>
            <w:tcW w:w="10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28,523</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0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37,757</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1,910</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(38,479</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0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29,711</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214"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247"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1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3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877" w:type="dxa"/>
            <w:gridSpan w:val="3"/>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2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(loss) gain</w:t>
            </w:r>
          </w:p>
        </w:tc>
        <w:tc>
          <w:tcPr>
            <w:tcW w:w="10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(5,724</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0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1,235</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(11,326</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7,302</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0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(8,513</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72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Unrealized holding (losses) gains arising during period</w:t>
            </w:r>
          </w:p>
        </w:tc>
        <w:tc>
          <w:tcPr>
            <w:tcW w:w="10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0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53"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0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72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Income tax (provision) benefit</w:t>
            </w:r>
          </w:p>
        </w:tc>
        <w:tc>
          <w:tcPr>
            <w:tcW w:w="10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(948</w:t>
            </w:r>
          </w:p>
        </w:tc>
        <w:tc>
          <w:tcPr>
            <w:tcW w:w="1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09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(395</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5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395</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0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(948</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(loss) income, net of tax</w:t>
            </w:r>
          </w:p>
        </w:tc>
        <w:tc>
          <w:tcPr>
            <w:tcW w:w="107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(6,780</w:t>
            </w:r>
          </w:p>
        </w:tc>
        <w:tc>
          <w:tcPr>
            <w:tcW w:w="14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0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732</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(11,326</w:t>
            </w:r>
          </w:p>
        </w:tc>
        <w:tc>
          <w:tcPr>
            <w:tcW w:w="16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7,805</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07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(9,569</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(loss)</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21,743</w:t>
            </w:r>
          </w:p>
        </w:tc>
        <w:tc>
          <w:tcPr>
            <w:tcW w:w="14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38,489</w:t>
            </w:r>
          </w:p>
        </w:tc>
        <w:tc>
          <w:tcPr>
            <w:tcW w:w="14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(9,416</w:t>
            </w:r>
          </w:p>
        </w:tc>
        <w:tc>
          <w:tcPr>
            <w:tcW w:w="16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(30,674</w:t>
            </w:r>
          </w:p>
        </w:tc>
        <w:tc>
          <w:tcPr>
            <w:tcW w:w="15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20,142</w:t>
            </w:r>
          </w:p>
        </w:tc>
        <w:tc>
          <w:tcPr>
            <w:tcW w:w="806"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2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214"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247"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1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3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877" w:type="dxa"/>
            <w:gridSpan w:val="3"/>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071" w:type="dxa"/>
            <w:gridSpan w:val="2"/>
            <w:tcBorders/>
            <w:shd w:fill="auto" w:val="clear"/>
            <w:vAlign w:val="center"/>
          </w:tcPr>
          <w:p>
            <w:pPr>
              <w:pStyle w:val="TableContents"/>
              <w:spacing w:before="0" w:after="0"/>
              <w:jc w:val="right"/>
              <w:rPr/>
            </w:pPr>
            <w:r>
              <w:rPr/>
              <w:t>—</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099"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1,188</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0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1,188</w:t>
            </w:r>
          </w:p>
        </w:tc>
        <w:tc>
          <w:tcPr>
            <w:tcW w:w="80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2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loss</w:t>
            </w:r>
          </w:p>
        </w:tc>
        <w:tc>
          <w:tcPr>
            <w:tcW w:w="107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09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(2,789</w:t>
            </w:r>
          </w:p>
        </w:tc>
        <w:tc>
          <w:tcPr>
            <w:tcW w:w="16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07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(2,789</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2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Comprehensive loss attributable to redeemable noncontrolling interest</w:t>
            </w:r>
          </w:p>
        </w:tc>
        <w:tc>
          <w:tcPr>
            <w:tcW w:w="107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09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(1,601</w:t>
            </w:r>
          </w:p>
        </w:tc>
        <w:tc>
          <w:tcPr>
            <w:tcW w:w="16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0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(1,601</w:t>
            </w:r>
          </w:p>
        </w:tc>
        <w:tc>
          <w:tcPr>
            <w:tcW w:w="8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2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 xml:space="preserve">Comprehensive income (loss) attributable to EZCORP, Inc.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21,743</w:t>
            </w:r>
          </w:p>
        </w:tc>
        <w:tc>
          <w:tcPr>
            <w:tcW w:w="1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38,489</w:t>
            </w:r>
          </w:p>
        </w:tc>
        <w:tc>
          <w:tcPr>
            <w:tcW w:w="14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(7,815</w:t>
            </w:r>
          </w:p>
        </w:tc>
        <w:tc>
          <w:tcPr>
            <w:tcW w:w="16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(30,674</w:t>
            </w:r>
          </w:p>
        </w:tc>
        <w:tc>
          <w:tcPr>
            <w:tcW w:w="15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21,743</w:t>
            </w:r>
          </w:p>
        </w:tc>
        <w:tc>
          <w:tcPr>
            <w:tcW w:w="80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rPr/>
      </w:pPr>
      <w:hyperlink w:anchor="s6341541F7667DB742175CD29235C3997">
        <w:bookmarkStart w:id="38" w:name="s2841D07A93B94E6A14D7CD28FA42069A9"/>
        <w:bookmarkEnd w:id="38"/>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421"/>
        <w:gridCol w:w="157"/>
        <w:gridCol w:w="945"/>
        <w:gridCol w:w="143"/>
        <w:gridCol w:w="124"/>
        <w:gridCol w:w="157"/>
        <w:gridCol w:w="1084"/>
        <w:gridCol w:w="143"/>
        <w:gridCol w:w="124"/>
        <w:gridCol w:w="164"/>
        <w:gridCol w:w="1037"/>
        <w:gridCol w:w="149"/>
        <w:gridCol w:w="124"/>
        <w:gridCol w:w="166"/>
        <w:gridCol w:w="1047"/>
        <w:gridCol w:w="151"/>
        <w:gridCol w:w="124"/>
        <w:gridCol w:w="157"/>
        <w:gridCol w:w="983"/>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21" w:type="dxa"/>
            <w:tcBorders/>
            <w:shd w:fill="auto" w:val="clear"/>
            <w:vAlign w:val="center"/>
          </w:tcPr>
          <w:p>
            <w:pPr>
              <w:pStyle w:val="TableContents"/>
              <w:spacing w:before="0" w:after="0"/>
              <w:ind w:left="0" w:right="0" w:firstLine="30"/>
              <w:jc w:val="left"/>
              <w:rPr/>
            </w:pPr>
            <w:r>
              <w:rPr/>
              <w:t> </w:t>
            </w:r>
          </w:p>
        </w:tc>
        <w:tc>
          <w:tcPr>
            <w:tcW w:w="7784"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2013</w:t>
            </w:r>
          </w:p>
        </w:tc>
      </w:tr>
      <w:tr>
        <w:trPr/>
        <w:tc>
          <w:tcPr>
            <w:tcW w:w="2421" w:type="dxa"/>
            <w:tcBorders/>
            <w:shd w:fill="auto" w:val="clear"/>
            <w:vAlign w:val="center"/>
          </w:tcPr>
          <w:p>
            <w:pPr>
              <w:pStyle w:val="TableContents"/>
              <w:spacing w:before="0" w:after="0"/>
              <w:ind w:left="0" w:right="0" w:firstLine="30"/>
              <w:jc w:val="left"/>
              <w:rPr/>
            </w:pPr>
            <w:r>
              <w:rPr/>
              <w:t> </w:t>
            </w:r>
          </w:p>
        </w:tc>
        <w:tc>
          <w:tcPr>
            <w:tcW w:w="12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4" w:type="dxa"/>
            <w:tcBorders/>
            <w:shd w:fill="auto" w:val="clear"/>
            <w:vAlign w:val="center"/>
          </w:tcPr>
          <w:p>
            <w:pPr>
              <w:pStyle w:val="TableContents"/>
              <w:spacing w:before="0" w:after="0"/>
              <w:ind w:left="0" w:right="0" w:firstLine="30"/>
              <w:rPr/>
            </w:pPr>
            <w:r>
              <w:rPr/>
              <w:t> </w:t>
            </w:r>
          </w:p>
        </w:tc>
        <w:tc>
          <w:tcPr>
            <w:tcW w:w="138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4" w:type="dxa"/>
            <w:tcBorders/>
            <w:shd w:fill="auto" w:val="clear"/>
            <w:vAlign w:val="center"/>
          </w:tcPr>
          <w:p>
            <w:pPr>
              <w:pStyle w:val="TableContents"/>
              <w:spacing w:before="0" w:after="0"/>
              <w:ind w:left="0" w:right="0" w:firstLine="30"/>
              <w:rPr/>
            </w:pPr>
            <w:r>
              <w:rPr/>
              <w:t> </w:t>
            </w:r>
          </w:p>
        </w:tc>
        <w:tc>
          <w:tcPr>
            <w:tcW w:w="135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4" w:type="dxa"/>
            <w:tcBorders/>
            <w:shd w:fill="auto" w:val="clear"/>
            <w:vAlign w:val="center"/>
          </w:tcPr>
          <w:p>
            <w:pPr>
              <w:pStyle w:val="TableContents"/>
              <w:spacing w:before="0" w:after="0"/>
              <w:ind w:left="0" w:right="0" w:firstLine="30"/>
              <w:rPr/>
            </w:pPr>
            <w:r>
              <w:rPr/>
              <w:t> </w:t>
            </w:r>
          </w:p>
        </w:tc>
        <w:tc>
          <w:tcPr>
            <w:tcW w:w="136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4" w:type="dxa"/>
            <w:tcBorders/>
            <w:shd w:fill="auto" w:val="clear"/>
            <w:vAlign w:val="center"/>
          </w:tcPr>
          <w:p>
            <w:pPr>
              <w:pStyle w:val="TableContents"/>
              <w:spacing w:before="0" w:after="0"/>
              <w:ind w:left="0" w:right="0" w:firstLine="30"/>
              <w:rPr/>
            </w:pPr>
            <w:r>
              <w:rPr/>
              <w:t> </w:t>
            </w:r>
          </w:p>
        </w:tc>
        <w:tc>
          <w:tcPr>
            <w:tcW w:w="19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21" w:type="dxa"/>
            <w:tcBorders/>
            <w:shd w:fill="auto" w:val="clear"/>
            <w:vAlign w:val="center"/>
          </w:tcPr>
          <w:p>
            <w:pPr>
              <w:pStyle w:val="TableContents"/>
              <w:spacing w:before="0" w:after="0"/>
              <w:ind w:left="0" w:right="0" w:firstLine="30"/>
              <w:jc w:val="left"/>
              <w:rPr/>
            </w:pPr>
            <w:r>
              <w:rPr/>
              <w:t> </w:t>
            </w:r>
          </w:p>
        </w:tc>
        <w:tc>
          <w:tcPr>
            <w:tcW w:w="7784"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21"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Income (loss) from continuing operations, net of tax</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5" w:type="dxa"/>
            <w:tcBorders/>
            <w:shd w:fill="auto" w:val="clear"/>
            <w:vAlign w:val="center"/>
          </w:tcPr>
          <w:p>
            <w:pPr>
              <w:pStyle w:val="TableContents"/>
              <w:spacing w:before="0" w:after="0"/>
              <w:jc w:val="right"/>
              <w:rPr>
                <w:rFonts w:ascii="inherit" w:hAnsi="inherit"/>
                <w:sz w:val="17"/>
              </w:rPr>
            </w:pPr>
            <w:r>
              <w:rPr>
                <w:rFonts w:ascii="inherit" w:hAnsi="inherit"/>
                <w:sz w:val="17"/>
              </w:rPr>
              <w:t>57,807</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shd w:fill="auto" w:val="clear"/>
            <w:vAlign w:val="center"/>
          </w:tcPr>
          <w:p>
            <w:pPr>
              <w:pStyle w:val="TableContents"/>
              <w:spacing w:before="0" w:after="0"/>
              <w:jc w:val="right"/>
              <w:rPr>
                <w:rFonts w:ascii="inherit" w:hAnsi="inherit"/>
                <w:sz w:val="17"/>
              </w:rPr>
            </w:pPr>
            <w:r>
              <w:rPr>
                <w:rFonts w:ascii="inherit" w:hAnsi="inherit"/>
                <w:sz w:val="17"/>
              </w:rPr>
              <w:t>102,914</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7" w:type="dxa"/>
            <w:tcBorders/>
            <w:shd w:fill="auto" w:val="clear"/>
            <w:vAlign w:val="center"/>
          </w:tcPr>
          <w:p>
            <w:pPr>
              <w:pStyle w:val="TableContents"/>
              <w:spacing w:before="0" w:after="0"/>
              <w:jc w:val="right"/>
              <w:rPr>
                <w:rFonts w:ascii="inherit" w:hAnsi="inherit"/>
                <w:sz w:val="17"/>
              </w:rPr>
            </w:pPr>
            <w:r>
              <w:rPr>
                <w:rFonts w:ascii="inherit" w:hAnsi="inherit"/>
                <w:sz w:val="17"/>
              </w:rPr>
              <w:t>13,231</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7" w:type="dxa"/>
            <w:tcBorders/>
            <w:shd w:fill="auto" w:val="clear"/>
            <w:vAlign w:val="center"/>
          </w:tcPr>
          <w:p>
            <w:pPr>
              <w:pStyle w:val="TableContents"/>
              <w:spacing w:before="0" w:after="0"/>
              <w:jc w:val="right"/>
              <w:rPr>
                <w:rFonts w:ascii="inherit" w:hAnsi="inherit"/>
                <w:sz w:val="17"/>
              </w:rPr>
            </w:pPr>
            <w:r>
              <w:rPr>
                <w:rFonts w:ascii="inherit" w:hAnsi="inherit"/>
                <w:sz w:val="17"/>
              </w:rPr>
              <w:t>(86,944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3" w:type="dxa"/>
            <w:tcBorders/>
            <w:shd w:fill="auto" w:val="clear"/>
            <w:vAlign w:val="center"/>
          </w:tcPr>
          <w:p>
            <w:pPr>
              <w:pStyle w:val="TableContents"/>
              <w:spacing w:before="0" w:after="0"/>
              <w:jc w:val="right"/>
              <w:rPr>
                <w:rFonts w:ascii="inherit" w:hAnsi="inherit"/>
                <w:sz w:val="17"/>
              </w:rPr>
            </w:pPr>
            <w:r>
              <w:rPr>
                <w:rFonts w:ascii="inherit" w:hAnsi="inherit"/>
                <w:sz w:val="17"/>
              </w:rPr>
              <w:t>87,008</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21"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Income (loss) from discontinued operations</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1,010</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(3,671</w:t>
            </w:r>
          </w:p>
        </w:tc>
        <w:tc>
          <w:tcPr>
            <w:tcW w:w="14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2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(22,152</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(24,813</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21"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Net income (loss)</w:t>
            </w:r>
          </w:p>
        </w:tc>
        <w:tc>
          <w:tcPr>
            <w:tcW w:w="11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58,817</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99,243</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(8,921</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(86,944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62,195</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24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84"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0"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64"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45" w:type="dxa"/>
            <w:gridSpan w:val="3"/>
            <w:tcBorders/>
            <w:shd w:fill="CCEEFF" w:val="clear"/>
            <w:vAlign w:val="center"/>
          </w:tcPr>
          <w:p>
            <w:pPr>
              <w:pStyle w:val="TableContents"/>
              <w:spacing w:before="0" w:after="0"/>
              <w:ind w:left="0" w:right="0" w:firstLine="420"/>
              <w:rPr/>
            </w:pPr>
            <w:r>
              <w:rPr/>
              <w:t> </w:t>
            </w:r>
          </w:p>
        </w:tc>
      </w:tr>
      <w:tr>
        <w:trPr/>
        <w:tc>
          <w:tcPr>
            <w:tcW w:w="24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 (loss)</w:t>
            </w:r>
          </w:p>
        </w:tc>
        <w:tc>
          <w:tcPr>
            <w:tcW w:w="11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262</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(1,034</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(7,950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7,772</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(950</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21"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Effective portion of cash flow hedge</w:t>
            </w:r>
          </w:p>
        </w:tc>
        <w:tc>
          <w:tcPr>
            <w:tcW w:w="11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pPr>
            <w:r>
              <w:rPr/>
              <w:t>—</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21"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Unrealized holding (losses) gains arising during period</w:t>
            </w:r>
          </w:p>
        </w:tc>
        <w:tc>
          <w:tcPr>
            <w:tcW w:w="11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(1,721</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(1,721</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01"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(1,721</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21"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Income tax (provision) benefit</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(1,848</w:t>
            </w:r>
          </w:p>
        </w:tc>
        <w:tc>
          <w:tcPr>
            <w:tcW w:w="14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964</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0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(964</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(1,848</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(loss) income, net of tax</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(2,807</w:t>
            </w:r>
          </w:p>
        </w:tc>
        <w:tc>
          <w:tcPr>
            <w:tcW w:w="1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(1,791</w:t>
            </w:r>
          </w:p>
        </w:tc>
        <w:tc>
          <w:tcPr>
            <w:tcW w:w="1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(7,450</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8,029</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(4,019</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(loss)</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56,010</w:t>
            </w:r>
          </w:p>
        </w:tc>
        <w:tc>
          <w:tcPr>
            <w:tcW w:w="1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97,452</w:t>
            </w:r>
          </w:p>
        </w:tc>
        <w:tc>
          <w:tcPr>
            <w:tcW w:w="1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(16,371</w:t>
            </w:r>
          </w:p>
        </w:tc>
        <w:tc>
          <w:tcPr>
            <w:tcW w:w="14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(78,915</w:t>
            </w:r>
          </w:p>
        </w:tc>
        <w:tc>
          <w:tcPr>
            <w:tcW w:w="151"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58,176</w:t>
            </w:r>
          </w:p>
        </w:tc>
        <w:tc>
          <w:tcPr>
            <w:tcW w:w="805" w:type="dxa"/>
            <w:tcBorders>
              <w:bottom w:val="double" w:sz="6"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245"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384"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350"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364"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945" w:type="dxa"/>
            <w:gridSpan w:val="3"/>
            <w:tcBorders/>
            <w:shd w:fill="auto" w:val="clear"/>
            <w:vAlign w:val="center"/>
          </w:tcPr>
          <w:p>
            <w:pPr>
              <w:pStyle w:val="TableContents"/>
              <w:spacing w:before="0" w:after="0"/>
              <w:ind w:left="0" w:right="0" w:firstLine="780"/>
              <w:rPr/>
            </w:pPr>
            <w:r>
              <w:rPr/>
              <w:t> </w:t>
            </w:r>
          </w:p>
        </w:tc>
      </w:tr>
      <w:tr>
        <w:trPr/>
        <w:tc>
          <w:tcPr>
            <w:tcW w:w="24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102" w:type="dxa"/>
            <w:gridSpan w:val="2"/>
            <w:tcBorders/>
            <w:shd w:fill="CCEEFF" w:val="clear"/>
            <w:vAlign w:val="center"/>
          </w:tcPr>
          <w:p>
            <w:pPr>
              <w:pStyle w:val="TableContents"/>
              <w:spacing w:before="0" w:after="0"/>
              <w:jc w:val="right"/>
              <w:rPr/>
            </w:pPr>
            <w:r>
              <w:rPr/>
              <w:t>—</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pPr>
            <w:r>
              <w:rPr/>
              <w:t>—</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3,378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13"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3,378</w:t>
            </w:r>
          </w:p>
        </w:tc>
        <w:tc>
          <w:tcPr>
            <w:tcW w:w="80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21"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loss</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(1,212</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(1,212</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21"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Comprehensive income attributable to redeemable noncontrolling interest</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2,166</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1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2,166</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21"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 xml:space="preserve">Comprehensive income (loss) attributable to EZCORP, Inc.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56,010</w:t>
            </w:r>
          </w:p>
        </w:tc>
        <w:tc>
          <w:tcPr>
            <w:tcW w:w="14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97,452</w:t>
            </w:r>
          </w:p>
        </w:tc>
        <w:tc>
          <w:tcPr>
            <w:tcW w:w="14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(18,537</w:t>
            </w:r>
          </w:p>
        </w:tc>
        <w:tc>
          <w:tcPr>
            <w:tcW w:w="149"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(78,915</w:t>
            </w:r>
          </w:p>
        </w:tc>
        <w:tc>
          <w:tcPr>
            <w:tcW w:w="151"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56,010</w:t>
            </w:r>
          </w:p>
        </w:tc>
        <w:tc>
          <w:tcPr>
            <w:tcW w:w="80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336"/>
        <w:gridCol w:w="155"/>
        <w:gridCol w:w="1021"/>
        <w:gridCol w:w="140"/>
        <w:gridCol w:w="121"/>
        <w:gridCol w:w="155"/>
        <w:gridCol w:w="1057"/>
        <w:gridCol w:w="140"/>
        <w:gridCol w:w="121"/>
        <w:gridCol w:w="178"/>
        <w:gridCol w:w="981"/>
        <w:gridCol w:w="163"/>
        <w:gridCol w:w="121"/>
        <w:gridCol w:w="155"/>
        <w:gridCol w:w="1079"/>
        <w:gridCol w:w="140"/>
        <w:gridCol w:w="121"/>
        <w:gridCol w:w="155"/>
        <w:gridCol w:w="1057"/>
        <w:gridCol w:w="809"/>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3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36" w:type="dxa"/>
            <w:tcBorders/>
            <w:shd w:fill="auto" w:val="clear"/>
            <w:vAlign w:val="center"/>
          </w:tcPr>
          <w:p>
            <w:pPr>
              <w:pStyle w:val="TableContents"/>
              <w:spacing w:before="0" w:after="0"/>
              <w:ind w:left="0" w:right="0" w:firstLine="30"/>
              <w:jc w:val="left"/>
              <w:rPr/>
            </w:pPr>
            <w:r>
              <w:rPr/>
              <w:t> </w:t>
            </w:r>
          </w:p>
        </w:tc>
        <w:tc>
          <w:tcPr>
            <w:tcW w:w="7869"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2336" w:type="dxa"/>
            <w:tcBorders/>
            <w:shd w:fill="auto" w:val="clear"/>
            <w:vAlign w:val="center"/>
          </w:tcPr>
          <w:p>
            <w:pPr>
              <w:pStyle w:val="TableContents"/>
              <w:spacing w:before="0" w:after="0"/>
              <w:ind w:left="0" w:right="0" w:firstLine="30"/>
              <w:jc w:val="left"/>
              <w:rPr/>
            </w:pPr>
            <w:r>
              <w:rPr/>
              <w:t> </w:t>
            </w:r>
          </w:p>
        </w:tc>
        <w:tc>
          <w:tcPr>
            <w:tcW w:w="13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1" w:type="dxa"/>
            <w:tcBorders/>
            <w:shd w:fill="auto" w:val="clear"/>
            <w:vAlign w:val="center"/>
          </w:tcPr>
          <w:p>
            <w:pPr>
              <w:pStyle w:val="TableContents"/>
              <w:spacing w:before="0" w:after="0"/>
              <w:ind w:left="0" w:right="0" w:firstLine="30"/>
              <w:rPr/>
            </w:pPr>
            <w:r>
              <w:rPr/>
              <w:t> </w:t>
            </w:r>
          </w:p>
        </w:tc>
        <w:tc>
          <w:tcPr>
            <w:tcW w:w="13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1" w:type="dxa"/>
            <w:tcBorders/>
            <w:shd w:fill="auto" w:val="clear"/>
            <w:vAlign w:val="center"/>
          </w:tcPr>
          <w:p>
            <w:pPr>
              <w:pStyle w:val="TableContents"/>
              <w:spacing w:before="0" w:after="0"/>
              <w:ind w:left="0" w:right="0" w:firstLine="30"/>
              <w:rPr/>
            </w:pPr>
            <w:r>
              <w:rPr/>
              <w:t> </w:t>
            </w:r>
          </w:p>
        </w:tc>
        <w:tc>
          <w:tcPr>
            <w:tcW w:w="132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1" w:type="dxa"/>
            <w:tcBorders/>
            <w:shd w:fill="auto" w:val="clear"/>
            <w:vAlign w:val="center"/>
          </w:tcPr>
          <w:p>
            <w:pPr>
              <w:pStyle w:val="TableContents"/>
              <w:spacing w:before="0" w:after="0"/>
              <w:ind w:left="0" w:right="0" w:firstLine="30"/>
              <w:rPr/>
            </w:pPr>
            <w:r>
              <w:rPr/>
              <w:t> </w:t>
            </w:r>
          </w:p>
        </w:tc>
        <w:tc>
          <w:tcPr>
            <w:tcW w:w="137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1" w:type="dxa"/>
            <w:tcBorders/>
            <w:shd w:fill="auto" w:val="clear"/>
            <w:vAlign w:val="center"/>
          </w:tcPr>
          <w:p>
            <w:pPr>
              <w:pStyle w:val="TableContents"/>
              <w:spacing w:before="0" w:after="0"/>
              <w:ind w:left="0" w:right="0" w:firstLine="30"/>
              <w:rPr/>
            </w:pPr>
            <w:r>
              <w:rPr/>
              <w:t> </w:t>
            </w:r>
          </w:p>
        </w:tc>
        <w:tc>
          <w:tcPr>
            <w:tcW w:w="20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336" w:type="dxa"/>
            <w:tcBorders/>
            <w:shd w:fill="auto" w:val="clear"/>
            <w:vAlign w:val="center"/>
          </w:tcPr>
          <w:p>
            <w:pPr>
              <w:pStyle w:val="TableContents"/>
              <w:spacing w:before="0" w:after="0"/>
              <w:ind w:left="0" w:right="0" w:firstLine="30"/>
              <w:jc w:val="left"/>
              <w:rPr/>
            </w:pPr>
            <w:r>
              <w:rPr/>
              <w:t> </w:t>
            </w:r>
          </w:p>
        </w:tc>
        <w:tc>
          <w:tcPr>
            <w:tcW w:w="7869"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336"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Income (loss) from continuing operations, net of tax</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shd w:fill="auto" w:val="clear"/>
            <w:vAlign w:val="center"/>
          </w:tcPr>
          <w:p>
            <w:pPr>
              <w:pStyle w:val="TableContents"/>
              <w:spacing w:before="0" w:after="0"/>
              <w:jc w:val="right"/>
              <w:rPr>
                <w:rFonts w:ascii="inherit" w:hAnsi="inherit"/>
                <w:sz w:val="17"/>
              </w:rPr>
            </w:pPr>
            <w:r>
              <w:rPr>
                <w:rFonts w:ascii="inherit" w:hAnsi="inherit"/>
                <w:sz w:val="17"/>
              </w:rPr>
              <w:t>105,243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126,526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shd w:fill="auto" w:val="clear"/>
            <w:vAlign w:val="center"/>
          </w:tcPr>
          <w:p>
            <w:pPr>
              <w:pStyle w:val="TableContents"/>
              <w:spacing w:before="0" w:after="0"/>
              <w:jc w:val="right"/>
              <w:rPr>
                <w:rFonts w:ascii="inherit" w:hAnsi="inherit"/>
                <w:sz w:val="17"/>
              </w:rPr>
            </w:pPr>
            <w:r>
              <w:rPr>
                <w:rFonts w:ascii="inherit" w:hAnsi="inherit"/>
                <w:sz w:val="17"/>
              </w:rPr>
              <w:t>3,840</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9" w:type="dxa"/>
            <w:tcBorders/>
            <w:shd w:fill="auto" w:val="clear"/>
            <w:vAlign w:val="center"/>
          </w:tcPr>
          <w:p>
            <w:pPr>
              <w:pStyle w:val="TableContents"/>
              <w:spacing w:before="0" w:after="0"/>
              <w:jc w:val="right"/>
              <w:rPr>
                <w:rFonts w:ascii="inherit" w:hAnsi="inherit"/>
                <w:sz w:val="17"/>
              </w:rPr>
            </w:pPr>
            <w:r>
              <w:rPr>
                <w:rFonts w:ascii="inherit" w:hAnsi="inherit"/>
                <w:sz w:val="17"/>
              </w:rPr>
              <w:t>(126,006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109,603</w:t>
            </w:r>
          </w:p>
        </w:tc>
        <w:tc>
          <w:tcPr>
            <w:tcW w:w="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36"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(Loss) income from discontinued operations</w:t>
            </w:r>
          </w:p>
        </w:tc>
        <w:tc>
          <w:tcPr>
            <w:tcW w:w="11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307</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5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(3,367</w:t>
            </w:r>
          </w:p>
        </w:tc>
        <w:tc>
          <w:tcPr>
            <w:tcW w:w="16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(3,167</w:t>
            </w:r>
          </w:p>
        </w:tc>
        <w:tc>
          <w:tcPr>
            <w:tcW w:w="80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336"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Net income (loss)</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105,136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126,833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473</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(126,006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106,436</w:t>
            </w:r>
          </w:p>
        </w:tc>
        <w:tc>
          <w:tcPr>
            <w:tcW w:w="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3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316"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352"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322"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374"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2021" w:type="dxa"/>
            <w:gridSpan w:val="3"/>
            <w:tcBorders/>
            <w:shd w:fill="CCEEFF" w:val="clear"/>
            <w:vAlign w:val="center"/>
          </w:tcPr>
          <w:p>
            <w:pPr>
              <w:pStyle w:val="TableContents"/>
              <w:spacing w:before="0" w:after="0"/>
              <w:ind w:left="0" w:right="0" w:firstLine="420"/>
              <w:rPr/>
            </w:pPr>
            <w:r>
              <w:rPr/>
              <w:t> </w:t>
            </w:r>
          </w:p>
        </w:tc>
      </w:tr>
      <w:tr>
        <w:trPr/>
        <w:tc>
          <w:tcPr>
            <w:tcW w:w="2336"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(loss) gain</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(8,594</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(7,236</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5,044</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(10,887</w:t>
            </w:r>
          </w:p>
        </w:tc>
        <w:tc>
          <w:tcPr>
            <w:tcW w:w="80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336"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Unrealized holding (losses) gains arising during period</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(846</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2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(846</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59" w:type="dxa"/>
            <w:gridSpan w:val="2"/>
            <w:tcBorders/>
            <w:shd w:fill="CCEEFF" w:val="clear"/>
            <w:vAlign w:val="center"/>
          </w:tcPr>
          <w:p>
            <w:pPr>
              <w:pStyle w:val="TableContents"/>
              <w:spacing w:before="0" w:after="0"/>
              <w:jc w:val="right"/>
              <w:rPr/>
            </w:pPr>
            <w:r>
              <w:rPr/>
              <w:t>—</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846</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(846</w:t>
            </w:r>
          </w:p>
        </w:tc>
        <w:tc>
          <w:tcPr>
            <w:tcW w:w="80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33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1,563</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5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1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1,563</w:t>
            </w:r>
          </w:p>
        </w:tc>
        <w:tc>
          <w:tcPr>
            <w:tcW w:w="80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3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(loss) income, net of tax</w:t>
            </w:r>
          </w:p>
        </w:tc>
        <w:tc>
          <w:tcPr>
            <w:tcW w:w="11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(7,877</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(626</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5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(7,236</w:t>
            </w:r>
          </w:p>
        </w:tc>
        <w:tc>
          <w:tcPr>
            <w:tcW w:w="16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5,569</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(10,170</w:t>
            </w:r>
          </w:p>
        </w:tc>
        <w:tc>
          <w:tcPr>
            <w:tcW w:w="80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33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(loss)</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97,259</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126,207</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7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(6,763</w:t>
            </w:r>
          </w:p>
        </w:tc>
        <w:tc>
          <w:tcPr>
            <w:tcW w:w="16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(120,437</w:t>
            </w:r>
          </w:p>
        </w:tc>
        <w:tc>
          <w:tcPr>
            <w:tcW w:w="14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96,266</w:t>
            </w:r>
          </w:p>
        </w:tc>
        <w:tc>
          <w:tcPr>
            <w:tcW w:w="809"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3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316"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352"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322"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374"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2021" w:type="dxa"/>
            <w:gridSpan w:val="3"/>
            <w:tcBorders/>
            <w:shd w:fill="CCEEFF" w:val="clear"/>
            <w:vAlign w:val="center"/>
          </w:tcPr>
          <w:p>
            <w:pPr>
              <w:pStyle w:val="TableContents"/>
              <w:spacing w:before="0" w:after="0"/>
              <w:ind w:left="0" w:right="0" w:firstLine="780"/>
              <w:rPr/>
            </w:pPr>
            <w:r>
              <w:rPr/>
              <w:t> </w:t>
            </w:r>
          </w:p>
        </w:tc>
      </w:tr>
      <w:tr>
        <w:trPr/>
        <w:tc>
          <w:tcPr>
            <w:tcW w:w="233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176"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1,300</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1,300</w:t>
            </w:r>
          </w:p>
        </w:tc>
        <w:tc>
          <w:tcPr>
            <w:tcW w:w="80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36"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loss</w:t>
            </w:r>
          </w:p>
        </w:tc>
        <w:tc>
          <w:tcPr>
            <w:tcW w:w="117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5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(2,293</w:t>
            </w:r>
          </w:p>
        </w:tc>
        <w:tc>
          <w:tcPr>
            <w:tcW w:w="16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(2,293</w:t>
            </w:r>
          </w:p>
        </w:tc>
        <w:tc>
          <w:tcPr>
            <w:tcW w:w="80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336"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Comprehensive loss attributable to redeemable noncontrolling interest</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5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(993</w:t>
            </w:r>
          </w:p>
        </w:tc>
        <w:tc>
          <w:tcPr>
            <w:tcW w:w="16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(993</w:t>
            </w:r>
          </w:p>
        </w:tc>
        <w:tc>
          <w:tcPr>
            <w:tcW w:w="80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336"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 xml:space="preserve">Comprehensive income (loss) attributable to EZCORP, Inc.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97,259</w:t>
            </w:r>
          </w:p>
        </w:tc>
        <w:tc>
          <w:tcPr>
            <w:tcW w:w="14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126,207</w:t>
            </w:r>
          </w:p>
        </w:tc>
        <w:tc>
          <w:tcPr>
            <w:tcW w:w="14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(5,770</w:t>
            </w:r>
          </w:p>
        </w:tc>
        <w:tc>
          <w:tcPr>
            <w:tcW w:w="16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(120,437</w:t>
            </w:r>
          </w:p>
        </w:tc>
        <w:tc>
          <w:tcPr>
            <w:tcW w:w="14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97,259</w:t>
            </w:r>
          </w:p>
        </w:tc>
        <w:tc>
          <w:tcPr>
            <w:tcW w:w="80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rPr/>
      </w:pPr>
      <w:hyperlink w:anchor="s6341541F7667DB742175CD29235C3997">
        <w:bookmarkStart w:id="39" w:name="s2841D07A93B94E6A14D7CD28FA42069A10"/>
        <w:bookmarkEnd w:id="3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Statements of Cash Flows</w:t>
      </w:r>
    </w:p>
    <w:tbl>
      <w:tblPr>
        <w:tblW w:w="10205" w:type="dxa"/>
        <w:jc w:val="left"/>
        <w:tblInd w:w="0" w:type="dxa"/>
        <w:tblCellMar>
          <w:top w:w="0" w:type="dxa"/>
          <w:left w:w="0" w:type="dxa"/>
          <w:bottom w:w="0" w:type="dxa"/>
          <w:right w:w="0" w:type="dxa"/>
        </w:tblCellMar>
      </w:tblPr>
      <w:tblGrid>
        <w:gridCol w:w="2638"/>
        <w:gridCol w:w="150"/>
        <w:gridCol w:w="830"/>
        <w:gridCol w:w="135"/>
        <w:gridCol w:w="115"/>
        <w:gridCol w:w="150"/>
        <w:gridCol w:w="830"/>
        <w:gridCol w:w="135"/>
        <w:gridCol w:w="115"/>
        <w:gridCol w:w="157"/>
        <w:gridCol w:w="893"/>
        <w:gridCol w:w="142"/>
        <w:gridCol w:w="115"/>
        <w:gridCol w:w="176"/>
        <w:gridCol w:w="871"/>
        <w:gridCol w:w="160"/>
        <w:gridCol w:w="115"/>
        <w:gridCol w:w="150"/>
        <w:gridCol w:w="961"/>
        <w:gridCol w:w="136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38" w:type="dxa"/>
            <w:tcBorders/>
            <w:shd w:fill="auto" w:val="clear"/>
            <w:vAlign w:val="center"/>
          </w:tcPr>
          <w:p>
            <w:pPr>
              <w:pStyle w:val="TableContents"/>
              <w:spacing w:before="0" w:after="0"/>
              <w:ind w:left="0" w:right="0" w:firstLine="30"/>
              <w:jc w:val="left"/>
              <w:rPr/>
            </w:pPr>
            <w:r>
              <w:rPr/>
              <w:t> </w:t>
            </w:r>
          </w:p>
        </w:tc>
        <w:tc>
          <w:tcPr>
            <w:tcW w:w="7567"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2013</w:t>
            </w:r>
          </w:p>
        </w:tc>
      </w:tr>
      <w:tr>
        <w:trPr/>
        <w:tc>
          <w:tcPr>
            <w:tcW w:w="2638" w:type="dxa"/>
            <w:tcBorders/>
            <w:shd w:fill="auto" w:val="clear"/>
            <w:vAlign w:val="center"/>
          </w:tcPr>
          <w:p>
            <w:pPr>
              <w:pStyle w:val="TableContents"/>
              <w:spacing w:before="0" w:after="0"/>
              <w:ind w:left="0" w:right="0" w:firstLine="30"/>
              <w:jc w:val="left"/>
              <w:rPr/>
            </w:pPr>
            <w:r>
              <w:rPr/>
              <w:t> </w:t>
            </w:r>
          </w:p>
        </w:tc>
        <w:tc>
          <w:tcPr>
            <w:tcW w:w="11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5" w:type="dxa"/>
            <w:tcBorders/>
            <w:shd w:fill="auto" w:val="clear"/>
            <w:vAlign w:val="center"/>
          </w:tcPr>
          <w:p>
            <w:pPr>
              <w:pStyle w:val="TableContents"/>
              <w:spacing w:before="0" w:after="0"/>
              <w:ind w:left="0" w:right="0" w:firstLine="30"/>
              <w:rPr/>
            </w:pPr>
            <w:r>
              <w:rPr/>
              <w:t> </w:t>
            </w:r>
          </w:p>
        </w:tc>
        <w:tc>
          <w:tcPr>
            <w:tcW w:w="111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5" w:type="dxa"/>
            <w:tcBorders/>
            <w:shd w:fill="auto" w:val="clear"/>
            <w:vAlign w:val="center"/>
          </w:tcPr>
          <w:p>
            <w:pPr>
              <w:pStyle w:val="TableContents"/>
              <w:spacing w:before="0" w:after="0"/>
              <w:ind w:left="0" w:right="0" w:firstLine="30"/>
              <w:rPr/>
            </w:pPr>
            <w:r>
              <w:rPr/>
              <w:t> </w:t>
            </w:r>
          </w:p>
        </w:tc>
        <w:tc>
          <w:tcPr>
            <w:tcW w:w="119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5" w:type="dxa"/>
            <w:tcBorders/>
            <w:shd w:fill="auto" w:val="clear"/>
            <w:vAlign w:val="center"/>
          </w:tcPr>
          <w:p>
            <w:pPr>
              <w:pStyle w:val="TableContents"/>
              <w:spacing w:before="0" w:after="0"/>
              <w:ind w:left="0" w:right="0" w:firstLine="30"/>
              <w:rPr/>
            </w:pPr>
            <w:r>
              <w:rPr/>
              <w:t> </w:t>
            </w:r>
          </w:p>
        </w:tc>
        <w:tc>
          <w:tcPr>
            <w:tcW w:w="12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4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638" w:type="dxa"/>
            <w:tcBorders/>
            <w:shd w:fill="auto" w:val="clear"/>
            <w:vAlign w:val="center"/>
          </w:tcPr>
          <w:p>
            <w:pPr>
              <w:pStyle w:val="TableContents"/>
              <w:spacing w:before="0" w:after="0"/>
              <w:ind w:left="0" w:right="0" w:firstLine="30"/>
              <w:jc w:val="left"/>
              <w:rPr/>
            </w:pPr>
            <w:r>
              <w:rPr/>
              <w:t> </w:t>
            </w:r>
          </w:p>
        </w:tc>
        <w:tc>
          <w:tcPr>
            <w:tcW w:w="7567"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operating activities</w:t>
            </w:r>
          </w:p>
        </w:tc>
        <w:tc>
          <w:tcPr>
            <w:tcW w:w="150"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21,748</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15,497</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7"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62,170</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7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1"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99,415</w:t>
            </w:r>
          </w:p>
        </w:tc>
        <w:tc>
          <w:tcPr>
            <w:tcW w:w="13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Investing Activities:</w:t>
            </w:r>
          </w:p>
        </w:tc>
        <w:tc>
          <w:tcPr>
            <w:tcW w:w="11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9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07"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478" w:type="dxa"/>
            <w:gridSpan w:val="3"/>
            <w:tcBorders/>
            <w:shd w:fill="auto" w:val="clear"/>
            <w:vAlign w:val="center"/>
          </w:tcPr>
          <w:p>
            <w:pPr>
              <w:pStyle w:val="TableContents"/>
              <w:spacing w:before="0" w:after="0"/>
              <w:ind w:left="0" w:right="0" w:firstLine="780"/>
              <w:rPr/>
            </w:pPr>
            <w:r>
              <w:rPr/>
              <w:t> </w:t>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(499,101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(183,083</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(682,184</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9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338,112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113,070</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451,182</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Recovery of pawn loan principal through sale of forfeited collateral</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156,648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24,813</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181,461</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Additions to property and equipment</w:t>
            </w:r>
          </w:p>
        </w:tc>
        <w:tc>
          <w:tcPr>
            <w:tcW w:w="9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(22,064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(11,287</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(33,351</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Acquisitions, net of cash acquired</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(11,161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(3,779</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(14,940</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3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Proceeds on advances to subsidiaries</w:t>
            </w:r>
          </w:p>
        </w:tc>
        <w:tc>
          <w:tcPr>
            <w:tcW w:w="9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22,220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(22,220</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shd w:fill="auto" w:val="clear"/>
            <w:vAlign w:val="center"/>
          </w:tcPr>
          <w:p>
            <w:pPr>
              <w:pStyle w:val="TableContents"/>
              <w:spacing w:before="0" w:after="0"/>
              <w:jc w:val="right"/>
              <w:rPr/>
            </w:pPr>
            <w:r>
              <w:rPr/>
              <w:t>—</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Advances to subsidiaries</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(16,293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19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16,293</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shd w:fill="CCEEFF" w:val="clear"/>
            <w:vAlign w:val="center"/>
          </w:tcPr>
          <w:p>
            <w:pPr>
              <w:pStyle w:val="TableContents"/>
              <w:spacing w:before="0" w:after="0"/>
              <w:jc w:val="right"/>
              <w:rPr/>
            </w:pPr>
            <w:r>
              <w:rPr/>
              <w:t>—</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 in unconsolidated affiliates</w:t>
            </w:r>
          </w:p>
        </w:tc>
        <w:tc>
          <w:tcPr>
            <w:tcW w:w="9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(11,018</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(11,018</w:t>
            </w:r>
          </w:p>
        </w:tc>
        <w:tc>
          <w:tcPr>
            <w:tcW w:w="1367"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263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cash used in investing activities</w:t>
            </w:r>
          </w:p>
        </w:tc>
        <w:tc>
          <w:tcPr>
            <w:tcW w:w="15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3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(11,018</w:t>
            </w:r>
          </w:p>
        </w:tc>
        <w:tc>
          <w:tcPr>
            <w:tcW w:w="13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5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3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(31,639</w:t>
            </w:r>
          </w:p>
        </w:tc>
        <w:tc>
          <w:tcPr>
            <w:tcW w:w="13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(60,266</w:t>
            </w:r>
          </w:p>
        </w:tc>
        <w:tc>
          <w:tcPr>
            <w:tcW w:w="14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7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7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(5,927</w:t>
            </w:r>
          </w:p>
        </w:tc>
        <w:tc>
          <w:tcPr>
            <w:tcW w:w="16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shd w:fill="CCEEFF" w:val="clear"/>
            <w:vAlign w:val="center"/>
          </w:tcPr>
          <w:p>
            <w:pPr>
              <w:pStyle w:val="TableContents"/>
              <w:spacing w:before="0" w:after="0"/>
              <w:jc w:val="right"/>
              <w:rPr>
                <w:rFonts w:ascii="inherit" w:hAnsi="inherit"/>
                <w:sz w:val="17"/>
              </w:rPr>
            </w:pPr>
            <w:r>
              <w:rPr>
                <w:rFonts w:ascii="inherit" w:hAnsi="inherit"/>
                <w:sz w:val="17"/>
              </w:rPr>
              <w:t>(108,850</w:t>
            </w:r>
          </w:p>
        </w:tc>
        <w:tc>
          <w:tcPr>
            <w:tcW w:w="13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Financing Activities:</w:t>
            </w:r>
          </w:p>
        </w:tc>
        <w:tc>
          <w:tcPr>
            <w:tcW w:w="11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9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07"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478" w:type="dxa"/>
            <w:gridSpan w:val="3"/>
            <w:tcBorders/>
            <w:shd w:fill="auto" w:val="clear"/>
            <w:vAlign w:val="center"/>
          </w:tcPr>
          <w:p>
            <w:pPr>
              <w:pStyle w:val="TableContents"/>
              <w:spacing w:before="0" w:after="0"/>
              <w:ind w:left="0" w:right="0" w:firstLine="780"/>
              <w:rPr/>
            </w:pPr>
            <w:r>
              <w:rPr/>
              <w:t> </w:t>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exercise of stock options</w:t>
            </w:r>
          </w:p>
        </w:tc>
        <w:tc>
          <w:tcPr>
            <w:tcW w:w="9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 from stock compensation</w:t>
            </w:r>
          </w:p>
        </w:tc>
        <w:tc>
          <w:tcPr>
            <w:tcW w:w="9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321</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Taxes paid related to net share settlement of equity awards</w:t>
            </w:r>
          </w:p>
        </w:tc>
        <w:tc>
          <w:tcPr>
            <w:tcW w:w="9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(3,596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(3,596</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restricted cash</w:t>
            </w:r>
          </w:p>
        </w:tc>
        <w:tc>
          <w:tcPr>
            <w:tcW w:w="9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revolving line of credit</w:t>
            </w:r>
          </w:p>
        </w:tc>
        <w:tc>
          <w:tcPr>
            <w:tcW w:w="9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377,300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25,831</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403,131</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revolving line of credit</w:t>
            </w:r>
          </w:p>
        </w:tc>
        <w:tc>
          <w:tcPr>
            <w:tcW w:w="9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(384,800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(1,164</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(385,964</w:t>
            </w:r>
          </w:p>
        </w:tc>
        <w:tc>
          <w:tcPr>
            <w:tcW w:w="136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bank borrowings</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37,930</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(16,293</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21,637</w:t>
            </w:r>
          </w:p>
        </w:tc>
        <w:tc>
          <w:tcPr>
            <w:tcW w:w="136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bank borrowings and capital lease obligations</w:t>
            </w:r>
          </w:p>
        </w:tc>
        <w:tc>
          <w:tcPr>
            <w:tcW w:w="98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(300</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(49,921</w:t>
            </w:r>
          </w:p>
        </w:tc>
        <w:tc>
          <w:tcPr>
            <w:tcW w:w="14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22,220</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(28,001</w:t>
            </w:r>
          </w:p>
        </w:tc>
        <w:tc>
          <w:tcPr>
            <w:tcW w:w="1367"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financing activities</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30" w:type="dxa"/>
            <w:tcBorders/>
            <w:shd w:fill="CCEEFF" w:val="clear"/>
            <w:vAlign w:val="center"/>
          </w:tcPr>
          <w:p>
            <w:pPr>
              <w:pStyle w:val="TableContents"/>
              <w:spacing w:before="0" w:after="0"/>
              <w:jc w:val="right"/>
              <w:rPr>
                <w:rFonts w:ascii="inherit" w:hAnsi="inherit"/>
                <w:sz w:val="17"/>
              </w:rPr>
            </w:pPr>
            <w:r>
              <w:rPr>
                <w:rFonts w:ascii="inherit" w:hAnsi="inherit"/>
                <w:sz w:val="17"/>
              </w:rPr>
              <w:t>(10,730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30" w:type="dxa"/>
            <w:tcBorders/>
            <w:shd w:fill="CCEEFF" w:val="clear"/>
            <w:vAlign w:val="center"/>
          </w:tcPr>
          <w:p>
            <w:pPr>
              <w:pStyle w:val="TableContents"/>
              <w:spacing w:before="0" w:after="0"/>
              <w:jc w:val="right"/>
              <w:rPr>
                <w:rFonts w:ascii="inherit" w:hAnsi="inherit"/>
                <w:sz w:val="17"/>
              </w:rPr>
            </w:pPr>
            <w:r>
              <w:rPr>
                <w:rFonts w:ascii="inherit" w:hAnsi="inherit"/>
                <w:sz w:val="17"/>
              </w:rPr>
              <w:t>(300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shd w:fill="CCEEFF" w:val="clear"/>
            <w:vAlign w:val="center"/>
          </w:tcPr>
          <w:p>
            <w:pPr>
              <w:pStyle w:val="TableContents"/>
              <w:spacing w:before="0" w:after="0"/>
              <w:jc w:val="right"/>
              <w:rPr>
                <w:rFonts w:ascii="inherit" w:hAnsi="inherit"/>
                <w:sz w:val="17"/>
              </w:rPr>
            </w:pPr>
            <w:r>
              <w:rPr>
                <w:rFonts w:ascii="inherit" w:hAnsi="inherit"/>
                <w:sz w:val="17"/>
              </w:rPr>
              <w:t>12,772</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7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1" w:type="dxa"/>
            <w:tcBorders/>
            <w:shd w:fill="CCEEFF" w:val="clear"/>
            <w:vAlign w:val="center"/>
          </w:tcPr>
          <w:p>
            <w:pPr>
              <w:pStyle w:val="TableContents"/>
              <w:spacing w:before="0" w:after="0"/>
              <w:jc w:val="right"/>
              <w:rPr>
                <w:rFonts w:ascii="inherit" w:hAnsi="inherit"/>
                <w:sz w:val="17"/>
              </w:rPr>
            </w:pPr>
            <w:r>
              <w:rPr>
                <w:rFonts w:ascii="inherit" w:hAnsi="inherit"/>
                <w:sz w:val="17"/>
              </w:rPr>
              <w:t>5,927</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shd w:fill="CCEEFF" w:val="clear"/>
            <w:vAlign w:val="center"/>
          </w:tcPr>
          <w:p>
            <w:pPr>
              <w:pStyle w:val="TableContents"/>
              <w:spacing w:before="0" w:after="0"/>
              <w:jc w:val="right"/>
              <w:rPr>
                <w:rFonts w:ascii="inherit" w:hAnsi="inherit"/>
                <w:sz w:val="17"/>
              </w:rPr>
            </w:pPr>
            <w:r>
              <w:rPr>
                <w:rFonts w:ascii="inherit" w:hAnsi="inherit"/>
                <w:sz w:val="17"/>
              </w:rPr>
              <w:t>7,669</w:t>
            </w:r>
          </w:p>
        </w:tc>
        <w:tc>
          <w:tcPr>
            <w:tcW w:w="13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exchange rate changes on cash and cash equivalents</w:t>
            </w:r>
          </w:p>
        </w:tc>
        <w:tc>
          <w:tcPr>
            <w:tcW w:w="98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(756</w:t>
            </w:r>
          </w:p>
        </w:tc>
        <w:tc>
          <w:tcPr>
            <w:tcW w:w="14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(756</w:t>
            </w:r>
          </w:p>
        </w:tc>
        <w:tc>
          <w:tcPr>
            <w:tcW w:w="13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3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decrease in cash and cash equivalents</w:t>
            </w:r>
          </w:p>
        </w:tc>
        <w:tc>
          <w:tcPr>
            <w:tcW w:w="9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98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(16,442</w:t>
            </w:r>
          </w:p>
        </w:tc>
        <w:tc>
          <w:tcPr>
            <w:tcW w:w="13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5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13,920</w:t>
            </w:r>
          </w:p>
        </w:tc>
        <w:tc>
          <w:tcPr>
            <w:tcW w:w="1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47"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6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1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(2,522</w:t>
            </w:r>
          </w:p>
        </w:tc>
        <w:tc>
          <w:tcPr>
            <w:tcW w:w="136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period</w:t>
            </w:r>
          </w:p>
        </w:tc>
        <w:tc>
          <w:tcPr>
            <w:tcW w:w="9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703</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27,686</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20,088</w:t>
            </w:r>
          </w:p>
        </w:tc>
        <w:tc>
          <w:tcPr>
            <w:tcW w:w="1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4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1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48,477</w:t>
            </w:r>
          </w:p>
        </w:tc>
        <w:tc>
          <w:tcPr>
            <w:tcW w:w="13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period</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703</w:t>
            </w:r>
          </w:p>
        </w:tc>
        <w:tc>
          <w:tcPr>
            <w:tcW w:w="1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11,244</w:t>
            </w:r>
          </w:p>
        </w:tc>
        <w:tc>
          <w:tcPr>
            <w:tcW w:w="13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34,008</w:t>
            </w:r>
          </w:p>
        </w:tc>
        <w:tc>
          <w:tcPr>
            <w:tcW w:w="14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7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6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45,955</w:t>
            </w:r>
          </w:p>
        </w:tc>
        <w:tc>
          <w:tcPr>
            <w:tcW w:w="136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lineRule="auto" w:line="288" w:before="0" w:after="0"/>
        <w:rPr/>
      </w:pPr>
      <w:hyperlink w:anchor="s6341541F7667DB742175CD29235C3997">
        <w:bookmarkStart w:id="40" w:name="s2841D07A93B94E6A14D7CD28FA42069A11"/>
        <w:bookmarkEnd w:id="40"/>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565"/>
        <w:gridCol w:w="151"/>
        <w:gridCol w:w="893"/>
        <w:gridCol w:w="136"/>
        <w:gridCol w:w="116"/>
        <w:gridCol w:w="151"/>
        <w:gridCol w:w="836"/>
        <w:gridCol w:w="136"/>
        <w:gridCol w:w="116"/>
        <w:gridCol w:w="151"/>
        <w:gridCol w:w="884"/>
        <w:gridCol w:w="138"/>
        <w:gridCol w:w="116"/>
        <w:gridCol w:w="177"/>
        <w:gridCol w:w="878"/>
        <w:gridCol w:w="160"/>
        <w:gridCol w:w="116"/>
        <w:gridCol w:w="151"/>
        <w:gridCol w:w="968"/>
        <w:gridCol w:w="1366"/>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56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65" w:type="dxa"/>
            <w:tcBorders/>
            <w:shd w:fill="auto" w:val="clear"/>
            <w:vAlign w:val="center"/>
          </w:tcPr>
          <w:p>
            <w:pPr>
              <w:pStyle w:val="TableContents"/>
              <w:spacing w:before="0" w:after="0"/>
              <w:ind w:left="0" w:right="0" w:firstLine="30"/>
              <w:jc w:val="left"/>
              <w:rPr/>
            </w:pPr>
            <w:r>
              <w:rPr/>
              <w:t> </w:t>
            </w:r>
          </w:p>
        </w:tc>
        <w:tc>
          <w:tcPr>
            <w:tcW w:w="764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2565" w:type="dxa"/>
            <w:tcBorders/>
            <w:shd w:fill="auto" w:val="clear"/>
            <w:vAlign w:val="center"/>
          </w:tcPr>
          <w:p>
            <w:pPr>
              <w:pStyle w:val="TableContents"/>
              <w:spacing w:before="0" w:after="0"/>
              <w:ind w:left="0" w:right="0" w:firstLine="30"/>
              <w:jc w:val="left"/>
              <w:rPr/>
            </w:pPr>
            <w:r>
              <w:rPr/>
              <w:t> </w:t>
            </w:r>
          </w:p>
        </w:tc>
        <w:tc>
          <w:tcPr>
            <w:tcW w:w="11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6" w:type="dxa"/>
            <w:tcBorders/>
            <w:shd w:fill="auto" w:val="clear"/>
            <w:vAlign w:val="center"/>
          </w:tcPr>
          <w:p>
            <w:pPr>
              <w:pStyle w:val="TableContents"/>
              <w:spacing w:before="0" w:after="0"/>
              <w:ind w:left="0" w:right="0" w:firstLine="30"/>
              <w:rPr/>
            </w:pPr>
            <w:r>
              <w:rPr/>
              <w:t> </w:t>
            </w:r>
          </w:p>
        </w:tc>
        <w:tc>
          <w:tcPr>
            <w:tcW w:w="112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6" w:type="dxa"/>
            <w:tcBorders/>
            <w:shd w:fill="auto" w:val="clear"/>
            <w:vAlign w:val="center"/>
          </w:tcPr>
          <w:p>
            <w:pPr>
              <w:pStyle w:val="TableContents"/>
              <w:spacing w:before="0" w:after="0"/>
              <w:ind w:left="0" w:right="0" w:firstLine="30"/>
              <w:rPr/>
            </w:pPr>
            <w:r>
              <w:rPr/>
              <w:t> </w:t>
            </w:r>
          </w:p>
        </w:tc>
        <w:tc>
          <w:tcPr>
            <w:tcW w:w="117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6" w:type="dxa"/>
            <w:tcBorders/>
            <w:shd w:fill="auto" w:val="clear"/>
            <w:vAlign w:val="center"/>
          </w:tcPr>
          <w:p>
            <w:pPr>
              <w:pStyle w:val="TableContents"/>
              <w:spacing w:before="0" w:after="0"/>
              <w:ind w:left="0" w:right="0" w:firstLine="30"/>
              <w:rPr/>
            </w:pPr>
            <w:r>
              <w:rPr/>
              <w:t> </w:t>
            </w:r>
          </w:p>
        </w:tc>
        <w:tc>
          <w:tcPr>
            <w:tcW w:w="12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4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565" w:type="dxa"/>
            <w:tcBorders/>
            <w:shd w:fill="auto" w:val="clear"/>
            <w:vAlign w:val="center"/>
          </w:tcPr>
          <w:p>
            <w:pPr>
              <w:pStyle w:val="TableContents"/>
              <w:spacing w:before="0" w:after="0"/>
              <w:ind w:left="0" w:right="0" w:firstLine="30"/>
              <w:jc w:val="left"/>
              <w:rPr/>
            </w:pPr>
            <w:r>
              <w:rPr/>
              <w:t> </w:t>
            </w:r>
          </w:p>
        </w:tc>
        <w:tc>
          <w:tcPr>
            <w:tcW w:w="7640"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operating activities</w:t>
            </w:r>
          </w:p>
        </w:tc>
        <w:tc>
          <w:tcPr>
            <w:tcW w:w="151"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(97,573</w:t>
            </w:r>
          </w:p>
        </w:tc>
        <w:tc>
          <w:tcPr>
            <w:tcW w:w="13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51"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98,558</w:t>
            </w:r>
          </w:p>
        </w:tc>
        <w:tc>
          <w:tcPr>
            <w:tcW w:w="1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108,707</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77"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109,692</w:t>
            </w:r>
          </w:p>
        </w:tc>
        <w:tc>
          <w:tcPr>
            <w:tcW w:w="13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Investing Activities:</w:t>
            </w:r>
          </w:p>
        </w:tc>
        <w:tc>
          <w:tcPr>
            <w:tcW w:w="1180"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123"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2485" w:type="dxa"/>
            <w:gridSpan w:val="3"/>
            <w:tcBorders/>
            <w:shd w:fill="auto" w:val="clear"/>
            <w:vAlign w:val="center"/>
          </w:tcPr>
          <w:p>
            <w:pPr>
              <w:pStyle w:val="TableContents"/>
              <w:spacing w:before="0" w:after="0"/>
              <w:ind w:left="0" w:right="0" w:firstLine="780"/>
              <w:rPr/>
            </w:pPr>
            <w:r>
              <w:rPr/>
              <w:t> </w:t>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044"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(461,023</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(110,660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(571,683</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044"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304,029</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78,825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382,854</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Recovery of pawn loan principal through sale of forfeited collateral</w:t>
            </w:r>
          </w:p>
        </w:tc>
        <w:tc>
          <w:tcPr>
            <w:tcW w:w="1044"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159,913</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19,768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179,681</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6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Additions to property and equipment</w:t>
            </w:r>
          </w:p>
        </w:tc>
        <w:tc>
          <w:tcPr>
            <w:tcW w:w="1044"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(21,427</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(11,766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(33,193</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Acquisitions, net of cash acquired</w:t>
            </w:r>
          </w:p>
        </w:tc>
        <w:tc>
          <w:tcPr>
            <w:tcW w:w="1044"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(62,504</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(62,745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(125,249</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Advances to subsidiaries</w:t>
            </w:r>
          </w:p>
        </w:tc>
        <w:tc>
          <w:tcPr>
            <w:tcW w:w="104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36" w:type="dxa"/>
            <w:tcBorders/>
            <w:shd w:fill="auto" w:val="clear"/>
            <w:vAlign w:val="center"/>
          </w:tcPr>
          <w:p>
            <w:pPr>
              <w:pStyle w:val="TableContents"/>
              <w:spacing w:before="0" w:after="0"/>
              <w:jc w:val="right"/>
              <w:rPr>
                <w:rFonts w:ascii="inherit" w:hAnsi="inherit"/>
                <w:sz w:val="17"/>
              </w:rPr>
            </w:pPr>
            <w:r>
              <w:rPr>
                <w:rFonts w:ascii="inherit" w:hAnsi="inherit"/>
                <w:sz w:val="17"/>
              </w:rPr>
              <w:t>(9,664</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9,664</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51"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6"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investing activities</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3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(90,676</w:t>
            </w:r>
          </w:p>
        </w:tc>
        <w:tc>
          <w:tcPr>
            <w:tcW w:w="136"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(86,578</w:t>
            </w:r>
          </w:p>
        </w:tc>
        <w:tc>
          <w:tcPr>
            <w:tcW w:w="13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7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9,664</w:t>
            </w:r>
          </w:p>
        </w:tc>
        <w:tc>
          <w:tcPr>
            <w:tcW w:w="16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8" w:type="dxa"/>
            <w:tcBorders/>
            <w:shd w:fill="CCEEFF" w:val="clear"/>
            <w:vAlign w:val="center"/>
          </w:tcPr>
          <w:p>
            <w:pPr>
              <w:pStyle w:val="TableContents"/>
              <w:spacing w:before="0" w:after="0"/>
              <w:jc w:val="right"/>
              <w:rPr>
                <w:rFonts w:ascii="inherit" w:hAnsi="inherit"/>
                <w:sz w:val="17"/>
              </w:rPr>
            </w:pPr>
            <w:r>
              <w:rPr>
                <w:rFonts w:ascii="inherit" w:hAnsi="inherit"/>
                <w:sz w:val="17"/>
              </w:rPr>
              <w:t>(167,590</w:t>
            </w:r>
          </w:p>
        </w:tc>
        <w:tc>
          <w:tcPr>
            <w:tcW w:w="1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Financing Activities:</w:t>
            </w:r>
          </w:p>
        </w:tc>
        <w:tc>
          <w:tcPr>
            <w:tcW w:w="1180"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123"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173"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2485" w:type="dxa"/>
            <w:gridSpan w:val="3"/>
            <w:tcBorders/>
            <w:shd w:fill="auto" w:val="clear"/>
            <w:vAlign w:val="center"/>
          </w:tcPr>
          <w:p>
            <w:pPr>
              <w:pStyle w:val="TableContents"/>
              <w:spacing w:before="0" w:after="0"/>
              <w:ind w:left="0" w:right="0" w:firstLine="780"/>
              <w:rPr/>
            </w:pPr>
            <w:r>
              <w:rPr/>
              <w:t> </w:t>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exercise of stock options</w:t>
            </w:r>
          </w:p>
        </w:tc>
        <w:tc>
          <w:tcPr>
            <w:tcW w:w="10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647</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7"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647</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 from stock compensation</w:t>
            </w:r>
          </w:p>
        </w:tc>
        <w:tc>
          <w:tcPr>
            <w:tcW w:w="10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1,582</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7"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1,582</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Taxes paid related to net share settlement of equity awards</w:t>
            </w:r>
          </w:p>
        </w:tc>
        <w:tc>
          <w:tcPr>
            <w:tcW w:w="10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(1,153</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987"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(1,153</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restricted cash</w:t>
            </w:r>
          </w:p>
        </w:tc>
        <w:tc>
          <w:tcPr>
            <w:tcW w:w="1044"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7"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(1,085</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on revolving line of credit</w:t>
            </w:r>
          </w:p>
        </w:tc>
        <w:tc>
          <w:tcPr>
            <w:tcW w:w="10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590,700</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7"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4,109</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594,809</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revolving line of credit</w:t>
            </w:r>
          </w:p>
        </w:tc>
        <w:tc>
          <w:tcPr>
            <w:tcW w:w="10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(493,500</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987"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(9,075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(502,575</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56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Proceeds from bank borrowings</w:t>
            </w:r>
          </w:p>
        </w:tc>
        <w:tc>
          <w:tcPr>
            <w:tcW w:w="1044"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7"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10,007</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(9,664</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343</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56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Payments on bank borrowings and capital lease obligations</w:t>
            </w:r>
          </w:p>
        </w:tc>
        <w:tc>
          <w:tcPr>
            <w:tcW w:w="104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w:t>
            </w:r>
          </w:p>
        </w:tc>
        <w:tc>
          <w:tcPr>
            <w:tcW w:w="13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(8,096</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(8,164</w:t>
            </w:r>
          </w:p>
        </w:tc>
        <w:tc>
          <w:tcPr>
            <w:tcW w:w="1366"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financing activities</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shd w:fill="CCEEFF" w:val="clear"/>
            <w:vAlign w:val="center"/>
          </w:tcPr>
          <w:p>
            <w:pPr>
              <w:pStyle w:val="TableContents"/>
              <w:spacing w:before="0" w:after="0"/>
              <w:jc w:val="right"/>
              <w:rPr>
                <w:rFonts w:ascii="inherit" w:hAnsi="inherit"/>
                <w:sz w:val="17"/>
              </w:rPr>
            </w:pPr>
            <w:r>
              <w:rPr>
                <w:rFonts w:ascii="inherit" w:hAnsi="inherit"/>
                <w:sz w:val="17"/>
              </w:rPr>
              <w:t>98,276</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36" w:type="dxa"/>
            <w:tcBorders/>
            <w:shd w:fill="CCEEFF" w:val="clear"/>
            <w:vAlign w:val="center"/>
          </w:tcPr>
          <w:p>
            <w:pPr>
              <w:pStyle w:val="TableContents"/>
              <w:spacing w:before="0" w:after="0"/>
              <w:jc w:val="right"/>
              <w:rPr>
                <w:rFonts w:ascii="inherit" w:hAnsi="inherit"/>
                <w:sz w:val="17"/>
              </w:rPr>
            </w:pPr>
            <w:r>
              <w:rPr>
                <w:rFonts w:ascii="inherit" w:hAnsi="inherit"/>
                <w:sz w:val="17"/>
              </w:rPr>
              <w:t>(68</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shd w:fill="CCEEFF" w:val="clear"/>
            <w:vAlign w:val="center"/>
          </w:tcPr>
          <w:p>
            <w:pPr>
              <w:pStyle w:val="TableContents"/>
              <w:spacing w:before="0" w:after="0"/>
              <w:jc w:val="right"/>
              <w:rPr>
                <w:rFonts w:ascii="inherit" w:hAnsi="inherit"/>
                <w:sz w:val="17"/>
              </w:rPr>
            </w:pPr>
            <w:r>
              <w:rPr>
                <w:rFonts w:ascii="inherit" w:hAnsi="inherit"/>
                <w:sz w:val="17"/>
              </w:rPr>
              <w:t>(4,140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(9,664</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8" w:type="dxa"/>
            <w:tcBorders/>
            <w:shd w:fill="CCEEFF" w:val="clear"/>
            <w:vAlign w:val="center"/>
          </w:tcPr>
          <w:p>
            <w:pPr>
              <w:pStyle w:val="TableContents"/>
              <w:spacing w:before="0" w:after="0"/>
              <w:jc w:val="right"/>
              <w:rPr>
                <w:rFonts w:ascii="inherit" w:hAnsi="inherit"/>
                <w:sz w:val="17"/>
              </w:rPr>
            </w:pPr>
            <w:r>
              <w:rPr>
                <w:rFonts w:ascii="inherit" w:hAnsi="inherit"/>
                <w:sz w:val="17"/>
              </w:rPr>
              <w:t>84,404</w:t>
            </w:r>
          </w:p>
        </w:tc>
        <w:tc>
          <w:tcPr>
            <w:tcW w:w="1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exchange rate changes on cash and cash equivalents</w:t>
            </w:r>
          </w:p>
        </w:tc>
        <w:tc>
          <w:tcPr>
            <w:tcW w:w="104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299</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299</w:t>
            </w:r>
          </w:p>
        </w:tc>
        <w:tc>
          <w:tcPr>
            <w:tcW w:w="13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increase in cash and cash equivalents</w:t>
            </w:r>
          </w:p>
        </w:tc>
        <w:tc>
          <w:tcPr>
            <w:tcW w:w="10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703</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7,814</w:t>
            </w:r>
          </w:p>
        </w:tc>
        <w:tc>
          <w:tcPr>
            <w:tcW w:w="13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3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18,288</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26,805</w:t>
            </w:r>
          </w:p>
        </w:tc>
        <w:tc>
          <w:tcPr>
            <w:tcW w:w="1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period</w:t>
            </w:r>
          </w:p>
        </w:tc>
        <w:tc>
          <w:tcPr>
            <w:tcW w:w="104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20,860</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3,109</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23,969</w:t>
            </w:r>
          </w:p>
        </w:tc>
        <w:tc>
          <w:tcPr>
            <w:tcW w:w="13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period</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703</w:t>
            </w:r>
          </w:p>
        </w:tc>
        <w:tc>
          <w:tcPr>
            <w:tcW w:w="13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28,674</w:t>
            </w:r>
          </w:p>
        </w:tc>
        <w:tc>
          <w:tcPr>
            <w:tcW w:w="1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21,397</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16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50,774</w:t>
            </w:r>
          </w:p>
        </w:tc>
        <w:tc>
          <w:tcPr>
            <w:tcW w:w="136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lineRule="auto" w:line="288" w:before="0" w:after="0"/>
        <w:rPr/>
      </w:pPr>
      <w:hyperlink w:anchor="s6341541F7667DB742175CD29235C3997">
        <w:bookmarkStart w:id="41" w:name="s190571EFB5173E9157F7CD28FA1E8BBD"/>
        <w:bookmarkEnd w:id="41"/>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trike w:val="false"/>
          <w:dstrike w:val="false"/>
          <w:color w:val="000000"/>
          <w:sz w:val="17"/>
          <w:u w:val="none"/>
          <w:effect w:val="none"/>
        </w:rPr>
        <w:t>NOTE 17: SUPPLEMENTAL CONSOLIDATED FINANCIAL INFORMATION</w:t>
      </w:r>
      <w:r>
        <w:rPr>
          <w:sz w:val="17"/>
        </w:rPr>
        <w:t xml:space="preserve"> </w:t>
      </w:r>
    </w:p>
    <w:p>
      <w:pPr>
        <w:pStyle w:val="TextBody"/>
        <w:spacing w:lineRule="auto" w:line="288" w:before="0" w:after="0"/>
        <w:rPr>
          <w:rFonts w:ascii="inherit" w:hAnsi="inherit"/>
          <w:sz w:val="17"/>
          <w:u w:val="single"/>
        </w:rPr>
      </w:pPr>
      <w:r>
        <w:rPr>
          <w:rFonts w:ascii="inherit" w:hAnsi="inherit"/>
          <w:sz w:val="17"/>
          <w:u w:val="single"/>
        </w:rPr>
        <w:t>Supplemental Consolidated Statements of Financial Position Information:</w:t>
      </w:r>
    </w:p>
    <w:p>
      <w:pPr>
        <w:pStyle w:val="TextBody"/>
        <w:spacing w:lineRule="auto" w:line="288" w:before="0" w:after="0"/>
        <w:rPr>
          <w:rFonts w:ascii="inherit" w:hAnsi="inherit"/>
          <w:sz w:val="17"/>
        </w:rPr>
      </w:pPr>
      <w:r>
        <w:rPr>
          <w:rFonts w:ascii="inherit" w:hAnsi="inherit"/>
          <w:sz w:val="17"/>
        </w:rPr>
        <w:t>The following table provides information on net amounts included in pawn service charges receivable, consumer loan fees, inventories and property and equipment: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571"/>
        <w:gridCol w:w="173"/>
        <w:gridCol w:w="1212"/>
        <w:gridCol w:w="159"/>
        <w:gridCol w:w="140"/>
        <w:gridCol w:w="173"/>
        <w:gridCol w:w="1212"/>
        <w:gridCol w:w="159"/>
        <w:gridCol w:w="140"/>
        <w:gridCol w:w="173"/>
        <w:gridCol w:w="1212"/>
        <w:gridCol w:w="88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57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71" w:type="dxa"/>
            <w:tcBorders/>
            <w:shd w:fill="auto" w:val="clear"/>
            <w:vAlign w:val="center"/>
          </w:tcPr>
          <w:p>
            <w:pPr>
              <w:pStyle w:val="TableContents"/>
              <w:spacing w:before="0" w:after="0"/>
              <w:ind w:left="0" w:right="0" w:firstLine="30"/>
              <w:jc w:val="left"/>
              <w:rPr/>
            </w:pPr>
            <w:r>
              <w:rPr/>
              <w:t> </w:t>
            </w:r>
          </w:p>
        </w:tc>
        <w:tc>
          <w:tcPr>
            <w:tcW w:w="322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4571" w:type="dxa"/>
            <w:tcBorders/>
            <w:shd w:fill="auto" w:val="clear"/>
            <w:vAlign w:val="center"/>
          </w:tcPr>
          <w:p>
            <w:pPr>
              <w:pStyle w:val="TableContents"/>
              <w:spacing w:before="0" w:after="0"/>
              <w:ind w:left="0" w:right="0" w:firstLine="30"/>
              <w:jc w:val="left"/>
              <w:rPr/>
            </w:pPr>
            <w:r>
              <w:rPr/>
              <w:t> </w:t>
            </w:r>
          </w:p>
        </w:tc>
        <w:tc>
          <w:tcPr>
            <w:tcW w:w="15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571" w:type="dxa"/>
            <w:tcBorders/>
            <w:shd w:fill="auto" w:val="clear"/>
            <w:vAlign w:val="center"/>
          </w:tcPr>
          <w:p>
            <w:pPr>
              <w:pStyle w:val="TableContents"/>
              <w:spacing w:before="0" w:after="0"/>
              <w:ind w:left="0" w:right="0" w:firstLine="30"/>
              <w:jc w:val="left"/>
              <w:rPr/>
            </w:pPr>
            <w:r>
              <w:rPr/>
              <w:t> </w:t>
            </w:r>
          </w:p>
        </w:tc>
        <w:tc>
          <w:tcPr>
            <w:tcW w:w="563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pawn service charges receivable</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38,681</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37,127</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40,828</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(10,091</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(11,035</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(11,427</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28,590</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26,092</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29,401</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consumer loan fees receivable</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37,161</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30,097</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34,846</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consumer loan fees receivable</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(1,551</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(4,368</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(4,430</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35,610</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25,729</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30,416</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gross</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128,270</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100,970</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114,788</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reserves</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(5,767</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(6,549</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(5,574</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122,503</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94,421</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109,214</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top w:val="double" w:sz="6" w:space="0" w:color="000000"/>
            </w:tcBorders>
            <w:shd w:fill="auto" w:val="clear"/>
            <w:tcMar>
              <w:top w:w="30" w:type="dxa"/>
            </w:tcM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gross</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280,169</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245,533</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260,379</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depreciation</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(169,857</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(145,291</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(152,248</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110,312</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100,242</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108,131</w:t>
            </w:r>
          </w:p>
        </w:tc>
        <w:tc>
          <w:tcPr>
            <w:tcW w:w="88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Property and equipment at </w:t>
      </w:r>
      <w:r>
        <w:rPr>
          <w:rFonts w:ascii="inherit" w:hAnsi="inherit"/>
          <w:strike w:val="false"/>
          <w:dstrike w:val="false"/>
          <w:color w:val="000000"/>
          <w:sz w:val="17"/>
          <w:u w:val="none"/>
          <w:effect w:val="none"/>
        </w:rPr>
        <w:t>June 30, 2013</w:t>
      </w:r>
      <w:r>
        <w:rPr>
          <w:rFonts w:ascii="inherit" w:hAnsi="inherit"/>
          <w:sz w:val="17"/>
        </w:rPr>
        <w:t xml:space="preserve">,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includes $</w:t>
      </w:r>
      <w:r>
        <w:rPr>
          <w:rFonts w:ascii="inherit" w:hAnsi="inherit"/>
          <w:strike w:val="false"/>
          <w:dstrike w:val="false"/>
          <w:color w:val="000000"/>
          <w:sz w:val="17"/>
          <w:u w:val="none"/>
          <w:effect w:val="none"/>
        </w:rPr>
        <w:t>1.6 million</w:t>
      </w:r>
      <w:r>
        <w:rPr>
          <w:rFonts w:ascii="inherit" w:hAnsi="inherit"/>
          <w:sz w:val="17"/>
        </w:rPr>
        <w:t xml:space="preserve">,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$1.6 million</w:t>
      </w:r>
      <w:r>
        <w:rPr>
          <w:sz w:val="17"/>
        </w:rPr>
        <w:t xml:space="preserve"> </w:t>
      </w:r>
      <w:r>
        <w:rPr>
          <w:rFonts w:ascii="inherit" w:hAnsi="inherit"/>
          <w:sz w:val="17"/>
        </w:rPr>
        <w:t xml:space="preserve">of equipment leased under a capital lease respectively. Amortization of equipment under capital leases is included with depreciation expense and was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for the three-month period ended </w:t>
      </w:r>
      <w:r>
        <w:rPr>
          <w:rFonts w:ascii="inherit" w:hAnsi="inherit"/>
          <w:strike w:val="false"/>
          <w:dstrike w:val="false"/>
          <w:color w:val="000000"/>
          <w:sz w:val="17"/>
          <w:u w:val="none"/>
          <w:effect w:val="none"/>
        </w:rPr>
        <w:t>June 30, 2013</w:t>
      </w:r>
      <w:r>
        <w:rPr>
          <w:rFonts w:ascii="inherit" w:hAnsi="inherit"/>
          <w:sz w:val="17"/>
        </w:rPr>
        <w:t xml:space="preserve">, </w:t>
      </w:r>
      <w:r>
        <w:rPr>
          <w:rFonts w:ascii="inherit" w:hAnsi="inherit"/>
          <w:strike w:val="false"/>
          <w:dstrike w:val="false"/>
          <w:color w:val="000000"/>
          <w:sz w:val="17"/>
          <w:u w:val="none"/>
          <w:effect w:val="none"/>
        </w:rPr>
        <w:t>$0.4 million</w:t>
      </w:r>
      <w:r>
        <w:rPr>
          <w:sz w:val="17"/>
        </w:rPr>
        <w:t xml:space="preserve"> </w:t>
      </w:r>
      <w:r>
        <w:rPr>
          <w:rFonts w:ascii="inherit" w:hAnsi="inherit"/>
          <w:sz w:val="17"/>
        </w:rPr>
        <w:t xml:space="preserve">for the nine-month period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nominal for the three and nine-month periods ended </w:t>
      </w:r>
      <w:r>
        <w:rPr>
          <w:rFonts w:ascii="inherit" w:hAnsi="inherit"/>
          <w:strike w:val="false"/>
          <w:dstrike w:val="false"/>
          <w:color w:val="000000"/>
          <w:sz w:val="17"/>
          <w:u w:val="none"/>
          <w:effect w:val="none"/>
        </w:rPr>
        <w:t>June 30, 2012</w:t>
      </w:r>
      <w:r>
        <w:rPr>
          <w:rFonts w:ascii="inherit" w:hAnsi="inherit"/>
          <w:sz w:val="17"/>
        </w:rPr>
        <w:t xml:space="preserve">. Future minimum lease payments related to capital leases are </w:t>
      </w:r>
      <w:r>
        <w:rPr>
          <w:rFonts w:ascii="inherit" w:hAnsi="inherit"/>
          <w:strike w:val="false"/>
          <w:dstrike w:val="false"/>
          <w:color w:val="000000"/>
          <w:sz w:val="17"/>
          <w:u w:val="none"/>
          <w:effect w:val="none"/>
        </w:rPr>
        <w:t>$0.6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$0.6 million</w:t>
      </w:r>
      <w:r>
        <w:rPr>
          <w:sz w:val="17"/>
        </w:rPr>
        <w:t xml:space="preserve"> </w:t>
      </w:r>
      <w:r>
        <w:rPr>
          <w:rFonts w:ascii="inherit" w:hAnsi="inherit"/>
          <w:sz w:val="17"/>
        </w:rPr>
        <w:t xml:space="preserve">due within one and two years respectively for a total of </w:t>
      </w:r>
      <w:r>
        <w:rPr>
          <w:rFonts w:ascii="inherit" w:hAnsi="inherit"/>
          <w:strike w:val="false"/>
          <w:dstrike w:val="false"/>
          <w:color w:val="000000"/>
          <w:sz w:val="17"/>
          <w:u w:val="none"/>
          <w:effect w:val="none"/>
        </w:rPr>
        <w:t>$1.2 million</w:t>
      </w:r>
      <w:r>
        <w:rPr>
          <w:rFonts w:ascii="inherit" w:hAnsi="inherit"/>
          <w:sz w:val="17"/>
        </w:rPr>
        <w:t xml:space="preserve">; of this amount,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represents interest. The present value of net minimum lease payments as of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was </w:t>
      </w:r>
      <w:r>
        <w:rPr>
          <w:rFonts w:ascii="inherit" w:hAnsi="inherit"/>
          <w:strike w:val="false"/>
          <w:dstrike w:val="false"/>
          <w:color w:val="000000"/>
          <w:sz w:val="17"/>
          <w:u w:val="none"/>
          <w:effect w:val="none"/>
        </w:rPr>
        <w:t>$1.1 million</w:t>
      </w:r>
      <w:r>
        <w:rPr>
          <w:rFonts w:ascii="inherit" w:hAnsi="inherit"/>
          <w:sz w:val="17"/>
        </w:rPr>
        <w: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u w:val="single"/>
        </w:rPr>
      </w:pPr>
      <w:r>
        <w:rPr>
          <w:rFonts w:ascii="inherit" w:hAnsi="inherit"/>
          <w:sz w:val="17"/>
          <w:u w:val="single"/>
        </w:rPr>
        <w:t>Other Supplemental Information:</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154"/>
        <w:gridCol w:w="175"/>
        <w:gridCol w:w="1201"/>
        <w:gridCol w:w="95"/>
        <w:gridCol w:w="146"/>
        <w:gridCol w:w="175"/>
        <w:gridCol w:w="1201"/>
        <w:gridCol w:w="95"/>
        <w:gridCol w:w="146"/>
        <w:gridCol w:w="175"/>
        <w:gridCol w:w="1201"/>
        <w:gridCol w:w="44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4" w:type="dxa"/>
            <w:tcBorders/>
            <w:shd w:fill="auto" w:val="clear"/>
            <w:vAlign w:val="center"/>
          </w:tcPr>
          <w:p>
            <w:pPr>
              <w:pStyle w:val="TableContents"/>
              <w:spacing w:before="0" w:after="0"/>
              <w:ind w:left="0" w:right="0" w:firstLine="30"/>
              <w:jc w:val="left"/>
              <w:rPr/>
            </w:pPr>
            <w:r>
              <w:rPr/>
              <w:t> </w:t>
            </w:r>
          </w:p>
        </w:tc>
        <w:tc>
          <w:tcPr>
            <w:tcW w:w="308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154" w:type="dxa"/>
            <w:tcBorders/>
            <w:shd w:fill="auto" w:val="clear"/>
            <w:vAlign w:val="center"/>
          </w:tcPr>
          <w:p>
            <w:pPr>
              <w:pStyle w:val="TableContents"/>
              <w:spacing w:before="0" w:after="0"/>
              <w:ind w:left="0" w:right="0" w:firstLine="30"/>
              <w:jc w:val="left"/>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6" w:type="dxa"/>
            <w:tcBorders/>
            <w:shd w:fill="auto" w:val="clear"/>
            <w:vAlign w:val="center"/>
          </w:tcPr>
          <w:p>
            <w:pPr>
              <w:pStyle w:val="TableContents"/>
              <w:spacing w:before="0" w:after="0"/>
              <w:ind w:left="0" w:right="0" w:firstLine="30"/>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154" w:type="dxa"/>
            <w:tcBorders/>
            <w:shd w:fill="auto" w:val="clear"/>
            <w:vAlign w:val="center"/>
          </w:tcPr>
          <w:p>
            <w:pPr>
              <w:pStyle w:val="TableContents"/>
              <w:spacing w:before="0" w:after="0"/>
              <w:ind w:left="0" w:right="0" w:firstLine="30"/>
              <w:jc w:val="left"/>
              <w:rPr/>
            </w:pPr>
            <w:r>
              <w:rPr/>
              <w:t> </w:t>
            </w:r>
          </w:p>
        </w:tc>
        <w:tc>
          <w:tcPr>
            <w:tcW w:w="5051" w:type="dxa"/>
            <w:gridSpan w:val="11"/>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w:t>
            </w:r>
          </w:p>
        </w:tc>
        <w:tc>
          <w:tcPr>
            <w:tcW w:w="1471"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471"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shd w:fill="auto" w:val="clear"/>
            <w:vAlign w:val="center"/>
          </w:tcPr>
          <w:p>
            <w:pPr>
              <w:pStyle w:val="TableContents"/>
              <w:spacing w:before="0" w:after="0"/>
              <w:ind w:left="0" w:right="0" w:firstLine="420"/>
              <w:rPr/>
            </w:pPr>
            <w:r>
              <w:rPr/>
              <w:t> </w:t>
            </w:r>
          </w:p>
        </w:tc>
      </w:tr>
      <w:tr>
        <w:trPr/>
        <w:tc>
          <w:tcPr>
            <w:tcW w:w="5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Expected LOC losses</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2,196</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1,775</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1,776</w:t>
            </w:r>
          </w:p>
        </w:tc>
        <w:tc>
          <w:tcPr>
            <w:tcW w:w="44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Maximum exposure for LOC losses</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28,797</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24,842</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27,373</w:t>
            </w:r>
          </w:p>
        </w:tc>
        <w:tc>
          <w:tcPr>
            <w:tcW w:w="44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bookmarkStart w:id="42" w:name="s07DE441ECDB9EABCA7E5CD28FA0086C3"/>
      <w:bookmarkEnd w:id="42"/>
      <w:r>
        <w:rPr>
          <w:rFonts w:ascii="inherit" w:hAnsi="inherit"/>
          <w:b/>
          <w:strike w:val="false"/>
          <w:dstrike w:val="false"/>
          <w:color w:val="000000"/>
          <w:sz w:val="17"/>
          <w:u w:val="none"/>
          <w:effect w:val="none"/>
        </w:rPr>
        <w:t>NOTE 18: SUBSEQUENT EVENTS</w:t>
      </w:r>
      <w:r>
        <w:rPr>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On August 1, 2013, we acquired the remaining ordinary shares in Cash Genie that were held by local management for </w:t>
      </w:r>
      <w:r>
        <w:rPr>
          <w:rFonts w:ascii="inherit" w:hAnsi="inherit"/>
          <w:strike w:val="false"/>
          <w:dstrike w:val="false"/>
          <w:color w:val="000000"/>
          <w:sz w:val="17"/>
          <w:u w:val="none"/>
          <w:effect w:val="none"/>
        </w:rPr>
        <w:t>$0.6 million</w:t>
      </w:r>
      <w:r>
        <w:rPr>
          <w:rFonts w:ascii="inherit" w:hAnsi="inherit"/>
          <w:sz w:val="17"/>
        </w:rPr>
        <w:t xml:space="preserve">. As of August 1, 2013, we own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Cash Genie's ordinary shares.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lineRule="auto" w:line="288" w:before="0" w:after="0"/>
        <w:rPr/>
      </w:pPr>
      <w:hyperlink w:anchor="s6341541F7667DB742175CD29235C3997">
        <w:bookmarkStart w:id="43" w:name="s8A8141E4A2F1E0BD2D0CCD292B4F085B"/>
        <w:bookmarkEnd w:id="43"/>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2. Management's Discussion and Analysis of Financial Condition and Results of Operations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1A—Risk Factors" of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rFonts w:ascii="inherit" w:hAnsi="inherit"/>
          <w:b/>
          <w:sz w:val="17"/>
        </w:rPr>
      </w:pPr>
      <w:bookmarkStart w:id="44" w:name="sDE2ED9A6989A5E24633FCD290A0EB9A7"/>
      <w:bookmarkEnd w:id="44"/>
      <w:r>
        <w:rPr>
          <w:rFonts w:ascii="inherit" w:hAnsi="inherit"/>
          <w:b/>
          <w:sz w:val="17"/>
        </w:rPr>
        <w:t>GENERAL</w:t>
      </w:r>
    </w:p>
    <w:p>
      <w:pPr>
        <w:pStyle w:val="TextBody"/>
        <w:spacing w:lineRule="auto" w:line="288" w:before="0" w:after="0"/>
        <w:rPr>
          <w:rFonts w:ascii="inherit" w:hAnsi="inherit"/>
          <w:b/>
          <w:sz w:val="17"/>
          <w:u w:val="single"/>
        </w:rPr>
      </w:pPr>
      <w:r>
        <w:rPr>
          <w:rFonts w:ascii="inherit" w:hAnsi="inherit"/>
          <w:b/>
          <w:sz w:val="17"/>
          <w:u w:val="single"/>
        </w:rPr>
        <w:t>Overview of Operations</w:t>
      </w:r>
    </w:p>
    <w:p>
      <w:pPr>
        <w:pStyle w:val="TextBody"/>
        <w:spacing w:lineRule="auto" w:line="288" w:before="0" w:after="0"/>
        <w:rPr>
          <w:rFonts w:ascii="inherit" w:hAnsi="inherit"/>
          <w:sz w:val="17"/>
        </w:rPr>
      </w:pPr>
      <w:r>
        <w:rPr>
          <w:rFonts w:ascii="inherit" w:hAnsi="inherit"/>
          <w:sz w:val="17"/>
        </w:rPr>
        <w:t xml:space="preserve">We are a leading provider of easy cash solutions for consumers through multiple channels: in store, online, or any combination. We provide collateralized, non-recourse loans, commonly known as pawn loans, and a variety of short-term consumer loans, including single-payment and multiple-payment unsecured loans and single-payment and multiple-payment auto title loans. In Texas, we provide fee-based credit services to customers seeking loans. At our pawn and buy/sell stores, we also sell merchandise, primarily collateral forfeited from pawn lending operations and used merchandise purchased from customers. We employ approximately 7,800 teammates at locations in the U.S., Mexico, Canada, and the United Kingdom. </w:t>
      </w:r>
    </w:p>
    <w:p>
      <w:pPr>
        <w:pStyle w:val="TextBody"/>
        <w:spacing w:lineRule="auto" w:line="288" w:before="0" w:after="0"/>
        <w:rPr>
          <w:rFonts w:ascii="inherit" w:hAnsi="inherit"/>
          <w:sz w:val="17"/>
        </w:rPr>
      </w:pPr>
      <w:r>
        <w:rPr>
          <w:rFonts w:ascii="inherit" w:hAnsi="inherit"/>
          <w:sz w:val="17"/>
        </w:rPr>
        <w:t xml:space="preserve">We own a 60% interest in Grupo Finmart, a leading provider of payroll deduction loans in Mexico; a 51% interest in TUYO, a company headquartered in Mexico City that owns and operates 19 buy/sell stores in Mexico City and the surrounding metropolitan area; and a 95% interest in Cash Genie, which offers short-term consumer loans online in the United Kingdom. On August 1, 2013 we acquired the remaining outstanding shares of Cash Genie and now own 100%. </w:t>
      </w:r>
    </w:p>
    <w:p>
      <w:pPr>
        <w:pStyle w:val="TextBody"/>
        <w:spacing w:lineRule="auto" w:line="288" w:before="0" w:after="0"/>
        <w:rPr>
          <w:rFonts w:ascii="inherit" w:hAnsi="inherit"/>
          <w:sz w:val="17"/>
        </w:rPr>
      </w:pPr>
      <w:r>
        <w:rPr>
          <w:rFonts w:ascii="inherit" w:hAnsi="inherit"/>
          <w:sz w:val="17"/>
        </w:rPr>
        <w:t>Our vision is to be the global leader in providing customers with easy cash solutions where they want, when they want and how they want, and we are making the investments in both storefronts and technology platforms to achieve that vision. </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2013</w:t>
      </w:r>
      <w:r>
        <w:rPr>
          <w:rFonts w:ascii="inherit" w:hAnsi="inherit"/>
          <w:sz w:val="17"/>
        </w:rPr>
        <w:t xml:space="preserve">, we operated a total of </w:t>
      </w:r>
      <w:r>
        <w:rPr>
          <w:rFonts w:ascii="inherit" w:hAnsi="inherit"/>
          <w:strike w:val="false"/>
          <w:dstrike w:val="false"/>
          <w:color w:val="000000"/>
          <w:sz w:val="17"/>
          <w:u w:val="none"/>
          <w:effect w:val="none"/>
        </w:rPr>
        <w:t>1,424</w:t>
      </w:r>
      <w:r>
        <w:rPr>
          <w:sz w:val="17"/>
        </w:rPr>
        <w:t xml:space="preserve"> </w:t>
      </w:r>
      <w:r>
        <w:rPr>
          <w:rFonts w:ascii="inherit" w:hAnsi="inherit"/>
          <w:sz w:val="17"/>
        </w:rPr>
        <w:t>locations, consisting of:</w:t>
      </w:r>
    </w:p>
    <w:tbl>
      <w:tblPr>
        <w:tblW w:w="6370" w:type="dxa"/>
        <w:jc w:val="left"/>
        <w:tblInd w:w="0" w:type="dxa"/>
        <w:tblCellMar>
          <w:top w:w="0" w:type="dxa"/>
          <w:left w:w="0" w:type="dxa"/>
          <w:bottom w:w="0" w:type="dxa"/>
          <w:right w:w="0" w:type="dxa"/>
        </w:tblCellMar>
      </w:tblPr>
      <w:tblGrid>
        <w:gridCol w:w="485"/>
        <w:gridCol w:w="5885"/>
      </w:tblGrid>
      <w:tr>
        <w:trPr/>
        <w:tc>
          <w:tcPr>
            <w:tcW w:w="485" w:type="dxa"/>
            <w:tcBorders/>
            <w:shd w:fill="auto" w:val="clear"/>
            <w:vAlign w:val="center"/>
          </w:tcPr>
          <w:p>
            <w:pPr>
              <w:pStyle w:val="TableContents"/>
              <w:spacing w:before="0" w:after="283"/>
              <w:rPr>
                <w:sz w:val="4"/>
                <w:szCs w:val="4"/>
              </w:rPr>
            </w:pPr>
            <w:r>
              <w:rPr>
                <w:sz w:val="4"/>
                <w:szCs w:val="4"/>
              </w:rPr>
            </w:r>
          </w:p>
        </w:tc>
        <w:tc>
          <w:tcPr>
            <w:tcW w:w="58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88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494</w:t>
            </w:r>
            <w:r>
              <w:rPr>
                <w:sz w:val="17"/>
              </w:rPr>
              <w:t xml:space="preserve"> </w:t>
            </w:r>
            <w:r>
              <w:rPr>
                <w:rFonts w:ascii="inherit" w:hAnsi="inherit"/>
                <w:sz w:val="17"/>
              </w:rPr>
              <w:t>U.S. pawn stores (operating primarily as EZPAWN or Value Pawn);</w:t>
            </w:r>
          </w:p>
        </w:tc>
      </w:tr>
    </w:tbl>
    <w:tbl>
      <w:tblPr>
        <w:tblW w:w="4990" w:type="dxa"/>
        <w:jc w:val="left"/>
        <w:tblInd w:w="0" w:type="dxa"/>
        <w:tblCellMar>
          <w:top w:w="0" w:type="dxa"/>
          <w:left w:w="0" w:type="dxa"/>
          <w:bottom w:w="0" w:type="dxa"/>
          <w:right w:w="0" w:type="dxa"/>
        </w:tblCellMar>
      </w:tblPr>
      <w:tblGrid>
        <w:gridCol w:w="485"/>
        <w:gridCol w:w="4505"/>
      </w:tblGrid>
      <w:tr>
        <w:trPr/>
        <w:tc>
          <w:tcPr>
            <w:tcW w:w="485" w:type="dxa"/>
            <w:tcBorders/>
            <w:shd w:fill="auto" w:val="clear"/>
            <w:vAlign w:val="center"/>
          </w:tcPr>
          <w:p>
            <w:pPr>
              <w:pStyle w:val="TableContents"/>
              <w:spacing w:before="0" w:after="283"/>
              <w:rPr>
                <w:sz w:val="4"/>
                <w:szCs w:val="4"/>
              </w:rPr>
            </w:pPr>
            <w:r>
              <w:rPr>
                <w:sz w:val="4"/>
                <w:szCs w:val="4"/>
              </w:rPr>
            </w:r>
          </w:p>
        </w:tc>
        <w:tc>
          <w:tcPr>
            <w:tcW w:w="45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0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7</w:t>
            </w:r>
            <w:r>
              <w:rPr>
                <w:sz w:val="17"/>
              </w:rPr>
              <w:t xml:space="preserve"> </w:t>
            </w:r>
            <w:r>
              <w:rPr>
                <w:rFonts w:ascii="inherit" w:hAnsi="inherit"/>
                <w:sz w:val="17"/>
              </w:rPr>
              <w:t>U.S. buy/sell stores (operating as Cash Converters);</w:t>
            </w:r>
          </w:p>
        </w:tc>
      </w:tr>
    </w:tbl>
    <w:tbl>
      <w:tblPr>
        <w:tblW w:w="6520" w:type="dxa"/>
        <w:jc w:val="left"/>
        <w:tblInd w:w="0" w:type="dxa"/>
        <w:tblCellMar>
          <w:top w:w="0" w:type="dxa"/>
          <w:left w:w="0" w:type="dxa"/>
          <w:bottom w:w="0" w:type="dxa"/>
          <w:right w:w="0" w:type="dxa"/>
        </w:tblCellMar>
      </w:tblPr>
      <w:tblGrid>
        <w:gridCol w:w="485"/>
        <w:gridCol w:w="6035"/>
      </w:tblGrid>
      <w:tr>
        <w:trPr/>
        <w:tc>
          <w:tcPr>
            <w:tcW w:w="485" w:type="dxa"/>
            <w:tcBorders/>
            <w:shd w:fill="auto" w:val="clear"/>
            <w:vAlign w:val="center"/>
          </w:tcPr>
          <w:p>
            <w:pPr>
              <w:pStyle w:val="TableContents"/>
              <w:spacing w:before="0" w:after="283"/>
              <w:rPr>
                <w:sz w:val="4"/>
                <w:szCs w:val="4"/>
              </w:rPr>
            </w:pPr>
            <w:r>
              <w:rPr>
                <w:sz w:val="4"/>
                <w:szCs w:val="4"/>
              </w:rPr>
            </w:r>
          </w:p>
        </w:tc>
        <w:tc>
          <w:tcPr>
            <w:tcW w:w="60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03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292</w:t>
            </w:r>
            <w:r>
              <w:rPr>
                <w:sz w:val="17"/>
              </w:rPr>
              <w:t xml:space="preserve"> </w:t>
            </w:r>
            <w:r>
              <w:rPr>
                <w:rFonts w:ascii="inherit" w:hAnsi="inherit"/>
                <w:sz w:val="17"/>
              </w:rPr>
              <w:t>Mexico pawn stores (operating as Empeño Fácil or Empeñe su Oro);</w:t>
            </w:r>
          </w:p>
        </w:tc>
      </w:tr>
    </w:tbl>
    <w:tbl>
      <w:tblPr>
        <w:tblW w:w="4420" w:type="dxa"/>
        <w:jc w:val="left"/>
        <w:tblInd w:w="0" w:type="dxa"/>
        <w:tblCellMar>
          <w:top w:w="0" w:type="dxa"/>
          <w:left w:w="0" w:type="dxa"/>
          <w:bottom w:w="0" w:type="dxa"/>
          <w:right w:w="0" w:type="dxa"/>
        </w:tblCellMar>
      </w:tblPr>
      <w:tblGrid>
        <w:gridCol w:w="485"/>
        <w:gridCol w:w="3935"/>
      </w:tblGrid>
      <w:tr>
        <w:trPr/>
        <w:tc>
          <w:tcPr>
            <w:tcW w:w="485" w:type="dxa"/>
            <w:tcBorders/>
            <w:shd w:fill="auto" w:val="clear"/>
            <w:vAlign w:val="center"/>
          </w:tcPr>
          <w:p>
            <w:pPr>
              <w:pStyle w:val="TableContents"/>
              <w:spacing w:before="0" w:after="283"/>
              <w:rPr>
                <w:sz w:val="4"/>
                <w:szCs w:val="4"/>
              </w:rPr>
            </w:pPr>
            <w:r>
              <w:rPr>
                <w:sz w:val="4"/>
                <w:szCs w:val="4"/>
              </w:rPr>
            </w:r>
          </w:p>
        </w:tc>
        <w:tc>
          <w:tcPr>
            <w:tcW w:w="39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3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19</w:t>
            </w:r>
            <w:r>
              <w:rPr>
                <w:sz w:val="17"/>
              </w:rPr>
              <w:t xml:space="preserve"> </w:t>
            </w:r>
            <w:r>
              <w:rPr>
                <w:rFonts w:ascii="inherit" w:hAnsi="inherit"/>
                <w:sz w:val="17"/>
              </w:rPr>
              <w:t>Mexico buy/sell stores (operating as TUYO);</w:t>
            </w:r>
          </w:p>
        </w:tc>
      </w:tr>
    </w:tbl>
    <w:tbl>
      <w:tblPr>
        <w:tblW w:w="6220" w:type="dxa"/>
        <w:jc w:val="left"/>
        <w:tblInd w:w="0" w:type="dxa"/>
        <w:tblCellMar>
          <w:top w:w="0" w:type="dxa"/>
          <w:left w:w="0" w:type="dxa"/>
          <w:bottom w:w="0" w:type="dxa"/>
          <w:right w:w="0" w:type="dxa"/>
        </w:tblCellMar>
      </w:tblPr>
      <w:tblGrid>
        <w:gridCol w:w="485"/>
        <w:gridCol w:w="5735"/>
      </w:tblGrid>
      <w:tr>
        <w:trPr/>
        <w:tc>
          <w:tcPr>
            <w:tcW w:w="485" w:type="dxa"/>
            <w:tcBorders/>
            <w:shd w:fill="auto" w:val="clear"/>
            <w:vAlign w:val="center"/>
          </w:tcPr>
          <w:p>
            <w:pPr>
              <w:pStyle w:val="TableContents"/>
              <w:spacing w:before="0" w:after="283"/>
              <w:rPr>
                <w:sz w:val="4"/>
                <w:szCs w:val="4"/>
              </w:rPr>
            </w:pPr>
            <w:r>
              <w:rPr>
                <w:sz w:val="4"/>
                <w:szCs w:val="4"/>
              </w:rPr>
            </w:r>
          </w:p>
        </w:tc>
        <w:tc>
          <w:tcPr>
            <w:tcW w:w="57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73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492</w:t>
            </w:r>
            <w:r>
              <w:rPr>
                <w:sz w:val="17"/>
              </w:rPr>
              <w:t xml:space="preserve"> </w:t>
            </w:r>
            <w:r>
              <w:rPr>
                <w:rFonts w:ascii="inherit" w:hAnsi="inherit"/>
                <w:sz w:val="17"/>
              </w:rPr>
              <w:t>U.S. financial services stores (operating primarily as EZMONEY);</w:t>
            </w:r>
          </w:p>
        </w:tc>
      </w:tr>
    </w:tbl>
    <w:tbl>
      <w:tblPr>
        <w:tblW w:w="5890" w:type="dxa"/>
        <w:jc w:val="left"/>
        <w:tblInd w:w="0" w:type="dxa"/>
        <w:tblCellMar>
          <w:top w:w="0" w:type="dxa"/>
          <w:left w:w="0" w:type="dxa"/>
          <w:bottom w:w="0" w:type="dxa"/>
          <w:right w:w="0" w:type="dxa"/>
        </w:tblCellMar>
      </w:tblPr>
      <w:tblGrid>
        <w:gridCol w:w="485"/>
        <w:gridCol w:w="5405"/>
      </w:tblGrid>
      <w:tr>
        <w:trPr/>
        <w:tc>
          <w:tcPr>
            <w:tcW w:w="485" w:type="dxa"/>
            <w:tcBorders/>
            <w:shd w:fill="auto" w:val="clear"/>
            <w:vAlign w:val="center"/>
          </w:tcPr>
          <w:p>
            <w:pPr>
              <w:pStyle w:val="TableContents"/>
              <w:spacing w:before="0" w:after="283"/>
              <w:rPr>
                <w:sz w:val="4"/>
                <w:szCs w:val="4"/>
              </w:rPr>
            </w:pPr>
            <w:r>
              <w:rPr>
                <w:sz w:val="4"/>
                <w:szCs w:val="4"/>
              </w:rPr>
            </w:r>
          </w:p>
        </w:tc>
        <w:tc>
          <w:tcPr>
            <w:tcW w:w="54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40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32</w:t>
            </w:r>
            <w:r>
              <w:rPr>
                <w:sz w:val="17"/>
              </w:rPr>
              <w:t xml:space="preserve"> </w:t>
            </w:r>
            <w:r>
              <w:rPr>
                <w:rFonts w:ascii="inherit" w:hAnsi="inherit"/>
                <w:sz w:val="17"/>
              </w:rPr>
              <w:t>financial services stores in Canada (operating as CASHMAX );</w:t>
            </w:r>
          </w:p>
        </w:tc>
      </w:tr>
    </w:tbl>
    <w:tbl>
      <w:tblPr>
        <w:tblW w:w="7840" w:type="dxa"/>
        <w:jc w:val="left"/>
        <w:tblInd w:w="0" w:type="dxa"/>
        <w:tblCellMar>
          <w:top w:w="0" w:type="dxa"/>
          <w:left w:w="0" w:type="dxa"/>
          <w:bottom w:w="0" w:type="dxa"/>
          <w:right w:w="0" w:type="dxa"/>
        </w:tblCellMar>
      </w:tblPr>
      <w:tblGrid>
        <w:gridCol w:w="485"/>
        <w:gridCol w:w="7355"/>
      </w:tblGrid>
      <w:tr>
        <w:trPr/>
        <w:tc>
          <w:tcPr>
            <w:tcW w:w="485" w:type="dxa"/>
            <w:tcBorders/>
            <w:shd w:fill="auto" w:val="clear"/>
            <w:vAlign w:val="center"/>
          </w:tcPr>
          <w:p>
            <w:pPr>
              <w:pStyle w:val="TableContents"/>
              <w:spacing w:before="0" w:after="283"/>
              <w:rPr>
                <w:sz w:val="4"/>
                <w:szCs w:val="4"/>
              </w:rPr>
            </w:pPr>
            <w:r>
              <w:rPr>
                <w:sz w:val="4"/>
                <w:szCs w:val="4"/>
              </w:rPr>
            </w:r>
          </w:p>
        </w:tc>
        <w:tc>
          <w:tcPr>
            <w:tcW w:w="73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35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36</w:t>
            </w:r>
            <w:r>
              <w:rPr>
                <w:sz w:val="17"/>
              </w:rPr>
              <w:t xml:space="preserve"> </w:t>
            </w:r>
            <w:r>
              <w:rPr>
                <w:rFonts w:ascii="inherit" w:hAnsi="inherit"/>
                <w:sz w:val="17"/>
              </w:rPr>
              <w:t>buy/sell and financial services stores in Canada (operating as Cash Converters); and</w:t>
            </w:r>
          </w:p>
        </w:tc>
      </w:tr>
    </w:tbl>
    <w:tbl>
      <w:tblPr>
        <w:tblW w:w="3655" w:type="dxa"/>
        <w:jc w:val="left"/>
        <w:tblInd w:w="0" w:type="dxa"/>
        <w:tblCellMar>
          <w:top w:w="0" w:type="dxa"/>
          <w:left w:w="0" w:type="dxa"/>
          <w:bottom w:w="0" w:type="dxa"/>
          <w:right w:w="0" w:type="dxa"/>
        </w:tblCellMar>
      </w:tblPr>
      <w:tblGrid>
        <w:gridCol w:w="485"/>
        <w:gridCol w:w="3170"/>
      </w:tblGrid>
      <w:tr>
        <w:trPr/>
        <w:tc>
          <w:tcPr>
            <w:tcW w:w="485" w:type="dxa"/>
            <w:tcBorders/>
            <w:shd w:fill="auto" w:val="clear"/>
            <w:vAlign w:val="center"/>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170"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52</w:t>
            </w:r>
            <w:r>
              <w:rPr>
                <w:sz w:val="17"/>
              </w:rPr>
              <w:t xml:space="preserve"> </w:t>
            </w:r>
            <w:r>
              <w:rPr>
                <w:rFonts w:ascii="inherit" w:hAnsi="inherit"/>
                <w:sz w:val="17"/>
              </w:rPr>
              <w:t>Grupo Finmart locations in Mexico.</w:t>
            </w:r>
          </w:p>
        </w:tc>
      </w:tr>
    </w:tbl>
    <w:p>
      <w:pPr>
        <w:pStyle w:val="TextBody"/>
        <w:spacing w:lineRule="auto" w:line="288" w:before="0" w:after="0"/>
        <w:rPr>
          <w:sz w:val="17"/>
        </w:rPr>
      </w:pPr>
      <w:r>
        <w:rPr>
          <w:rFonts w:ascii="inherit" w:hAnsi="inherit"/>
          <w:sz w:val="17"/>
        </w:rPr>
        <w:t xml:space="preserve">In addition, we are the franchisor for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franchised Cash Converters stores in Canada. We also own almost 30% of Albemarle &amp; Bond Holdings, PLC, one of the U.K.’s largest pawnbroking businesses with over </w:t>
      </w:r>
      <w:r>
        <w:rPr>
          <w:rFonts w:ascii="inherit" w:hAnsi="inherit"/>
          <w:strike w:val="false"/>
          <w:dstrike w:val="false"/>
          <w:color w:val="000000"/>
          <w:sz w:val="17"/>
          <w:u w:val="none"/>
          <w:effect w:val="none"/>
        </w:rPr>
        <w:t>230</w:t>
      </w:r>
      <w:r>
        <w:rPr>
          <w:sz w:val="17"/>
        </w:rPr>
        <w:t xml:space="preserve"> </w:t>
      </w:r>
      <w:r>
        <w:rPr>
          <w:rFonts w:ascii="inherit" w:hAnsi="inherit"/>
          <w:sz w:val="17"/>
        </w:rPr>
        <w:t xml:space="preserve">stores, and almost 33% of Cash Converters International Limited, which franchises and operates a worldwide network of over </w:t>
      </w:r>
      <w:r>
        <w:rPr>
          <w:rFonts w:ascii="inherit" w:hAnsi="inherit"/>
          <w:strike w:val="false"/>
          <w:dstrike w:val="false"/>
          <w:color w:val="000000"/>
          <w:sz w:val="17"/>
          <w:u w:val="none"/>
          <w:effect w:val="none"/>
        </w:rPr>
        <w:t>700</w:t>
      </w:r>
      <w:r>
        <w:rPr>
          <w:sz w:val="17"/>
        </w:rPr>
        <w:t xml:space="preserve"> </w:t>
      </w:r>
      <w:r>
        <w:rPr>
          <w:rFonts w:ascii="inherit" w:hAnsi="inherit"/>
          <w:sz w:val="17"/>
        </w:rPr>
        <w:t>locations that buy and sell second-hand merchandise and offer financial services.</w:t>
      </w:r>
    </w:p>
    <w:p>
      <w:pPr>
        <w:pStyle w:val="TextBody"/>
        <w:spacing w:lineRule="auto" w:line="288" w:before="0" w:after="0"/>
        <w:rPr>
          <w:rFonts w:ascii="inherit" w:hAnsi="inherit"/>
          <w:sz w:val="17"/>
        </w:rPr>
      </w:pPr>
      <w:r>
        <w:rPr>
          <w:rFonts w:ascii="inherit" w:hAnsi="inherit"/>
          <w:sz w:val="17"/>
        </w:rPr>
        <w:t xml:space="preserve">Our business consists of three reportable segments: </w:t>
      </w:r>
    </w:p>
    <w:tbl>
      <w:tblPr>
        <w:tblW w:w="6385" w:type="dxa"/>
        <w:jc w:val="left"/>
        <w:tblInd w:w="0" w:type="dxa"/>
        <w:tblCellMar>
          <w:top w:w="0" w:type="dxa"/>
          <w:left w:w="0" w:type="dxa"/>
          <w:bottom w:w="0" w:type="dxa"/>
          <w:right w:w="0" w:type="dxa"/>
        </w:tblCellMar>
      </w:tblPr>
      <w:tblGrid>
        <w:gridCol w:w="485"/>
        <w:gridCol w:w="5900"/>
      </w:tblGrid>
      <w:tr>
        <w:trPr/>
        <w:tc>
          <w:tcPr>
            <w:tcW w:w="485" w:type="dxa"/>
            <w:tcBorders/>
            <w:shd w:fill="auto" w:val="clear"/>
            <w:vAlign w:val="center"/>
          </w:tcPr>
          <w:p>
            <w:pPr>
              <w:pStyle w:val="TableContents"/>
              <w:spacing w:before="0" w:after="283"/>
              <w:rPr>
                <w:sz w:val="4"/>
                <w:szCs w:val="4"/>
              </w:rPr>
            </w:pPr>
            <w:r>
              <w:rPr>
                <w:sz w:val="4"/>
                <w:szCs w:val="4"/>
              </w:rPr>
            </w:r>
          </w:p>
        </w:tc>
        <w:tc>
          <w:tcPr>
            <w:tcW w:w="59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U.S. &amp; Canada – All business activities in the United States and Canada</w:t>
            </w:r>
          </w:p>
        </w:tc>
      </w:tr>
    </w:tbl>
    <w:tbl>
      <w:tblPr>
        <w:tblW w:w="7210" w:type="dxa"/>
        <w:jc w:val="left"/>
        <w:tblInd w:w="0" w:type="dxa"/>
        <w:tblCellMar>
          <w:top w:w="0" w:type="dxa"/>
          <w:left w:w="0" w:type="dxa"/>
          <w:bottom w:w="0" w:type="dxa"/>
          <w:right w:w="0" w:type="dxa"/>
        </w:tblCellMar>
      </w:tblPr>
      <w:tblGrid>
        <w:gridCol w:w="485"/>
        <w:gridCol w:w="6725"/>
      </w:tblGrid>
      <w:tr>
        <w:trPr/>
        <w:tc>
          <w:tcPr>
            <w:tcW w:w="485" w:type="dxa"/>
            <w:tcBorders/>
            <w:shd w:fill="auto" w:val="clear"/>
            <w:vAlign w:val="center"/>
          </w:tcPr>
          <w:p>
            <w:pPr>
              <w:pStyle w:val="TableContents"/>
              <w:spacing w:before="0" w:after="283"/>
              <w:rPr>
                <w:sz w:val="4"/>
                <w:szCs w:val="4"/>
              </w:rPr>
            </w:pPr>
            <w:r>
              <w:rPr>
                <w:sz w:val="4"/>
                <w:szCs w:val="4"/>
              </w:rPr>
            </w:r>
          </w:p>
        </w:tc>
        <w:tc>
          <w:tcPr>
            <w:tcW w:w="67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7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Latin America – All business activities in Mexico and other parts of Latin America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Other International – All business activities in the rest of the world (currently consisting of consumer loans online in the U.K. and our equity interests in the net income of Albemarle &amp; Bond and Cash Converters International)</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tables present stores by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619"/>
        <w:gridCol w:w="1059"/>
        <w:gridCol w:w="153"/>
        <w:gridCol w:w="133"/>
        <w:gridCol w:w="1055"/>
        <w:gridCol w:w="198"/>
        <w:gridCol w:w="133"/>
        <w:gridCol w:w="1425"/>
        <w:gridCol w:w="144"/>
        <w:gridCol w:w="133"/>
        <w:gridCol w:w="1361"/>
        <w:gridCol w:w="221"/>
        <w:gridCol w:w="133"/>
        <w:gridCol w:w="867"/>
        <w:gridCol w:w="571"/>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619"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19" w:type="dxa"/>
            <w:tcBorders/>
            <w:shd w:fill="auto" w:val="clear"/>
            <w:vAlign w:val="center"/>
          </w:tcPr>
          <w:p>
            <w:pPr>
              <w:pStyle w:val="TableContents"/>
              <w:spacing w:before="0" w:after="0"/>
              <w:ind w:left="0" w:right="0" w:firstLine="30"/>
              <w:jc w:val="left"/>
              <w:rPr/>
            </w:pPr>
            <w:r>
              <w:rPr/>
              <w:t> </w:t>
            </w:r>
          </w:p>
        </w:tc>
        <w:tc>
          <w:tcPr>
            <w:tcW w:w="7586"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2013</w:t>
            </w:r>
          </w:p>
        </w:tc>
      </w:tr>
      <w:tr>
        <w:trPr/>
        <w:tc>
          <w:tcPr>
            <w:tcW w:w="2619" w:type="dxa"/>
            <w:tcBorders/>
            <w:shd w:fill="auto" w:val="clear"/>
            <w:vAlign w:val="center"/>
          </w:tcPr>
          <w:p>
            <w:pPr>
              <w:pStyle w:val="TableContents"/>
              <w:spacing w:before="0" w:after="0"/>
              <w:ind w:left="0" w:right="0" w:firstLine="30"/>
              <w:jc w:val="left"/>
              <w:rPr/>
            </w:pPr>
            <w:r>
              <w:rPr/>
              <w:t> </w:t>
            </w:r>
          </w:p>
        </w:tc>
        <w:tc>
          <w:tcPr>
            <w:tcW w:w="601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3" w:type="dxa"/>
            <w:tcBorders/>
            <w:shd w:fill="auto" w:val="clear"/>
            <w:vAlign w:val="center"/>
          </w:tcPr>
          <w:p>
            <w:pPr>
              <w:pStyle w:val="TableContents"/>
              <w:spacing w:before="0" w:after="0"/>
              <w:ind w:left="0" w:right="0" w:firstLine="30"/>
              <w:rPr/>
            </w:pPr>
            <w:r>
              <w:rPr/>
              <w:t> </w:t>
            </w:r>
          </w:p>
        </w:tc>
        <w:tc>
          <w:tcPr>
            <w:tcW w:w="1438" w:type="dxa"/>
            <w:gridSpan w:val="2"/>
            <w:tcBorders/>
            <w:shd w:fill="auto" w:val="clear"/>
            <w:vAlign w:val="center"/>
          </w:tcPr>
          <w:p>
            <w:pPr>
              <w:pStyle w:val="TableContents"/>
              <w:spacing w:before="0" w:after="0"/>
              <w:ind w:left="0" w:right="0" w:firstLine="30"/>
              <w:jc w:val="left"/>
              <w:rPr/>
            </w:pPr>
            <w:r>
              <w:rPr/>
              <w:t> </w:t>
            </w:r>
          </w:p>
        </w:tc>
      </w:tr>
      <w:tr>
        <w:trPr/>
        <w:tc>
          <w:tcPr>
            <w:tcW w:w="2619" w:type="dxa"/>
            <w:tcBorders/>
            <w:shd w:fill="auto" w:val="clear"/>
            <w:vAlign w:val="center"/>
          </w:tcPr>
          <w:p>
            <w:pPr>
              <w:pStyle w:val="TableContents"/>
              <w:spacing w:before="0" w:after="0"/>
              <w:ind w:left="0" w:right="0" w:firstLine="30"/>
              <w:jc w:val="left"/>
              <w:rPr/>
            </w:pPr>
            <w:r>
              <w:rPr/>
              <w:t> </w:t>
            </w:r>
          </w:p>
        </w:tc>
        <w:tc>
          <w:tcPr>
            <w:tcW w:w="121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253"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569"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ind w:left="0" w:right="0" w:firstLine="30"/>
              <w:rPr/>
            </w:pPr>
            <w:r>
              <w:rPr/>
              <w:t> </w:t>
            </w:r>
          </w:p>
        </w:tc>
        <w:tc>
          <w:tcPr>
            <w:tcW w:w="158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3" w:type="dxa"/>
            <w:tcBorders/>
            <w:shd w:fill="auto" w:val="clear"/>
            <w:vAlign w:val="center"/>
          </w:tcPr>
          <w:p>
            <w:pPr>
              <w:pStyle w:val="TableContents"/>
              <w:spacing w:before="0" w:after="0"/>
              <w:ind w:left="0" w:right="0" w:firstLine="30"/>
              <w:rPr/>
            </w:pPr>
            <w:r>
              <w:rPr/>
              <w:t> </w:t>
            </w:r>
          </w:p>
        </w:tc>
        <w:tc>
          <w:tcPr>
            <w:tcW w:w="143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6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12"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53"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69"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82"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38" w:type="dxa"/>
            <w:gridSpan w:val="2"/>
            <w:tcBorders/>
            <w:shd w:fill="CCEEFF" w:val="clear"/>
            <w:vAlign w:val="center"/>
          </w:tcPr>
          <w:p>
            <w:pPr>
              <w:pStyle w:val="TableContents"/>
              <w:spacing w:before="0" w:after="0"/>
              <w:ind w:left="0" w:right="0" w:firstLine="420"/>
              <w:rPr/>
            </w:pPr>
            <w:r>
              <w:rPr/>
              <w:t> </w:t>
            </w:r>
          </w:p>
        </w:tc>
      </w:tr>
      <w:tr>
        <w:trPr/>
        <w:tc>
          <w:tcPr>
            <w:tcW w:w="26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9" w:type="dxa"/>
            <w:tcBorders/>
            <w:shd w:fill="auto" w:val="clear"/>
            <w:vAlign w:val="center"/>
          </w:tcPr>
          <w:p>
            <w:pPr>
              <w:pStyle w:val="TableContents"/>
              <w:spacing w:before="0" w:after="0"/>
              <w:jc w:val="right"/>
              <w:rPr>
                <w:rFonts w:ascii="inherit" w:hAnsi="inherit"/>
                <w:sz w:val="17"/>
              </w:rPr>
            </w:pPr>
            <w:r>
              <w:rPr>
                <w:rFonts w:ascii="inherit" w:hAnsi="inherit"/>
                <w:sz w:val="17"/>
              </w:rPr>
              <w:t>1,058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345</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25"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61" w:type="dxa"/>
            <w:tcBorders/>
            <w:shd w:fill="auto" w:val="clear"/>
            <w:vAlign w:val="center"/>
          </w:tcPr>
          <w:p>
            <w:pPr>
              <w:pStyle w:val="TableContents"/>
              <w:spacing w:before="0" w:after="0"/>
              <w:jc w:val="right"/>
              <w:rPr>
                <w:rFonts w:ascii="inherit" w:hAnsi="inherit"/>
                <w:sz w:val="17"/>
              </w:rPr>
            </w:pPr>
            <w:r>
              <w:rPr>
                <w:rFonts w:ascii="inherit" w:hAnsi="inherit"/>
                <w:sz w:val="17"/>
              </w:rPr>
              <w:t>1,403</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67"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57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9" w:type="dxa"/>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25" w:type="dxa"/>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61" w:type="dxa"/>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867" w:type="dxa"/>
            <w:tcBorders/>
            <w:shd w:fill="CCEEFF" w:val="clear"/>
            <w:vAlign w:val="center"/>
          </w:tcPr>
          <w:p>
            <w:pPr>
              <w:pStyle w:val="TableContents"/>
              <w:spacing w:before="0" w:after="0"/>
              <w:jc w:val="right"/>
              <w:rPr/>
            </w:pPr>
            <w:r>
              <w:rPr/>
              <w:t>—</w:t>
            </w:r>
          </w:p>
        </w:tc>
        <w:tc>
          <w:tcPr>
            <w:tcW w:w="57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9" w:type="dxa"/>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25"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61"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67" w:type="dxa"/>
            <w:tcBorders/>
            <w:shd w:fill="auto" w:val="clear"/>
            <w:vAlign w:val="center"/>
          </w:tcPr>
          <w:p>
            <w:pPr>
              <w:pStyle w:val="TableContents"/>
              <w:spacing w:before="0" w:after="0"/>
              <w:jc w:val="right"/>
              <w:rPr/>
            </w:pPr>
            <w:r>
              <w:rPr/>
              <w:t>—</w:t>
            </w:r>
          </w:p>
        </w:tc>
        <w:tc>
          <w:tcPr>
            <w:tcW w:w="57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5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05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9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42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6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86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71"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6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9" w:type="dxa"/>
            <w:tcBorders/>
            <w:shd w:fill="auto" w:val="clear"/>
            <w:vAlign w:val="center"/>
          </w:tcPr>
          <w:p>
            <w:pPr>
              <w:pStyle w:val="TableContents"/>
              <w:spacing w:before="0" w:after="0"/>
              <w:jc w:val="right"/>
              <w:rPr>
                <w:rFonts w:ascii="inherit" w:hAnsi="inherit"/>
                <w:sz w:val="17"/>
              </w:rPr>
            </w:pPr>
            <w:r>
              <w:rPr>
                <w:rFonts w:ascii="inherit" w:hAnsi="inherit"/>
                <w:sz w:val="17"/>
              </w:rPr>
              <w:t>1,061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363</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25"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61" w:type="dxa"/>
            <w:tcBorders/>
            <w:shd w:fill="auto" w:val="clear"/>
            <w:vAlign w:val="center"/>
          </w:tcPr>
          <w:p>
            <w:pPr>
              <w:pStyle w:val="TableContents"/>
              <w:spacing w:before="0" w:after="0"/>
              <w:jc w:val="right"/>
              <w:rPr>
                <w:rFonts w:ascii="inherit" w:hAnsi="inherit"/>
                <w:sz w:val="17"/>
              </w:rPr>
            </w:pPr>
            <w:r>
              <w:rPr>
                <w:rFonts w:ascii="inherit" w:hAnsi="inherit"/>
                <w:sz w:val="17"/>
              </w:rPr>
              <w:t>1,424</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67"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9" w:type="dxa"/>
            <w:tcBorders/>
            <w:shd w:fill="CCEEFF" w:val="clear"/>
            <w:vAlign w:val="center"/>
          </w:tcPr>
          <w:p>
            <w:pPr>
              <w:pStyle w:val="TableContents"/>
              <w:spacing w:before="0" w:after="0"/>
              <w:ind w:left="0" w:right="0" w:firstLine="30"/>
              <w:rPr/>
            </w:pPr>
            <w:r>
              <w:rPr/>
              <w:t> </w:t>
            </w:r>
          </w:p>
        </w:tc>
        <w:tc>
          <w:tcPr>
            <w:tcW w:w="1212" w:type="dxa"/>
            <w:gridSpan w:val="2"/>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53" w:type="dxa"/>
            <w:gridSpan w:val="2"/>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69" w:type="dxa"/>
            <w:gridSpan w:val="2"/>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82" w:type="dxa"/>
            <w:gridSpan w:val="2"/>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38" w:type="dxa"/>
            <w:gridSpan w:val="2"/>
            <w:tcBorders>
              <w:top w:val="double" w:sz="6" w:space="0" w:color="000000"/>
            </w:tcBorders>
            <w:shd w:fill="CCEEFF" w:val="clear"/>
            <w:tcMar>
              <w:top w:w="30" w:type="dxa"/>
            </w:tcMar>
            <w:vAlign w:val="center"/>
          </w:tcPr>
          <w:p>
            <w:pPr>
              <w:pStyle w:val="TableContents"/>
              <w:spacing w:before="0" w:after="0"/>
              <w:ind w:left="0" w:right="0" w:firstLine="420"/>
              <w:rPr/>
            </w:pPr>
            <w:r>
              <w:rPr/>
              <w:t> </w:t>
            </w:r>
          </w:p>
        </w:tc>
      </w:tr>
      <w:tr>
        <w:trPr/>
        <w:tc>
          <w:tcPr>
            <w:tcW w:w="26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059" w:type="dxa"/>
            <w:tcBorders/>
            <w:shd w:fill="auto" w:val="clear"/>
            <w:vAlign w:val="center"/>
          </w:tcPr>
          <w:p>
            <w:pPr>
              <w:pStyle w:val="TableContents"/>
              <w:spacing w:before="0" w:after="0"/>
              <w:jc w:val="right"/>
              <w:rPr>
                <w:rFonts w:ascii="inherit" w:hAnsi="inherit"/>
                <w:sz w:val="17"/>
              </w:rPr>
            </w:pPr>
            <w:r>
              <w:rPr>
                <w:rFonts w:ascii="inherit" w:hAnsi="inherit"/>
                <w:sz w:val="17"/>
              </w:rPr>
              <w:t>50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57</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25"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61" w:type="dxa"/>
            <w:tcBorders/>
            <w:shd w:fill="auto" w:val="clear"/>
            <w:vAlign w:val="center"/>
          </w:tcPr>
          <w:p>
            <w:pPr>
              <w:pStyle w:val="TableContents"/>
              <w:spacing w:before="0" w:after="0"/>
              <w:jc w:val="right"/>
              <w:rPr>
                <w:rFonts w:ascii="inherit" w:hAnsi="inherit"/>
                <w:sz w:val="17"/>
              </w:rPr>
            </w:pPr>
            <w:r>
              <w:rPr>
                <w:rFonts w:ascii="inherit" w:hAnsi="inherit"/>
                <w:sz w:val="17"/>
              </w:rPr>
              <w:t>107</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67" w:type="dxa"/>
            <w:tcBorders/>
            <w:shd w:fill="auto" w:val="clear"/>
            <w:vAlign w:val="center"/>
          </w:tcPr>
          <w:p>
            <w:pPr>
              <w:pStyle w:val="TableContents"/>
              <w:spacing w:before="0" w:after="0"/>
              <w:jc w:val="right"/>
              <w:rPr/>
            </w:pPr>
            <w:r>
              <w:rPr/>
              <w:t>—</w:t>
            </w:r>
          </w:p>
        </w:tc>
        <w:tc>
          <w:tcPr>
            <w:tcW w:w="57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1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Stores in continuing operations: </w:t>
            </w:r>
          </w:p>
        </w:tc>
        <w:tc>
          <w:tcPr>
            <w:tcW w:w="10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1,011</w:t>
            </w:r>
          </w:p>
        </w:tc>
        <w:tc>
          <w:tcPr>
            <w:tcW w:w="1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0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306</w:t>
            </w:r>
          </w:p>
        </w:tc>
        <w:tc>
          <w:tcPr>
            <w:tcW w:w="19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4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1,317</w:t>
            </w:r>
          </w:p>
        </w:tc>
        <w:tc>
          <w:tcPr>
            <w:tcW w:w="22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86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5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619"/>
        <w:gridCol w:w="1059"/>
        <w:gridCol w:w="153"/>
        <w:gridCol w:w="133"/>
        <w:gridCol w:w="1055"/>
        <w:gridCol w:w="198"/>
        <w:gridCol w:w="133"/>
        <w:gridCol w:w="1425"/>
        <w:gridCol w:w="144"/>
        <w:gridCol w:w="133"/>
        <w:gridCol w:w="1361"/>
        <w:gridCol w:w="221"/>
        <w:gridCol w:w="133"/>
        <w:gridCol w:w="867"/>
        <w:gridCol w:w="571"/>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619"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19" w:type="dxa"/>
            <w:tcBorders/>
            <w:shd w:fill="auto" w:val="clear"/>
            <w:vAlign w:val="center"/>
          </w:tcPr>
          <w:p>
            <w:pPr>
              <w:pStyle w:val="TableContents"/>
              <w:spacing w:before="0" w:after="0"/>
              <w:ind w:left="0" w:right="0" w:firstLine="30"/>
              <w:jc w:val="left"/>
              <w:rPr/>
            </w:pPr>
            <w:r>
              <w:rPr/>
              <w:t> </w:t>
            </w:r>
          </w:p>
        </w:tc>
        <w:tc>
          <w:tcPr>
            <w:tcW w:w="7586"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2013</w:t>
            </w:r>
          </w:p>
        </w:tc>
      </w:tr>
      <w:tr>
        <w:trPr/>
        <w:tc>
          <w:tcPr>
            <w:tcW w:w="2619" w:type="dxa"/>
            <w:tcBorders/>
            <w:shd w:fill="auto" w:val="clear"/>
            <w:vAlign w:val="center"/>
          </w:tcPr>
          <w:p>
            <w:pPr>
              <w:pStyle w:val="TableContents"/>
              <w:spacing w:before="0" w:after="0"/>
              <w:ind w:left="0" w:right="0" w:firstLine="30"/>
              <w:jc w:val="left"/>
              <w:rPr/>
            </w:pPr>
            <w:r>
              <w:rPr/>
              <w:t> </w:t>
            </w:r>
          </w:p>
        </w:tc>
        <w:tc>
          <w:tcPr>
            <w:tcW w:w="601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3" w:type="dxa"/>
            <w:tcBorders/>
            <w:shd w:fill="auto" w:val="clear"/>
            <w:vAlign w:val="center"/>
          </w:tcPr>
          <w:p>
            <w:pPr>
              <w:pStyle w:val="TableContents"/>
              <w:spacing w:before="0" w:after="0"/>
              <w:ind w:left="0" w:right="0" w:firstLine="30"/>
              <w:rPr/>
            </w:pPr>
            <w:r>
              <w:rPr/>
              <w:t> </w:t>
            </w:r>
          </w:p>
        </w:tc>
        <w:tc>
          <w:tcPr>
            <w:tcW w:w="1438" w:type="dxa"/>
            <w:gridSpan w:val="2"/>
            <w:tcBorders/>
            <w:shd w:fill="auto" w:val="clear"/>
            <w:vAlign w:val="center"/>
          </w:tcPr>
          <w:p>
            <w:pPr>
              <w:pStyle w:val="TableContents"/>
              <w:spacing w:before="0" w:after="0"/>
              <w:ind w:left="0" w:right="0" w:firstLine="30"/>
              <w:jc w:val="left"/>
              <w:rPr/>
            </w:pPr>
            <w:r>
              <w:rPr/>
              <w:t> </w:t>
            </w:r>
          </w:p>
        </w:tc>
      </w:tr>
      <w:tr>
        <w:trPr/>
        <w:tc>
          <w:tcPr>
            <w:tcW w:w="2619" w:type="dxa"/>
            <w:tcBorders/>
            <w:shd w:fill="auto" w:val="clear"/>
            <w:vAlign w:val="center"/>
          </w:tcPr>
          <w:p>
            <w:pPr>
              <w:pStyle w:val="TableContents"/>
              <w:spacing w:before="0" w:after="0"/>
              <w:ind w:left="0" w:right="0" w:firstLine="30"/>
              <w:jc w:val="left"/>
              <w:rPr/>
            </w:pPr>
            <w:r>
              <w:rPr/>
              <w:t> </w:t>
            </w:r>
          </w:p>
        </w:tc>
        <w:tc>
          <w:tcPr>
            <w:tcW w:w="121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253"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569"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ind w:left="0" w:right="0" w:firstLine="30"/>
              <w:rPr/>
            </w:pPr>
            <w:r>
              <w:rPr/>
              <w:t> </w:t>
            </w:r>
          </w:p>
        </w:tc>
        <w:tc>
          <w:tcPr>
            <w:tcW w:w="158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3" w:type="dxa"/>
            <w:tcBorders/>
            <w:shd w:fill="auto" w:val="clear"/>
            <w:vAlign w:val="center"/>
          </w:tcPr>
          <w:p>
            <w:pPr>
              <w:pStyle w:val="TableContents"/>
              <w:spacing w:before="0" w:after="0"/>
              <w:ind w:left="0" w:right="0" w:firstLine="30"/>
              <w:rPr/>
            </w:pPr>
            <w:r>
              <w:rPr/>
              <w:t> </w:t>
            </w:r>
          </w:p>
        </w:tc>
        <w:tc>
          <w:tcPr>
            <w:tcW w:w="143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6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12"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53"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69"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82"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38" w:type="dxa"/>
            <w:gridSpan w:val="2"/>
            <w:tcBorders/>
            <w:shd w:fill="CCEEFF" w:val="clear"/>
            <w:vAlign w:val="center"/>
          </w:tcPr>
          <w:p>
            <w:pPr>
              <w:pStyle w:val="TableContents"/>
              <w:spacing w:before="0" w:after="0"/>
              <w:ind w:left="0" w:right="0" w:firstLine="420"/>
              <w:rPr/>
            </w:pPr>
            <w:r>
              <w:rPr/>
              <w:t> </w:t>
            </w:r>
          </w:p>
        </w:tc>
      </w:tr>
      <w:tr>
        <w:trPr/>
        <w:tc>
          <w:tcPr>
            <w:tcW w:w="26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9" w:type="dxa"/>
            <w:tcBorders/>
            <w:shd w:fill="auto" w:val="clear"/>
            <w:vAlign w:val="center"/>
          </w:tcPr>
          <w:p>
            <w:pPr>
              <w:pStyle w:val="TableContents"/>
              <w:spacing w:before="0" w:after="0"/>
              <w:jc w:val="right"/>
              <w:rPr>
                <w:rFonts w:ascii="inherit" w:hAnsi="inherit"/>
                <w:sz w:val="17"/>
              </w:rPr>
            </w:pPr>
            <w:r>
              <w:rPr>
                <w:rFonts w:ascii="inherit" w:hAnsi="inherit"/>
                <w:sz w:val="17"/>
              </w:rPr>
              <w:t>987</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275</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25"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61" w:type="dxa"/>
            <w:tcBorders/>
            <w:shd w:fill="auto" w:val="clear"/>
            <w:vAlign w:val="center"/>
          </w:tcPr>
          <w:p>
            <w:pPr>
              <w:pStyle w:val="TableContents"/>
              <w:spacing w:before="0" w:after="0"/>
              <w:jc w:val="right"/>
              <w:rPr>
                <w:rFonts w:ascii="inherit" w:hAnsi="inherit"/>
                <w:sz w:val="17"/>
              </w:rPr>
            </w:pPr>
            <w:r>
              <w:rPr>
                <w:rFonts w:ascii="inherit" w:hAnsi="inherit"/>
                <w:sz w:val="17"/>
              </w:rPr>
              <w:t>1,262</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67"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57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9" w:type="dxa"/>
            <w:tcBorders/>
            <w:shd w:fill="CCEEFF" w:val="clear"/>
            <w:vAlign w:val="center"/>
          </w:tcPr>
          <w:p>
            <w:pPr>
              <w:pStyle w:val="TableContents"/>
              <w:spacing w:before="0" w:after="0"/>
              <w:jc w:val="right"/>
              <w:rPr>
                <w:rFonts w:ascii="inherit" w:hAnsi="inherit"/>
                <w:sz w:val="17"/>
              </w:rPr>
            </w:pPr>
            <w:r>
              <w:rPr>
                <w:rFonts w:ascii="inherit" w:hAnsi="inherit"/>
                <w:sz w:val="17"/>
              </w:rPr>
              <w:t>68</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1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25" w:type="dxa"/>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61" w:type="dxa"/>
            <w:tcBorders/>
            <w:shd w:fill="CCEEFF" w:val="clear"/>
            <w:vAlign w:val="center"/>
          </w:tcPr>
          <w:p>
            <w:pPr>
              <w:pStyle w:val="TableContents"/>
              <w:spacing w:before="0" w:after="0"/>
              <w:jc w:val="right"/>
              <w:rPr>
                <w:rFonts w:ascii="inherit" w:hAnsi="inherit"/>
                <w:sz w:val="17"/>
              </w:rPr>
            </w:pPr>
            <w:r>
              <w:rPr>
                <w:rFonts w:ascii="inherit" w:hAnsi="inherit"/>
                <w:sz w:val="17"/>
              </w:rPr>
              <w:t>134</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867" w:type="dxa"/>
            <w:tcBorders/>
            <w:shd w:fill="CCEEFF" w:val="clear"/>
            <w:vAlign w:val="center"/>
          </w:tcPr>
          <w:p>
            <w:pPr>
              <w:pStyle w:val="TableContents"/>
              <w:spacing w:before="0" w:after="0"/>
              <w:jc w:val="right"/>
              <w:rPr/>
            </w:pPr>
            <w:r>
              <w:rPr/>
              <w:t>—</w:t>
            </w:r>
          </w:p>
        </w:tc>
        <w:tc>
          <w:tcPr>
            <w:tcW w:w="57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9"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25"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61" w:type="dxa"/>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67" w:type="dxa"/>
            <w:tcBorders/>
            <w:shd w:fill="auto" w:val="clear"/>
            <w:vAlign w:val="center"/>
          </w:tcPr>
          <w:p>
            <w:pPr>
              <w:pStyle w:val="TableContents"/>
              <w:spacing w:before="0" w:after="0"/>
              <w:jc w:val="right"/>
              <w:rPr/>
            </w:pPr>
            <w:r>
              <w:rPr/>
              <w:t>—</w:t>
            </w:r>
          </w:p>
        </w:tc>
        <w:tc>
          <w:tcPr>
            <w:tcW w:w="57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5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05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9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42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6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2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86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571"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6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1,061</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05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363</w:t>
            </w:r>
          </w:p>
        </w:tc>
        <w:tc>
          <w:tcPr>
            <w:tcW w:w="19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25"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6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1,424</w:t>
            </w:r>
          </w:p>
        </w:tc>
        <w:tc>
          <w:tcPr>
            <w:tcW w:w="22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57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9" w:type="dxa"/>
            <w:tcBorders/>
            <w:shd w:fill="CCEEFF" w:val="clear"/>
            <w:vAlign w:val="center"/>
          </w:tcPr>
          <w:p>
            <w:pPr>
              <w:pStyle w:val="TableContents"/>
              <w:spacing w:before="0" w:after="0"/>
              <w:ind w:left="0" w:right="0" w:firstLine="30"/>
              <w:rPr/>
            </w:pPr>
            <w:r>
              <w:rPr/>
              <w:t> </w:t>
            </w:r>
          </w:p>
        </w:tc>
        <w:tc>
          <w:tcPr>
            <w:tcW w:w="1212"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53"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69"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82" w:type="dxa"/>
            <w:gridSpan w:val="2"/>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38" w:type="dxa"/>
            <w:gridSpan w:val="2"/>
            <w:tcBorders/>
            <w:shd w:fill="CCEEFF" w:val="clear"/>
            <w:vAlign w:val="center"/>
          </w:tcPr>
          <w:p>
            <w:pPr>
              <w:pStyle w:val="TableContents"/>
              <w:spacing w:before="0" w:after="0"/>
              <w:ind w:left="0" w:right="0" w:firstLine="420"/>
              <w:rPr/>
            </w:pPr>
            <w:r>
              <w:rPr/>
              <w:t> </w:t>
            </w:r>
          </w:p>
        </w:tc>
      </w:tr>
      <w:tr>
        <w:trPr/>
        <w:tc>
          <w:tcPr>
            <w:tcW w:w="26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059" w:type="dxa"/>
            <w:tcBorders/>
            <w:shd w:fill="auto" w:val="clear"/>
            <w:vAlign w:val="center"/>
          </w:tcPr>
          <w:p>
            <w:pPr>
              <w:pStyle w:val="TableContents"/>
              <w:spacing w:before="0" w:after="0"/>
              <w:jc w:val="right"/>
              <w:rPr>
                <w:rFonts w:ascii="inherit" w:hAnsi="inherit"/>
                <w:sz w:val="17"/>
              </w:rPr>
            </w:pPr>
            <w:r>
              <w:rPr>
                <w:rFonts w:ascii="inherit" w:hAnsi="inherit"/>
                <w:sz w:val="17"/>
              </w:rPr>
              <w:t>50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57</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25"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61" w:type="dxa"/>
            <w:tcBorders/>
            <w:shd w:fill="auto" w:val="clear"/>
            <w:vAlign w:val="center"/>
          </w:tcPr>
          <w:p>
            <w:pPr>
              <w:pStyle w:val="TableContents"/>
              <w:spacing w:before="0" w:after="0"/>
              <w:jc w:val="right"/>
              <w:rPr>
                <w:rFonts w:ascii="inherit" w:hAnsi="inherit"/>
                <w:sz w:val="17"/>
              </w:rPr>
            </w:pPr>
            <w:r>
              <w:rPr>
                <w:rFonts w:ascii="inherit" w:hAnsi="inherit"/>
                <w:sz w:val="17"/>
              </w:rPr>
              <w:t>107</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867" w:type="dxa"/>
            <w:tcBorders/>
            <w:shd w:fill="auto" w:val="clear"/>
            <w:vAlign w:val="center"/>
          </w:tcPr>
          <w:p>
            <w:pPr>
              <w:pStyle w:val="TableContents"/>
              <w:spacing w:before="0" w:after="0"/>
              <w:jc w:val="right"/>
              <w:rPr/>
            </w:pPr>
            <w:r>
              <w:rPr/>
              <w:t>—</w:t>
            </w:r>
          </w:p>
        </w:tc>
        <w:tc>
          <w:tcPr>
            <w:tcW w:w="57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1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Stores in continuing operations: </w:t>
            </w:r>
          </w:p>
        </w:tc>
        <w:tc>
          <w:tcPr>
            <w:tcW w:w="10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1,011</w:t>
            </w:r>
          </w:p>
        </w:tc>
        <w:tc>
          <w:tcPr>
            <w:tcW w:w="1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0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306</w:t>
            </w:r>
          </w:p>
        </w:tc>
        <w:tc>
          <w:tcPr>
            <w:tcW w:w="19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4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1,317</w:t>
            </w:r>
          </w:p>
        </w:tc>
        <w:tc>
          <w:tcPr>
            <w:tcW w:w="22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86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5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77"/>
        <w:gridCol w:w="1053"/>
        <w:gridCol w:w="189"/>
        <w:gridCol w:w="134"/>
        <w:gridCol w:w="1084"/>
        <w:gridCol w:w="199"/>
        <w:gridCol w:w="134"/>
        <w:gridCol w:w="1448"/>
        <w:gridCol w:w="146"/>
        <w:gridCol w:w="134"/>
        <w:gridCol w:w="1385"/>
        <w:gridCol w:w="222"/>
        <w:gridCol w:w="134"/>
        <w:gridCol w:w="927"/>
        <w:gridCol w:w="539"/>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7" w:type="dxa"/>
            <w:tcBorders/>
            <w:shd w:fill="auto" w:val="clear"/>
            <w:vAlign w:val="center"/>
          </w:tcPr>
          <w:p>
            <w:pPr>
              <w:pStyle w:val="TableContents"/>
              <w:spacing w:before="0" w:after="0"/>
              <w:ind w:left="0" w:right="0" w:firstLine="30"/>
              <w:jc w:val="left"/>
              <w:rPr/>
            </w:pPr>
            <w:r>
              <w:rPr/>
              <w:t> </w:t>
            </w:r>
          </w:p>
        </w:tc>
        <w:tc>
          <w:tcPr>
            <w:tcW w:w="7728"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2012</w:t>
            </w:r>
          </w:p>
        </w:tc>
      </w:tr>
      <w:tr>
        <w:trPr/>
        <w:tc>
          <w:tcPr>
            <w:tcW w:w="2477" w:type="dxa"/>
            <w:tcBorders/>
            <w:shd w:fill="auto" w:val="clear"/>
            <w:vAlign w:val="center"/>
          </w:tcPr>
          <w:p>
            <w:pPr>
              <w:pStyle w:val="TableContents"/>
              <w:spacing w:before="0" w:after="0"/>
              <w:ind w:left="0" w:right="0" w:firstLine="30"/>
              <w:jc w:val="left"/>
              <w:rPr/>
            </w:pPr>
            <w:r>
              <w:rPr/>
              <w:t> </w:t>
            </w:r>
          </w:p>
        </w:tc>
        <w:tc>
          <w:tcPr>
            <w:tcW w:w="612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4" w:type="dxa"/>
            <w:tcBorders/>
            <w:shd w:fill="auto" w:val="clear"/>
            <w:vAlign w:val="center"/>
          </w:tcPr>
          <w:p>
            <w:pPr>
              <w:pStyle w:val="TableContents"/>
              <w:spacing w:before="0" w:after="0"/>
              <w:ind w:left="0" w:right="0" w:firstLine="30"/>
              <w:rPr/>
            </w:pPr>
            <w:r>
              <w:rPr/>
              <w:t> </w:t>
            </w:r>
          </w:p>
        </w:tc>
        <w:tc>
          <w:tcPr>
            <w:tcW w:w="1466" w:type="dxa"/>
            <w:gridSpan w:val="2"/>
            <w:tcBorders/>
            <w:shd w:fill="auto" w:val="clear"/>
            <w:vAlign w:val="center"/>
          </w:tcPr>
          <w:p>
            <w:pPr>
              <w:pStyle w:val="TableContents"/>
              <w:spacing w:before="0" w:after="0"/>
              <w:ind w:left="0" w:right="0" w:firstLine="30"/>
              <w:jc w:val="left"/>
              <w:rPr/>
            </w:pPr>
            <w:r>
              <w:rPr/>
              <w:t> </w:t>
            </w:r>
          </w:p>
        </w:tc>
      </w:tr>
      <w:tr>
        <w:trPr/>
        <w:tc>
          <w:tcPr>
            <w:tcW w:w="2477" w:type="dxa"/>
            <w:tcBorders/>
            <w:shd w:fill="auto" w:val="clear"/>
            <w:vAlign w:val="center"/>
          </w:tcPr>
          <w:p>
            <w:pPr>
              <w:pStyle w:val="TableContents"/>
              <w:spacing w:before="0" w:after="0"/>
              <w:ind w:left="0" w:right="0" w:firstLine="30"/>
              <w:jc w:val="left"/>
              <w:rPr/>
            </w:pPr>
            <w:r>
              <w:rPr/>
              <w:t> </w:t>
            </w:r>
          </w:p>
        </w:tc>
        <w:tc>
          <w:tcPr>
            <w:tcW w:w="124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4" w:type="dxa"/>
            <w:tcBorders/>
            <w:shd w:fill="auto"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4" w:type="dxa"/>
            <w:tcBorders/>
            <w:shd w:fill="auto" w:val="clear"/>
            <w:vAlign w:val="center"/>
          </w:tcPr>
          <w:p>
            <w:pPr>
              <w:pStyle w:val="TableContents"/>
              <w:spacing w:before="0" w:after="0"/>
              <w:ind w:left="0" w:right="0" w:firstLine="30"/>
              <w:rPr/>
            </w:pPr>
            <w:r>
              <w:rPr/>
              <w:t> </w:t>
            </w:r>
          </w:p>
        </w:tc>
        <w:tc>
          <w:tcPr>
            <w:tcW w:w="1594"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4" w:type="dxa"/>
            <w:tcBorders/>
            <w:shd w:fill="auto" w:val="clear"/>
            <w:vAlign w:val="center"/>
          </w:tcPr>
          <w:p>
            <w:pPr>
              <w:pStyle w:val="TableContents"/>
              <w:spacing w:before="0" w:after="0"/>
              <w:ind w:left="0" w:right="0" w:firstLine="30"/>
              <w:rPr/>
            </w:pPr>
            <w:r>
              <w:rPr/>
              <w:t> </w:t>
            </w:r>
          </w:p>
        </w:tc>
        <w:tc>
          <w:tcPr>
            <w:tcW w:w="160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4" w:type="dxa"/>
            <w:tcBorders/>
            <w:shd w:fill="auto" w:val="clear"/>
            <w:vAlign w:val="center"/>
          </w:tcPr>
          <w:p>
            <w:pPr>
              <w:pStyle w:val="TableContents"/>
              <w:spacing w:before="0" w:after="0"/>
              <w:ind w:left="0" w:right="0" w:firstLine="30"/>
              <w:rPr/>
            </w:pPr>
            <w:r>
              <w:rPr/>
              <w:t> </w:t>
            </w:r>
          </w:p>
        </w:tc>
        <w:tc>
          <w:tcPr>
            <w:tcW w:w="146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2"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94"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607"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466" w:type="dxa"/>
            <w:gridSpan w:val="2"/>
            <w:tcBorders/>
            <w:shd w:fill="CCEEFF" w:val="clear"/>
            <w:vAlign w:val="center"/>
          </w:tcPr>
          <w:p>
            <w:pPr>
              <w:pStyle w:val="TableContents"/>
              <w:spacing w:before="0" w:after="0"/>
              <w:ind w:left="0" w:right="0" w:firstLine="420"/>
              <w:rPr/>
            </w:pPr>
            <w:r>
              <w:rPr/>
              <w:t> </w:t>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3" w:type="dxa"/>
            <w:tcBorders/>
            <w:shd w:fill="auto" w:val="clear"/>
            <w:vAlign w:val="center"/>
          </w:tcPr>
          <w:p>
            <w:pPr>
              <w:pStyle w:val="TableContents"/>
              <w:spacing w:before="0" w:after="0"/>
              <w:jc w:val="right"/>
              <w:rPr>
                <w:rFonts w:ascii="inherit" w:hAnsi="inherit"/>
                <w:sz w:val="17"/>
              </w:rPr>
            </w:pPr>
            <w:r>
              <w:rPr>
                <w:rFonts w:ascii="inherit" w:hAnsi="inherit"/>
                <w:sz w:val="17"/>
              </w:rPr>
              <w:t>970</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84" w:type="dxa"/>
            <w:tcBorders/>
            <w:shd w:fill="auto" w:val="clear"/>
            <w:vAlign w:val="center"/>
          </w:tcPr>
          <w:p>
            <w:pPr>
              <w:pStyle w:val="TableContents"/>
              <w:spacing w:before="0" w:after="0"/>
              <w:jc w:val="right"/>
              <w:rPr>
                <w:rFonts w:ascii="inherit" w:hAnsi="inherit"/>
                <w:sz w:val="17"/>
              </w:rPr>
            </w:pPr>
            <w:r>
              <w:rPr>
                <w:rFonts w:ascii="inherit" w:hAnsi="inherit"/>
                <w:sz w:val="17"/>
              </w:rPr>
              <w:t>250</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jc w:val="right"/>
              <w:rPr>
                <w:rFonts w:ascii="inherit" w:hAnsi="inherit"/>
                <w:sz w:val="17"/>
              </w:rPr>
            </w:pPr>
            <w:r>
              <w:rPr>
                <w:rFonts w:ascii="inherit" w:hAnsi="inherit"/>
                <w:sz w:val="17"/>
              </w:rPr>
              <w:t>1,220</w:t>
            </w:r>
          </w:p>
        </w:tc>
        <w:tc>
          <w:tcPr>
            <w:tcW w:w="2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53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3"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84" w:type="dxa"/>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48"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85" w:type="dxa"/>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2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27" w:type="dxa"/>
            <w:tcBorders/>
            <w:shd w:fill="CCEEFF" w:val="clear"/>
            <w:vAlign w:val="center"/>
          </w:tcPr>
          <w:p>
            <w:pPr>
              <w:pStyle w:val="TableContents"/>
              <w:spacing w:before="0" w:after="0"/>
              <w:jc w:val="right"/>
              <w:rPr/>
            </w:pPr>
            <w:r>
              <w:rPr/>
              <w:t>—</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3"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84" w:type="dxa"/>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2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shd w:fill="auto" w:val="clear"/>
            <w:vAlign w:val="center"/>
          </w:tcPr>
          <w:p>
            <w:pPr>
              <w:pStyle w:val="TableContents"/>
              <w:spacing w:before="0" w:after="0"/>
              <w:jc w:val="right"/>
              <w:rPr/>
            </w:pPr>
            <w:r>
              <w:rPr/>
              <w:t>—</w:t>
            </w:r>
          </w:p>
        </w:tc>
        <w:tc>
          <w:tcPr>
            <w:tcW w:w="53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08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9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44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2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927"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39"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982</w:t>
            </w:r>
          </w:p>
        </w:tc>
        <w:tc>
          <w:tcPr>
            <w:tcW w:w="1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1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1,250</w:t>
            </w:r>
          </w:p>
        </w:tc>
        <w:tc>
          <w:tcPr>
            <w:tcW w:w="22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3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50</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470"/>
        <w:gridCol w:w="1051"/>
        <w:gridCol w:w="189"/>
        <w:gridCol w:w="135"/>
        <w:gridCol w:w="1082"/>
        <w:gridCol w:w="199"/>
        <w:gridCol w:w="135"/>
        <w:gridCol w:w="1450"/>
        <w:gridCol w:w="146"/>
        <w:gridCol w:w="135"/>
        <w:gridCol w:w="1387"/>
        <w:gridCol w:w="223"/>
        <w:gridCol w:w="135"/>
        <w:gridCol w:w="894"/>
        <w:gridCol w:w="574"/>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jc w:val="left"/>
              <w:rPr/>
            </w:pPr>
            <w:r>
              <w:rPr/>
              <w:t> </w:t>
            </w:r>
          </w:p>
        </w:tc>
        <w:tc>
          <w:tcPr>
            <w:tcW w:w="773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2470" w:type="dxa"/>
            <w:tcBorders/>
            <w:shd w:fill="auto" w:val="clear"/>
            <w:vAlign w:val="center"/>
          </w:tcPr>
          <w:p>
            <w:pPr>
              <w:pStyle w:val="TableContents"/>
              <w:spacing w:before="0" w:after="0"/>
              <w:ind w:left="0" w:right="0" w:firstLine="30"/>
              <w:jc w:val="left"/>
              <w:rPr/>
            </w:pPr>
            <w:r>
              <w:rPr/>
              <w:t> </w:t>
            </w:r>
          </w:p>
        </w:tc>
        <w:tc>
          <w:tcPr>
            <w:tcW w:w="613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5"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ind w:left="0" w:right="0" w:firstLine="30"/>
              <w:jc w:val="left"/>
              <w:rPr/>
            </w:pPr>
            <w:r>
              <w:rPr/>
              <w:t> </w:t>
            </w:r>
          </w:p>
        </w:tc>
      </w:tr>
      <w:tr>
        <w:trPr/>
        <w:tc>
          <w:tcPr>
            <w:tcW w:w="2470" w:type="dxa"/>
            <w:tcBorders/>
            <w:shd w:fill="auto" w:val="clear"/>
            <w:vAlign w:val="center"/>
          </w:tcPr>
          <w:p>
            <w:pPr>
              <w:pStyle w:val="TableContents"/>
              <w:spacing w:before="0" w:after="0"/>
              <w:ind w:left="0" w:right="0" w:firstLine="30"/>
              <w:jc w:val="left"/>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5" w:type="dxa"/>
            <w:tcBorders/>
            <w:shd w:fill="auto"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5" w:type="dxa"/>
            <w:tcBorders/>
            <w:shd w:fill="auto" w:val="clear"/>
            <w:vAlign w:val="center"/>
          </w:tcPr>
          <w:p>
            <w:pPr>
              <w:pStyle w:val="TableContents"/>
              <w:spacing w:before="0" w:after="0"/>
              <w:ind w:left="0" w:right="0" w:firstLine="30"/>
              <w:rPr/>
            </w:pPr>
            <w:r>
              <w:rPr/>
              <w:t> </w:t>
            </w:r>
          </w:p>
        </w:tc>
        <w:tc>
          <w:tcPr>
            <w:tcW w:w="1596"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5" w:type="dxa"/>
            <w:tcBorders/>
            <w:shd w:fill="auto" w:val="clear"/>
            <w:vAlign w:val="center"/>
          </w:tcPr>
          <w:p>
            <w:pPr>
              <w:pStyle w:val="TableContents"/>
              <w:spacing w:before="0" w:after="0"/>
              <w:ind w:left="0" w:right="0" w:firstLine="30"/>
              <w:rPr/>
            </w:pPr>
            <w:r>
              <w:rPr/>
              <w:t> </w:t>
            </w:r>
          </w:p>
        </w:tc>
        <w:tc>
          <w:tcPr>
            <w:tcW w:w="16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5" w:type="dxa"/>
            <w:tcBorders/>
            <w:shd w:fill="auto" w:val="clear"/>
            <w:vAlign w:val="center"/>
          </w:tcPr>
          <w:p>
            <w:pPr>
              <w:pStyle w:val="TableContents"/>
              <w:spacing w:before="0" w:after="0"/>
              <w:ind w:left="0" w:right="0" w:firstLine="30"/>
              <w:rPr/>
            </w:pPr>
            <w:r>
              <w:rPr/>
              <w:t> </w:t>
            </w:r>
          </w:p>
        </w:tc>
        <w:tc>
          <w:tcPr>
            <w:tcW w:w="146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81"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596"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1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933</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shd w:fill="auto" w:val="clear"/>
            <w:vAlign w:val="center"/>
          </w:tcPr>
          <w:p>
            <w:pPr>
              <w:pStyle w:val="TableContents"/>
              <w:spacing w:before="0" w:after="0"/>
              <w:jc w:val="right"/>
              <w:rPr>
                <w:rFonts w:ascii="inherit" w:hAnsi="inherit"/>
                <w:sz w:val="17"/>
              </w:rPr>
            </w:pPr>
            <w:r>
              <w:rPr>
                <w:rFonts w:ascii="inherit" w:hAnsi="inherit"/>
                <w:sz w:val="17"/>
              </w:rPr>
              <w:t>178</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1,111</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57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082" w:type="dxa"/>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58</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pPr>
            <w:r>
              <w:rPr/>
              <w:t>—</w:t>
            </w:r>
          </w:p>
        </w:tc>
        <w:tc>
          <w:tcPr>
            <w:tcW w:w="57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49</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94</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pPr>
            <w:r>
              <w:rPr/>
              <w:t>—</w:t>
            </w:r>
          </w:p>
        </w:tc>
        <w:tc>
          <w:tcPr>
            <w:tcW w:w="57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1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0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9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4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22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89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74"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982</w:t>
            </w:r>
          </w:p>
        </w:tc>
        <w:tc>
          <w:tcPr>
            <w:tcW w:w="1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1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1,250</w:t>
            </w:r>
          </w:p>
        </w:tc>
        <w:tc>
          <w:tcPr>
            <w:tcW w:w="22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7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 xml:space="preserve">Discontinued Operations </w:t>
      </w:r>
    </w:p>
    <w:p>
      <w:pPr>
        <w:pStyle w:val="TextBody"/>
        <w:spacing w:lineRule="auto" w:line="288" w:before="0" w:after="0"/>
        <w:jc w:val="left"/>
        <w:rPr>
          <w:sz w:val="17"/>
        </w:rPr>
      </w:pPr>
      <w:r>
        <w:rPr>
          <w:rFonts w:ascii="inherit" w:hAnsi="inherit"/>
          <w:sz w:val="17"/>
        </w:rPr>
        <w:t xml:space="preserve">During the third quarter of fiscal 2013, our Board of Directors approved a plan to close </w:t>
      </w:r>
      <w:r>
        <w:rPr>
          <w:rFonts w:ascii="inherit" w:hAnsi="inherit"/>
          <w:strike w:val="false"/>
          <w:dstrike w:val="false"/>
          <w:color w:val="000000"/>
          <w:sz w:val="17"/>
          <w:u w:val="none"/>
          <w:effect w:val="none"/>
        </w:rPr>
        <w:t>107</w:t>
      </w:r>
      <w:r>
        <w:rPr>
          <w:sz w:val="17"/>
        </w:rPr>
        <w:t xml:space="preserve"> </w:t>
      </w:r>
      <w:r>
        <w:rPr>
          <w:rFonts w:ascii="inherit" w:hAnsi="inherit"/>
          <w:sz w:val="17"/>
        </w:rPr>
        <w:t xml:space="preserve">legacy stores in a variety of locations (the “Reorganization”). These stores are generally older, smaller stores that do not fit our future growth profile. We will continue to execute our growth plan by adding approximately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new stores during our fourth fiscal quarter, broadening our online selling and lending channels, and adding numerous new products across the portfolio of companies in order to better serve our customers in the formats they desire and with the products and services they want. </w:t>
      </w:r>
    </w:p>
    <w:p>
      <w:pPr>
        <w:pStyle w:val="TextBody"/>
        <w:spacing w:lineRule="auto" w:line="288" w:before="0" w:after="0"/>
        <w:jc w:val="left"/>
        <w:rPr>
          <w:rFonts w:ascii="inherit" w:hAnsi="inherit"/>
          <w:sz w:val="17"/>
        </w:rPr>
      </w:pPr>
      <w:r>
        <w:rPr>
          <w:rFonts w:ascii="inherit" w:hAnsi="inherit"/>
          <w:sz w:val="17"/>
        </w:rPr>
        <w:t>The store closings include:</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57</w:t>
            </w:r>
            <w:r>
              <w:rPr>
                <w:sz w:val="17"/>
              </w:rPr>
              <w:t xml:space="preserve"> </w:t>
            </w:r>
            <w:r>
              <w:rPr>
                <w:rFonts w:ascii="inherit" w:hAnsi="inherit"/>
                <w:sz w:val="17"/>
              </w:rPr>
              <w:t xml:space="preserve">stores in Mexico, </w:t>
            </w:r>
            <w:r>
              <w:rPr>
                <w:rFonts w:ascii="inherit" w:hAnsi="inherit"/>
                <w:strike w:val="false"/>
                <w:dstrike w:val="false"/>
                <w:color w:val="000000"/>
                <w:sz w:val="17"/>
                <w:u w:val="none"/>
                <w:effect w:val="none"/>
              </w:rPr>
              <w:t>52</w:t>
            </w:r>
            <w:r>
              <w:rPr>
                <w:sz w:val="17"/>
              </w:rPr>
              <w:t xml:space="preserve"> </w:t>
            </w:r>
            <w:r>
              <w:rPr>
                <w:rFonts w:ascii="inherit" w:hAnsi="inherit"/>
                <w:sz w:val="17"/>
              </w:rPr>
              <w:t xml:space="preserve">of which are small, jewelry-only asset group formats. We will continue to operate </w:t>
            </w:r>
            <w:r>
              <w:rPr>
                <w:rFonts w:ascii="inherit" w:hAnsi="inherit"/>
                <w:strike w:val="false"/>
                <w:dstrike w:val="false"/>
                <w:color w:val="000000"/>
                <w:sz w:val="17"/>
                <w:u w:val="none"/>
                <w:effect w:val="none"/>
              </w:rPr>
              <w:t>235</w:t>
            </w:r>
            <w:r>
              <w:rPr>
                <w:sz w:val="17"/>
              </w:rPr>
              <w:t xml:space="preserve"> </w:t>
            </w:r>
            <w:r>
              <w:rPr>
                <w:rFonts w:ascii="inherit" w:hAnsi="inherit"/>
                <w:sz w:val="17"/>
              </w:rPr>
              <w:t xml:space="preserve">full-service SWS stores under the Empeño Fácil brand, and expect to continue our rapid storefront growth in Mexico, ending fiscal year 2013 with approximately </w:t>
            </w:r>
            <w:r>
              <w:rPr>
                <w:rFonts w:ascii="inherit" w:hAnsi="inherit"/>
                <w:strike w:val="false"/>
                <w:dstrike w:val="false"/>
                <w:color w:val="000000"/>
                <w:sz w:val="17"/>
                <w:u w:val="none"/>
                <w:effect w:val="none"/>
              </w:rPr>
              <w:t>245</w:t>
            </w:r>
            <w:r>
              <w:rPr>
                <w:sz w:val="17"/>
              </w:rPr>
              <w:t xml:space="preserve"> </w:t>
            </w:r>
            <w:r>
              <w:rPr>
                <w:rFonts w:ascii="inherit" w:hAnsi="inherit"/>
                <w:sz w:val="17"/>
              </w:rPr>
              <w:t>locations. Neither Empeño Fácil, TUYO, nor Grupo Finmart are gold dependent and together they make up Latin America, our fastest growing segment.</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29</w:t>
            </w:r>
            <w:r>
              <w:rPr>
                <w:sz w:val="17"/>
              </w:rPr>
              <w:t xml:space="preserve"> </w:t>
            </w:r>
            <w:r>
              <w:rPr>
                <w:rFonts w:ascii="inherit" w:hAnsi="inherit"/>
                <w:sz w:val="17"/>
              </w:rPr>
              <w:t xml:space="preserve">stores in Canada, where we are in the process of transitioning to an integrated buy/sell and financial services model under the Cash Converters brand. The affected asset group consists of stores that are not optimal for that model because of location or size. We will continue to operate </w:t>
            </w:r>
            <w:r>
              <w:rPr>
                <w:rFonts w:ascii="inherit" w:hAnsi="inherit"/>
                <w:strike w:val="false"/>
                <w:dstrike w:val="false"/>
                <w:color w:val="000000"/>
                <w:sz w:val="17"/>
                <w:u w:val="none"/>
                <w:effect w:val="none"/>
              </w:rPr>
              <w:t>46</w:t>
            </w:r>
            <w:r>
              <w:rPr>
                <w:sz w:val="17"/>
              </w:rPr>
              <w:t xml:space="preserve"> </w:t>
            </w:r>
            <w:r>
              <w:rPr>
                <w:rFonts w:ascii="inherit" w:hAnsi="inherit"/>
                <w:sz w:val="17"/>
              </w:rPr>
              <w:t>full-service buy/sell and financial services center stores under the Cash Converters brand in Canada and the United States.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financial services stores in Dallas, Texas and the State of Florida, where we are exiting both locations primarily to onerous regulatory requirements. After the Reorganization we will continue to operate </w:t>
            </w:r>
            <w:r>
              <w:rPr>
                <w:rFonts w:ascii="inherit" w:hAnsi="inherit"/>
                <w:strike w:val="false"/>
                <w:dstrike w:val="false"/>
                <w:color w:val="000000"/>
                <w:sz w:val="17"/>
                <w:u w:val="none"/>
                <w:effect w:val="none"/>
              </w:rPr>
              <w:t>472</w:t>
            </w:r>
            <w:r>
              <w:rPr>
                <w:sz w:val="17"/>
              </w:rPr>
              <w:t xml:space="preserve"> </w:t>
            </w:r>
            <w:r>
              <w:rPr>
                <w:rFonts w:ascii="inherit" w:hAnsi="inherit"/>
                <w:sz w:val="17"/>
              </w:rPr>
              <w:t xml:space="preserve">financial services stores in the United States. In addition,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jewelry-only concept store will be closed, which was our only jewelry-only store in the United States. </w:t>
            </w:r>
          </w:p>
        </w:tc>
      </w:tr>
    </w:tbl>
    <w:p>
      <w:pPr>
        <w:pStyle w:val="TextBody"/>
        <w:spacing w:lineRule="auto" w:line="288" w:before="0" w:after="0"/>
        <w:jc w:val="left"/>
        <w:rPr>
          <w:sz w:val="17"/>
        </w:rPr>
      </w:pPr>
      <w:r>
        <w:rPr>
          <w:rFonts w:ascii="inherit" w:hAnsi="inherit"/>
          <w:sz w:val="17"/>
        </w:rPr>
        <w:t xml:space="preserve">In connection with the Reorganization, we incurred charges for lease termination costs, asset and inventory write-down to net realizable liquidation value, uncollectible receivables, and employee severance costs. We recognized </w:t>
      </w:r>
      <w:r>
        <w:rPr>
          <w:rFonts w:ascii="Times New Roman" w:hAnsi="Times New Roman"/>
          <w:strike w:val="false"/>
          <w:dstrike w:val="false"/>
          <w:color w:val="000000"/>
          <w:sz w:val="17"/>
          <w:u w:val="none"/>
          <w:effect w:val="none"/>
        </w:rPr>
        <w:t>$23.8 million</w:t>
      </w:r>
      <w:r>
        <w:rPr>
          <w:sz w:val="17"/>
        </w:rPr>
        <w:t xml:space="preserve"> </w:t>
      </w:r>
      <w:r>
        <w:rPr>
          <w:rFonts w:ascii="inherit" w:hAnsi="inherit"/>
          <w:sz w:val="17"/>
        </w:rPr>
        <w:t xml:space="preserve">of pre-tax charges related to the Reorganization during the third quarter ended </w:t>
      </w:r>
      <w:r>
        <w:rPr>
          <w:rFonts w:ascii="Times New Roman" w:hAnsi="Times New Roman"/>
          <w:strike w:val="false"/>
          <w:dstrike w:val="false"/>
          <w:color w:val="000000"/>
          <w:sz w:val="17"/>
          <w:u w:val="none"/>
          <w:effect w:val="none"/>
        </w:rPr>
        <w:t>June 30, 2013</w:t>
      </w:r>
      <w:r>
        <w:rPr>
          <w:rFonts w:ascii="inherit" w:hAnsi="inherit"/>
          <w:sz w:val="17"/>
        </w:rPr>
        <w:t xml:space="preserve">. These exit costs have been recorded as part of loss from discontinued operations in our condensed consolidated statements of operations. </w:t>
      </w:r>
    </w:p>
    <w:p>
      <w:pPr>
        <w:pStyle w:val="TextBody"/>
        <w:spacing w:lineRule="auto" w:line="288" w:before="0" w:after="0"/>
        <w:jc w:val="left"/>
        <w:rPr>
          <w:sz w:val="17"/>
        </w:rPr>
      </w:pPr>
      <w:r>
        <w:rPr>
          <w:rFonts w:ascii="inherit" w:hAnsi="inherit"/>
          <w:sz w:val="17"/>
        </w:rPr>
        <w:t xml:space="preserve">The following table summarizes the termination costs recognized in our third quarter ended </w:t>
      </w:r>
      <w:r>
        <w:rPr>
          <w:rFonts w:ascii="Times New Roman" w:hAnsi="Times New Roman"/>
          <w:strike w:val="false"/>
          <w:dstrike w:val="false"/>
          <w:color w:val="000000"/>
          <w:sz w:val="17"/>
          <w:u w:val="none"/>
          <w:effect w:val="none"/>
        </w:rPr>
        <w:t>June 30, 2013</w:t>
      </w:r>
      <w:r>
        <w:rPr>
          <w:sz w:val="17"/>
        </w:rPr>
        <w:t xml:space="preserve"> </w:t>
      </w:r>
      <w:r>
        <w:rPr>
          <w:rFonts w:ascii="inherit" w:hAnsi="inherit"/>
          <w:sz w:val="17"/>
        </w:rPr>
        <w:t>financial statements related to the Reorganization:</w:t>
      </w:r>
    </w:p>
    <w:tbl>
      <w:tblPr>
        <w:tblW w:w="10205" w:type="dxa"/>
        <w:jc w:val="center"/>
        <w:tblInd w:w="0" w:type="dxa"/>
        <w:tblCellMar>
          <w:top w:w="0" w:type="dxa"/>
          <w:left w:w="0" w:type="dxa"/>
          <w:bottom w:w="0" w:type="dxa"/>
          <w:right w:w="0" w:type="dxa"/>
        </w:tblCellMar>
      </w:tblPr>
      <w:tblGrid>
        <w:gridCol w:w="6485"/>
        <w:gridCol w:w="233"/>
        <w:gridCol w:w="3364"/>
        <w:gridCol w:w="123"/>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648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6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85" w:type="dxa"/>
            <w:tcBorders/>
            <w:shd w:fill="auto" w:val="clear"/>
            <w:vAlign w:val="center"/>
          </w:tcPr>
          <w:p>
            <w:pPr>
              <w:pStyle w:val="TableContents"/>
              <w:spacing w:before="0" w:after="0"/>
              <w:ind w:left="0" w:right="0" w:firstLine="30"/>
              <w:rPr/>
            </w:pPr>
            <w:r>
              <w:rPr/>
              <w:t> </w:t>
            </w:r>
          </w:p>
        </w:tc>
        <w:tc>
          <w:tcPr>
            <w:tcW w:w="3720"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June 30, 2013</w:t>
            </w:r>
          </w:p>
        </w:tc>
      </w:tr>
      <w:tr>
        <w:trPr/>
        <w:tc>
          <w:tcPr>
            <w:tcW w:w="6485" w:type="dxa"/>
            <w:tcBorders/>
            <w:shd w:fill="auto" w:val="clear"/>
            <w:vAlign w:val="center"/>
          </w:tcPr>
          <w:p>
            <w:pPr>
              <w:pStyle w:val="TableContents"/>
              <w:spacing w:before="0" w:after="0"/>
              <w:ind w:left="0" w:right="0" w:firstLine="30"/>
              <w:rPr/>
            </w:pPr>
            <w:r>
              <w:rPr/>
              <w:t> </w:t>
            </w:r>
          </w:p>
        </w:tc>
        <w:tc>
          <w:tcPr>
            <w:tcW w:w="3720"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Lease termination costs</w:t>
            </w:r>
          </w:p>
        </w:tc>
        <w:tc>
          <w:tcPr>
            <w:tcW w:w="2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64" w:type="dxa"/>
            <w:tcBorders/>
            <w:shd w:fill="CCEEFF" w:val="clear"/>
            <w:vAlign w:val="center"/>
          </w:tcPr>
          <w:p>
            <w:pPr>
              <w:pStyle w:val="TableContents"/>
              <w:spacing w:before="0" w:after="0"/>
              <w:jc w:val="right"/>
              <w:rPr>
                <w:rFonts w:ascii="inherit" w:hAnsi="inherit"/>
                <w:sz w:val="17"/>
              </w:rPr>
            </w:pPr>
            <w:r>
              <w:rPr>
                <w:rFonts w:ascii="inherit" w:hAnsi="inherit"/>
                <w:sz w:val="17"/>
              </w:rPr>
              <w:t>9,099</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Employee severance</w:t>
            </w:r>
          </w:p>
        </w:tc>
        <w:tc>
          <w:tcPr>
            <w:tcW w:w="35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1,023</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Inventory write-down to liquidation value</w:t>
            </w:r>
          </w:p>
        </w:tc>
        <w:tc>
          <w:tcPr>
            <w:tcW w:w="35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7,801</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Fixed asset write-down to liquidation value</w:t>
            </w:r>
          </w:p>
        </w:tc>
        <w:tc>
          <w:tcPr>
            <w:tcW w:w="35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5,840</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2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23,763</w:t>
            </w:r>
          </w:p>
        </w:tc>
        <w:tc>
          <w:tcPr>
            <w:tcW w:w="1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As of </w:t>
      </w:r>
      <w:r>
        <w:rPr>
          <w:rFonts w:ascii="Times New Roman" w:hAnsi="Times New Roman"/>
          <w:strike w:val="false"/>
          <w:dstrike w:val="false"/>
          <w:color w:val="000000"/>
          <w:sz w:val="17"/>
          <w:u w:val="none"/>
          <w:effect w:val="none"/>
        </w:rPr>
        <w:t>June 30, 2013</w:t>
      </w:r>
      <w:r>
        <w:rPr>
          <w:rFonts w:ascii="inherit" w:hAnsi="inherit"/>
          <w:sz w:val="17"/>
        </w:rPr>
        <w:t xml:space="preserve">, no cash payments had been made with regard to the recorded termination. The accrued Reorganization charges are included in “Accounts payable and accrued liabilities” in our consolidated balance sheets and in “Discontinued operations” in the consolidated statements of operations.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51</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Discontinued operations in the three-month periods ended </w:t>
      </w:r>
      <w:r>
        <w:rPr>
          <w:rFonts w:ascii="Times New Roman" w:hAnsi="Times New Roman"/>
          <w:b w:val="false"/>
          <w:i w:val="false"/>
          <w:caps w:val="false"/>
          <w:smallCaps w:val="false"/>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Times New Roman" w:hAnsi="Times New Roman"/>
          <w:b w:val="false"/>
          <w:i w:val="false"/>
          <w:caps w:val="false"/>
          <w:smallCaps w:val="false"/>
          <w:strike w:val="false"/>
          <w:dstrike w:val="false"/>
          <w:color w:val="000000"/>
          <w:sz w:val="17"/>
          <w:u w:val="none"/>
          <w:effect w:val="none"/>
        </w:rPr>
        <w:t>2012</w:t>
      </w:r>
      <w:r>
        <w:rPr>
          <w:sz w:val="17"/>
        </w:rPr>
        <w:t xml:space="preserve"> </w:t>
      </w:r>
      <w:r>
        <w:rPr>
          <w:rFonts w:ascii="inherit" w:hAnsi="inherit"/>
          <w:sz w:val="17"/>
        </w:rPr>
        <w:t xml:space="preserve">include $1.8 million and $1.4 million pre-tax operating losses from stores being closed. The nine-month periods ended </w:t>
      </w:r>
      <w:r>
        <w:rPr>
          <w:rFonts w:ascii="Times New Roman" w:hAnsi="Times New Roman"/>
          <w:b w:val="false"/>
          <w:i w:val="false"/>
          <w:caps w:val="false"/>
          <w:smallCaps w:val="false"/>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Times New Roman" w:hAnsi="Times New Roman"/>
          <w:b w:val="false"/>
          <w:i w:val="false"/>
          <w:caps w:val="false"/>
          <w:smallCaps w:val="false"/>
          <w:strike w:val="false"/>
          <w:dstrike w:val="false"/>
          <w:color w:val="000000"/>
          <w:sz w:val="17"/>
          <w:u w:val="none"/>
          <w:effect w:val="none"/>
        </w:rPr>
        <w:t>2012</w:t>
      </w:r>
      <w:r>
        <w:rPr>
          <w:sz w:val="17"/>
        </w:rPr>
        <w:t xml:space="preserve"> </w:t>
      </w:r>
      <w:r>
        <w:rPr>
          <w:rFonts w:ascii="inherit" w:hAnsi="inherit"/>
          <w:sz w:val="17"/>
        </w:rPr>
        <w:t>include $5.5 million and $3.2 of pre-tax operating losses from stores being closed.The table below summarizes the pre-tax operating losses by operating segment:</w:t>
      </w:r>
    </w:p>
    <w:tbl>
      <w:tblPr>
        <w:tblW w:w="10205" w:type="dxa"/>
        <w:jc w:val="center"/>
        <w:tblInd w:w="0" w:type="dxa"/>
        <w:tblCellMar>
          <w:top w:w="0" w:type="dxa"/>
          <w:left w:w="0" w:type="dxa"/>
          <w:bottom w:w="0" w:type="dxa"/>
          <w:right w:w="0" w:type="dxa"/>
        </w:tblCellMar>
      </w:tblPr>
      <w:tblGrid>
        <w:gridCol w:w="4467"/>
        <w:gridCol w:w="1218"/>
        <w:gridCol w:w="141"/>
        <w:gridCol w:w="129"/>
        <w:gridCol w:w="1155"/>
        <w:gridCol w:w="141"/>
        <w:gridCol w:w="129"/>
        <w:gridCol w:w="1218"/>
        <w:gridCol w:w="141"/>
        <w:gridCol w:w="129"/>
        <w:gridCol w:w="1182"/>
        <w:gridCol w:w="155"/>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46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67" w:type="dxa"/>
            <w:tcBorders/>
            <w:shd w:fill="auto" w:val="clear"/>
            <w:vAlign w:val="center"/>
          </w:tcPr>
          <w:p>
            <w:pPr>
              <w:pStyle w:val="TableContents"/>
              <w:spacing w:before="0" w:after="0"/>
              <w:ind w:left="0" w:right="0" w:firstLine="30"/>
              <w:rPr/>
            </w:pPr>
            <w:r>
              <w:rPr/>
              <w:t> </w:t>
            </w:r>
          </w:p>
        </w:tc>
        <w:tc>
          <w:tcPr>
            <w:tcW w:w="2784"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Three Months Ended June 30,</w:t>
            </w:r>
          </w:p>
        </w:tc>
        <w:tc>
          <w:tcPr>
            <w:tcW w:w="129" w:type="dxa"/>
            <w:tcBorders/>
            <w:shd w:fill="auto" w:val="clear"/>
            <w:vAlign w:val="center"/>
          </w:tcPr>
          <w:p>
            <w:pPr>
              <w:pStyle w:val="TableContents"/>
              <w:spacing w:before="0" w:after="0"/>
              <w:ind w:left="0" w:right="0" w:firstLine="30"/>
              <w:rPr/>
            </w:pPr>
            <w:r>
              <w:rPr/>
              <w:t> </w:t>
            </w:r>
          </w:p>
        </w:tc>
        <w:tc>
          <w:tcPr>
            <w:tcW w:w="2825"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Nine Months Ended June 30,</w:t>
            </w:r>
          </w:p>
        </w:tc>
      </w:tr>
      <w:tr>
        <w:trPr/>
        <w:tc>
          <w:tcPr>
            <w:tcW w:w="4467" w:type="dxa"/>
            <w:tcBorders/>
            <w:shd w:fill="auto" w:val="clear"/>
            <w:vAlign w:val="center"/>
          </w:tcPr>
          <w:p>
            <w:pPr>
              <w:pStyle w:val="TableContents"/>
              <w:spacing w:before="0" w:after="0"/>
              <w:ind w:left="0" w:right="0" w:hanging="0"/>
              <w:rPr/>
            </w:pPr>
            <w:r>
              <w:rPr/>
              <w:t> </w:t>
            </w:r>
          </w:p>
        </w:tc>
        <w:tc>
          <w:tcPr>
            <w:tcW w:w="1359" w:type="dxa"/>
            <w:gridSpan w:val="2"/>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29" w:type="dxa"/>
            <w:tcBorders/>
            <w:shd w:fill="auto" w:val="clear"/>
            <w:vAlign w:val="center"/>
          </w:tcPr>
          <w:p>
            <w:pPr>
              <w:pStyle w:val="TableContents"/>
              <w:spacing w:before="0" w:after="0"/>
              <w:ind w:left="0" w:right="0" w:hanging="0"/>
              <w:rPr/>
            </w:pPr>
            <w:r>
              <w:rPr/>
              <w:t> </w:t>
            </w:r>
          </w:p>
        </w:tc>
        <w:tc>
          <w:tcPr>
            <w:tcW w:w="1296" w:type="dxa"/>
            <w:gridSpan w:val="2"/>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29" w:type="dxa"/>
            <w:tcBorders/>
            <w:shd w:fill="auto" w:val="clear"/>
            <w:vAlign w:val="center"/>
          </w:tcPr>
          <w:p>
            <w:pPr>
              <w:pStyle w:val="TableContents"/>
              <w:spacing w:before="0" w:after="0"/>
              <w:ind w:left="0" w:right="0" w:hanging="0"/>
              <w:rPr/>
            </w:pPr>
            <w:r>
              <w:rPr/>
              <w:t> </w:t>
            </w:r>
          </w:p>
        </w:tc>
        <w:tc>
          <w:tcPr>
            <w:tcW w:w="1359" w:type="dxa"/>
            <w:gridSpan w:val="2"/>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29" w:type="dxa"/>
            <w:tcBorders/>
            <w:shd w:fill="auto" w:val="clear"/>
            <w:vAlign w:val="center"/>
          </w:tcPr>
          <w:p>
            <w:pPr>
              <w:pStyle w:val="TableContents"/>
              <w:spacing w:before="0" w:after="0"/>
              <w:ind w:left="0" w:right="0" w:hanging="0"/>
              <w:rPr/>
            </w:pPr>
            <w:r>
              <w:rPr/>
              <w:t> </w:t>
            </w:r>
          </w:p>
        </w:tc>
        <w:tc>
          <w:tcPr>
            <w:tcW w:w="1337" w:type="dxa"/>
            <w:gridSpan w:val="2"/>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sz w:val="17"/>
              </w:rPr>
            </w:pPr>
            <w:r>
              <w:rPr>
                <w:rFonts w:ascii="inherit" w:hAnsi="inherit"/>
                <w:sz w:val="17"/>
              </w:rPr>
              <w:t>2012</w:t>
            </w:r>
          </w:p>
        </w:tc>
      </w:tr>
      <w:tr>
        <w:trPr/>
        <w:tc>
          <w:tcPr>
            <w:tcW w:w="4467" w:type="dxa"/>
            <w:tcBorders/>
            <w:shd w:fill="auto" w:val="clear"/>
            <w:vAlign w:val="center"/>
          </w:tcPr>
          <w:p>
            <w:pPr>
              <w:pStyle w:val="TableContents"/>
              <w:spacing w:before="0" w:after="0"/>
              <w:ind w:left="0" w:right="0" w:firstLine="30"/>
              <w:rPr/>
            </w:pPr>
            <w:r>
              <w:rPr/>
              <w:t> </w:t>
            </w:r>
          </w:p>
        </w:tc>
        <w:tc>
          <w:tcPr>
            <w:tcW w:w="573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7"/>
              </w:rPr>
            </w:pPr>
            <w:r>
              <w:rPr>
                <w:rFonts w:ascii="inherit" w:hAnsi="inherit"/>
                <w:i/>
                <w:sz w:val="17"/>
              </w:rPr>
              <w:t>(in thousands)</w:t>
            </w:r>
          </w:p>
        </w:tc>
      </w:tr>
      <w:tr>
        <w:trPr/>
        <w:tc>
          <w:tcPr>
            <w:tcW w:w="4467"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U.S. &amp; Canada</w:t>
            </w:r>
          </w:p>
        </w:tc>
        <w:tc>
          <w:tcPr>
            <w:tcW w:w="135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296"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5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37" w:type="dxa"/>
            <w:gridSpan w:val="2"/>
            <w:tcBorders/>
            <w:shd w:fill="CCEEFF" w:val="clear"/>
            <w:vAlign w:val="center"/>
          </w:tcPr>
          <w:p>
            <w:pPr>
              <w:pStyle w:val="TableContents"/>
              <w:spacing w:before="0" w:after="0"/>
              <w:ind w:left="0" w:right="0" w:firstLine="30"/>
              <w:rPr/>
            </w:pPr>
            <w:r>
              <w:rPr/>
              <w:t> </w:t>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1,495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5" w:type="dxa"/>
            <w:tcBorders/>
            <w:shd w:fill="auto" w:val="clear"/>
            <w:vAlign w:val="center"/>
          </w:tcPr>
          <w:p>
            <w:pPr>
              <w:pStyle w:val="TableContents"/>
              <w:spacing w:before="0" w:after="0"/>
              <w:jc w:val="right"/>
              <w:rPr>
                <w:rFonts w:ascii="inherit" w:hAnsi="inherit"/>
                <w:sz w:val="17"/>
              </w:rPr>
            </w:pPr>
            <w:r>
              <w:rPr>
                <w:rFonts w:ascii="inherit" w:hAnsi="inherit"/>
                <w:sz w:val="17"/>
              </w:rPr>
              <w:t>1,510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4,519</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82" w:type="dxa"/>
            <w:tcBorders/>
            <w:shd w:fill="auto" w:val="clear"/>
            <w:vAlign w:val="center"/>
          </w:tcPr>
          <w:p>
            <w:pPr>
              <w:pStyle w:val="TableContents"/>
              <w:spacing w:before="0" w:after="0"/>
              <w:jc w:val="right"/>
              <w:rPr>
                <w:rFonts w:ascii="inherit" w:hAnsi="inherit"/>
                <w:sz w:val="17"/>
              </w:rPr>
            </w:pPr>
            <w:r>
              <w:rPr>
                <w:rFonts w:ascii="inherit" w:hAnsi="inherit"/>
                <w:sz w:val="17"/>
              </w:rPr>
              <w:t>4,667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2,942</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5" w:type="dxa"/>
            <w:tcBorders/>
            <w:shd w:fill="CCEEFF" w:val="clear"/>
            <w:vAlign w:val="center"/>
          </w:tcPr>
          <w:p>
            <w:pPr>
              <w:pStyle w:val="TableContents"/>
              <w:spacing w:before="0" w:after="0"/>
              <w:jc w:val="right"/>
              <w:rPr>
                <w:rFonts w:ascii="inherit" w:hAnsi="inherit"/>
                <w:sz w:val="17"/>
              </w:rPr>
            </w:pPr>
            <w:r>
              <w:rPr>
                <w:rFonts w:ascii="inherit" w:hAnsi="inherit"/>
                <w:sz w:val="17"/>
              </w:rPr>
              <w:t>2,576</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18" w:type="dxa"/>
            <w:tcBorders/>
            <w:shd w:fill="CCEEFF" w:val="clear"/>
            <w:vAlign w:val="center"/>
          </w:tcPr>
          <w:p>
            <w:pPr>
              <w:pStyle w:val="TableContents"/>
              <w:spacing w:before="0" w:after="0"/>
              <w:jc w:val="right"/>
              <w:rPr>
                <w:rFonts w:ascii="inherit" w:hAnsi="inherit"/>
                <w:sz w:val="17"/>
              </w:rPr>
            </w:pPr>
            <w:r>
              <w:rPr>
                <w:rFonts w:ascii="inherit" w:hAnsi="inherit"/>
                <w:sz w:val="17"/>
              </w:rPr>
              <w:t>8,980</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82" w:type="dxa"/>
            <w:tcBorders/>
            <w:shd w:fill="CCEEFF" w:val="clear"/>
            <w:vAlign w:val="center"/>
          </w:tcPr>
          <w:p>
            <w:pPr>
              <w:pStyle w:val="TableContents"/>
              <w:spacing w:before="0" w:after="0"/>
              <w:jc w:val="right"/>
              <w:rPr>
                <w:rFonts w:ascii="inherit" w:hAnsi="inherit"/>
                <w:sz w:val="17"/>
              </w:rPr>
            </w:pPr>
            <w:r>
              <w:rPr>
                <w:rFonts w:ascii="inherit" w:hAnsi="inherit"/>
                <w:sz w:val="17"/>
              </w:rPr>
              <w:t>7,334</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loss from discontinued operations before taxes</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(1,447</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55"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(1,066</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1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(4,461</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8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(2,667</w:t>
            </w:r>
          </w:p>
        </w:tc>
        <w:tc>
          <w:tcPr>
            <w:tcW w:w="15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13,427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13,427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8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(14,874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55"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(1,066</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1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(17,888</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8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(2,667</w:t>
            </w:r>
          </w:p>
        </w:tc>
        <w:tc>
          <w:tcPr>
            <w:tcW w:w="15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 (provision)</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839</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1,010</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(14,035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55"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(1,033</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1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(16,878</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8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(2,774</w:t>
            </w:r>
          </w:p>
        </w:tc>
        <w:tc>
          <w:tcPr>
            <w:tcW w:w="15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CCEEFF" w:val="clear"/>
            <w:vAlign w:val="center"/>
          </w:tcPr>
          <w:p>
            <w:pPr>
              <w:pStyle w:val="TableContents"/>
              <w:spacing w:before="0" w:after="0"/>
              <w:ind w:left="0" w:right="0" w:firstLine="30"/>
              <w:rPr/>
            </w:pPr>
            <w:r>
              <w:rPr/>
              <w:t> </w:t>
            </w:r>
          </w:p>
        </w:tc>
        <w:tc>
          <w:tcPr>
            <w:tcW w:w="135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296"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5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37" w:type="dxa"/>
            <w:gridSpan w:val="2"/>
            <w:tcBorders/>
            <w:shd w:fill="CCEEFF" w:val="clear"/>
            <w:vAlign w:val="center"/>
          </w:tcPr>
          <w:p>
            <w:pPr>
              <w:pStyle w:val="TableContents"/>
              <w:spacing w:before="0" w:after="0"/>
              <w:ind w:left="0" w:right="0" w:firstLine="30"/>
              <w:rPr/>
            </w:pPr>
            <w:r>
              <w:rPr/>
              <w:t> </w:t>
            </w:r>
          </w:p>
        </w:tc>
      </w:tr>
      <w:tr>
        <w:trPr/>
        <w:tc>
          <w:tcPr>
            <w:tcW w:w="4467"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Latin America</w:t>
            </w:r>
          </w:p>
        </w:tc>
        <w:tc>
          <w:tcPr>
            <w:tcW w:w="1359" w:type="dxa"/>
            <w:gridSpan w:val="2"/>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296" w:type="dxa"/>
            <w:gridSpan w:val="2"/>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359" w:type="dxa"/>
            <w:gridSpan w:val="2"/>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337" w:type="dxa"/>
            <w:gridSpan w:val="2"/>
            <w:tcBorders/>
            <w:shd w:fill="auto" w:val="clear"/>
            <w:vAlign w:val="center"/>
          </w:tcPr>
          <w:p>
            <w:pPr>
              <w:pStyle w:val="TableContents"/>
              <w:spacing w:before="0" w:after="0"/>
              <w:ind w:left="0" w:right="0" w:firstLine="30"/>
              <w:rPr/>
            </w:pPr>
            <w:r>
              <w:rPr/>
              <w:t> </w:t>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18" w:type="dxa"/>
            <w:tcBorders/>
            <w:shd w:fill="CCEEFF" w:val="clear"/>
            <w:vAlign w:val="center"/>
          </w:tcPr>
          <w:p>
            <w:pPr>
              <w:pStyle w:val="TableContents"/>
              <w:spacing w:before="0" w:after="0"/>
              <w:jc w:val="right"/>
              <w:rPr>
                <w:rFonts w:ascii="inherit" w:hAnsi="inherit"/>
                <w:sz w:val="17"/>
              </w:rPr>
            </w:pPr>
            <w:r>
              <w:rPr>
                <w:rFonts w:ascii="inherit" w:hAnsi="inherit"/>
                <w:sz w:val="17"/>
              </w:rPr>
              <w:t>752</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5" w:type="dxa"/>
            <w:tcBorders/>
            <w:shd w:fill="CCEEFF" w:val="clear"/>
            <w:vAlign w:val="center"/>
          </w:tcPr>
          <w:p>
            <w:pPr>
              <w:pStyle w:val="TableContents"/>
              <w:spacing w:before="0" w:after="0"/>
              <w:jc w:val="right"/>
              <w:rPr>
                <w:rFonts w:ascii="inherit" w:hAnsi="inherit"/>
                <w:sz w:val="17"/>
              </w:rPr>
            </w:pPr>
            <w:r>
              <w:rPr>
                <w:rFonts w:ascii="inherit" w:hAnsi="inherit"/>
                <w:sz w:val="17"/>
              </w:rPr>
              <w:t>821</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18" w:type="dxa"/>
            <w:tcBorders/>
            <w:shd w:fill="CCEEFF" w:val="clear"/>
            <w:vAlign w:val="center"/>
          </w:tcPr>
          <w:p>
            <w:pPr>
              <w:pStyle w:val="TableContents"/>
              <w:spacing w:before="0" w:after="0"/>
              <w:jc w:val="right"/>
              <w:rPr>
                <w:rFonts w:ascii="inherit" w:hAnsi="inherit"/>
                <w:sz w:val="17"/>
              </w:rPr>
            </w:pPr>
            <w:r>
              <w:rPr>
                <w:rFonts w:ascii="inherit" w:hAnsi="inherit"/>
                <w:sz w:val="17"/>
              </w:rPr>
              <w:t>2,483</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82" w:type="dxa"/>
            <w:tcBorders/>
            <w:shd w:fill="CCEEFF" w:val="clear"/>
            <w:vAlign w:val="center"/>
          </w:tcPr>
          <w:p>
            <w:pPr>
              <w:pStyle w:val="TableContents"/>
              <w:spacing w:before="0" w:after="0"/>
              <w:jc w:val="right"/>
              <w:rPr>
                <w:rFonts w:ascii="inherit" w:hAnsi="inherit"/>
                <w:sz w:val="17"/>
              </w:rPr>
            </w:pPr>
            <w:r>
              <w:rPr>
                <w:rFonts w:ascii="inherit" w:hAnsi="inherit"/>
                <w:sz w:val="17"/>
              </w:rPr>
              <w:t>2,775</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21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1,076</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5" w:type="dxa"/>
            <w:tcBorders/>
            <w:shd w:fill="auto" w:val="clear"/>
            <w:vAlign w:val="center"/>
          </w:tcPr>
          <w:p>
            <w:pPr>
              <w:pStyle w:val="TableContents"/>
              <w:spacing w:before="0" w:after="0"/>
              <w:jc w:val="right"/>
              <w:rPr>
                <w:rFonts w:ascii="inherit" w:hAnsi="inherit"/>
                <w:sz w:val="17"/>
              </w:rPr>
            </w:pPr>
            <w:r>
              <w:rPr>
                <w:rFonts w:ascii="inherit" w:hAnsi="inherit"/>
                <w:sz w:val="17"/>
              </w:rPr>
              <w:t>1,128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3,482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82" w:type="dxa"/>
            <w:tcBorders/>
            <w:shd w:fill="auto" w:val="clear"/>
            <w:vAlign w:val="center"/>
          </w:tcPr>
          <w:p>
            <w:pPr>
              <w:pStyle w:val="TableContents"/>
              <w:spacing w:before="0" w:after="0"/>
              <w:jc w:val="right"/>
              <w:rPr>
                <w:rFonts w:ascii="inherit" w:hAnsi="inherit"/>
                <w:sz w:val="17"/>
              </w:rPr>
            </w:pPr>
            <w:r>
              <w:rPr>
                <w:rFonts w:ascii="inherit" w:hAnsi="inherit"/>
                <w:sz w:val="17"/>
              </w:rPr>
              <w:t>3,337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loss from discontinued operations before taxes</w:t>
            </w:r>
          </w:p>
        </w:tc>
        <w:tc>
          <w:tcPr>
            <w:tcW w:w="121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(324</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15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(307</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1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(999</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18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(562</w:t>
            </w:r>
          </w:p>
        </w:tc>
        <w:tc>
          <w:tcPr>
            <w:tcW w:w="15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21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10,336</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5"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1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10,336</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21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(10,660</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15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(307</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1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(11,335</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18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(562</w:t>
            </w:r>
          </w:p>
        </w:tc>
        <w:tc>
          <w:tcPr>
            <w:tcW w:w="15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w:t>
            </w:r>
          </w:p>
        </w:tc>
        <w:tc>
          <w:tcPr>
            <w:tcW w:w="121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3,198</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1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3,400</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8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218" w:type="dxa"/>
            <w:tcBorders/>
            <w:shd w:fill="CCEEFF" w:val="clear"/>
            <w:vAlign w:val="center"/>
          </w:tcPr>
          <w:p>
            <w:pPr>
              <w:pStyle w:val="TableContents"/>
              <w:spacing w:before="0" w:after="0"/>
              <w:jc w:val="right"/>
              <w:rPr>
                <w:rFonts w:ascii="inherit" w:hAnsi="inherit"/>
                <w:sz w:val="17"/>
              </w:rPr>
            </w:pPr>
            <w:r>
              <w:rPr>
                <w:rFonts w:ascii="inherit" w:hAnsi="inherit"/>
                <w:sz w:val="17"/>
              </w:rPr>
              <w:t>(7,462</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15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(215</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18" w:type="dxa"/>
            <w:tcBorders/>
            <w:shd w:fill="CCEEFF" w:val="clear"/>
            <w:vAlign w:val="center"/>
          </w:tcPr>
          <w:p>
            <w:pPr>
              <w:pStyle w:val="TableContents"/>
              <w:spacing w:before="0" w:after="0"/>
              <w:jc w:val="right"/>
              <w:rPr>
                <w:rFonts w:ascii="inherit" w:hAnsi="inherit"/>
                <w:sz w:val="17"/>
              </w:rPr>
            </w:pPr>
            <w:r>
              <w:rPr>
                <w:rFonts w:ascii="inherit" w:hAnsi="inherit"/>
                <w:sz w:val="17"/>
              </w:rPr>
              <w:t>(7,935</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182" w:type="dxa"/>
            <w:tcBorders/>
            <w:shd w:fill="CCEEFF" w:val="clear"/>
            <w:vAlign w:val="center"/>
          </w:tcPr>
          <w:p>
            <w:pPr>
              <w:pStyle w:val="TableContents"/>
              <w:spacing w:before="0" w:after="0"/>
              <w:jc w:val="right"/>
              <w:rPr>
                <w:rFonts w:ascii="inherit" w:hAnsi="inherit"/>
                <w:sz w:val="17"/>
              </w:rPr>
            </w:pPr>
            <w:r>
              <w:rPr>
                <w:rFonts w:ascii="inherit" w:hAnsi="inherit"/>
                <w:sz w:val="17"/>
              </w:rPr>
              <w:t>(393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auto" w:val="clear"/>
            <w:vAlign w:val="center"/>
          </w:tcPr>
          <w:p>
            <w:pPr>
              <w:pStyle w:val="TableContents"/>
              <w:spacing w:before="0" w:after="0"/>
              <w:ind w:left="0" w:right="0" w:firstLine="30"/>
              <w:rPr/>
            </w:pPr>
            <w:r>
              <w:rPr/>
              <w:t> </w:t>
            </w:r>
          </w:p>
        </w:tc>
        <w:tc>
          <w:tcPr>
            <w:tcW w:w="1359" w:type="dxa"/>
            <w:gridSpan w:val="2"/>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296" w:type="dxa"/>
            <w:gridSpan w:val="2"/>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359" w:type="dxa"/>
            <w:gridSpan w:val="2"/>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337" w:type="dxa"/>
            <w:gridSpan w:val="2"/>
            <w:tcBorders/>
            <w:shd w:fill="auto" w:val="clear"/>
            <w:vAlign w:val="center"/>
          </w:tcPr>
          <w:p>
            <w:pPr>
              <w:pStyle w:val="TableContents"/>
              <w:spacing w:before="0" w:after="0"/>
              <w:ind w:left="0" w:right="0" w:firstLine="30"/>
              <w:rPr/>
            </w:pPr>
            <w:r>
              <w:rPr/>
              <w:t> </w:t>
            </w:r>
          </w:p>
        </w:tc>
      </w:tr>
      <w:tr>
        <w:trPr/>
        <w:tc>
          <w:tcPr>
            <w:tcW w:w="4467"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Consolidated</w:t>
            </w:r>
          </w:p>
        </w:tc>
        <w:tc>
          <w:tcPr>
            <w:tcW w:w="135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296"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5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37" w:type="dxa"/>
            <w:gridSpan w:val="2"/>
            <w:tcBorders/>
            <w:shd w:fill="CCEEFF" w:val="clear"/>
            <w:vAlign w:val="center"/>
          </w:tcPr>
          <w:p>
            <w:pPr>
              <w:pStyle w:val="TableContents"/>
              <w:spacing w:before="0" w:after="0"/>
              <w:ind w:left="0" w:right="0" w:firstLine="30"/>
              <w:rPr/>
            </w:pPr>
            <w:r>
              <w:rPr/>
              <w:t> </w:t>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2,247</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5" w:type="dxa"/>
            <w:tcBorders/>
            <w:shd w:fill="auto" w:val="clear"/>
            <w:vAlign w:val="center"/>
          </w:tcPr>
          <w:p>
            <w:pPr>
              <w:pStyle w:val="TableContents"/>
              <w:spacing w:before="0" w:after="0"/>
              <w:jc w:val="right"/>
              <w:rPr>
                <w:rFonts w:ascii="inherit" w:hAnsi="inherit"/>
                <w:sz w:val="17"/>
              </w:rPr>
            </w:pPr>
            <w:r>
              <w:rPr>
                <w:rFonts w:ascii="inherit" w:hAnsi="inherit"/>
                <w:sz w:val="17"/>
              </w:rPr>
              <w:t>2,331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7,002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82" w:type="dxa"/>
            <w:tcBorders/>
            <w:shd w:fill="auto" w:val="clear"/>
            <w:vAlign w:val="center"/>
          </w:tcPr>
          <w:p>
            <w:pPr>
              <w:pStyle w:val="TableContents"/>
              <w:spacing w:before="0" w:after="0"/>
              <w:jc w:val="right"/>
              <w:rPr>
                <w:rFonts w:ascii="inherit" w:hAnsi="inherit"/>
                <w:sz w:val="17"/>
              </w:rPr>
            </w:pPr>
            <w:r>
              <w:rPr>
                <w:rFonts w:ascii="inherit" w:hAnsi="inherit"/>
                <w:sz w:val="17"/>
              </w:rPr>
              <w:t>7,442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4,018</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3,704</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12,462</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10,671</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loss from discontinued operations before taxes</w:t>
            </w:r>
          </w:p>
        </w:tc>
        <w:tc>
          <w:tcPr>
            <w:tcW w:w="121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(1,771</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55"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(1,373</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1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(5,460</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8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(3,229</w:t>
            </w:r>
          </w:p>
        </w:tc>
        <w:tc>
          <w:tcPr>
            <w:tcW w:w="15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23,763</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23,763</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8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21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(25,534</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55"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(1,373</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1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(29,223</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8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(3,229</w:t>
            </w:r>
          </w:p>
        </w:tc>
        <w:tc>
          <w:tcPr>
            <w:tcW w:w="15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4,037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1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4,410</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(21,497</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55" w:type="dxa"/>
            <w:tcBorders/>
            <w:shd w:fill="auto" w:val="clear"/>
            <w:vAlign w:val="center"/>
          </w:tcPr>
          <w:p>
            <w:pPr>
              <w:pStyle w:val="TableContents"/>
              <w:spacing w:before="0" w:after="0"/>
              <w:jc w:val="right"/>
              <w:rPr>
                <w:rFonts w:ascii="inherit" w:hAnsi="inherit"/>
                <w:sz w:val="17"/>
              </w:rPr>
            </w:pPr>
            <w:r>
              <w:rPr>
                <w:rFonts w:ascii="inherit" w:hAnsi="inherit"/>
                <w:sz w:val="17"/>
              </w:rPr>
              <w:t>(1,248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(24,813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182" w:type="dxa"/>
            <w:tcBorders/>
            <w:shd w:fill="auto" w:val="clear"/>
            <w:vAlign w:val="center"/>
          </w:tcPr>
          <w:p>
            <w:pPr>
              <w:pStyle w:val="TableContents"/>
              <w:spacing w:before="0" w:after="0"/>
              <w:jc w:val="right"/>
              <w:rPr>
                <w:rFonts w:ascii="inherit" w:hAnsi="inherit"/>
                <w:sz w:val="17"/>
              </w:rPr>
            </w:pPr>
            <w:r>
              <w:rPr>
                <w:rFonts w:ascii="inherit" w:hAnsi="inherit"/>
                <w:sz w:val="17"/>
              </w:rPr>
              <w:t>(3,167</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b/>
          <w:i/>
          <w:sz w:val="17"/>
        </w:rPr>
      </w:pPr>
      <w:r>
        <w:rPr>
          <w:rFonts w:ascii="inherit" w:hAnsi="inherit"/>
          <w:b/>
          <w:i/>
          <w:sz w:val="17"/>
        </w:rPr>
        <w:t>Pawn and Retail Activities</w:t>
      </w:r>
    </w:p>
    <w:p>
      <w:pPr>
        <w:pStyle w:val="TextBody"/>
        <w:spacing w:lineRule="auto" w:line="288" w:before="0" w:after="0"/>
        <w:rPr>
          <w:sz w:val="17"/>
        </w:rPr>
      </w:pPr>
      <w:r>
        <w:rPr>
          <w:rFonts w:ascii="inherit" w:hAnsi="inherit"/>
          <w:sz w:val="17"/>
        </w:rPr>
        <w:t xml:space="preserve">Our pawn stores make pawn loans, which are typically small, non-recourse loans collateralized by tangible personal property. At </w:t>
      </w:r>
      <w:r>
        <w:rPr>
          <w:rFonts w:ascii="inherit" w:hAnsi="inherit"/>
          <w:strike w:val="false"/>
          <w:dstrike w:val="false"/>
          <w:color w:val="000000"/>
          <w:sz w:val="17"/>
          <w:u w:val="none"/>
          <w:effect w:val="none"/>
        </w:rPr>
        <w:t>June 30, 2013</w:t>
      </w:r>
      <w:r>
        <w:rPr>
          <w:rFonts w:ascii="inherit" w:hAnsi="inherit"/>
          <w:sz w:val="17"/>
        </w:rPr>
        <w:t xml:space="preserve">, we had an aggregate pawn loan principal balance of </w:t>
      </w:r>
      <w:r>
        <w:rPr>
          <w:rFonts w:ascii="inherit" w:hAnsi="inherit"/>
          <w:strike w:val="false"/>
          <w:dstrike w:val="false"/>
          <w:color w:val="000000"/>
          <w:sz w:val="17"/>
          <w:u w:val="none"/>
          <w:effect w:val="none"/>
        </w:rPr>
        <w:t>$154.1 million</w:t>
      </w:r>
      <w:r>
        <w:rPr>
          <w:rFonts w:ascii="inherit" w:hAnsi="inherit"/>
          <w:sz w:val="17"/>
        </w:rPr>
        <w:t xml:space="preserve">, and the average pawn loan was approximately $120. </w:t>
      </w:r>
      <w:r>
        <w:rPr>
          <w:rFonts w:ascii="inherit" w:hAnsi="inherit"/>
          <w:sz w:val="17"/>
          <w:highlight w:val="white"/>
        </w:rPr>
        <w:t xml:space="preserve">We earn pawn service charge revenue on our pawn lending. In the current quarter, pawn service charges accounted for approximately </w:t>
      </w:r>
      <w:r>
        <w:rPr>
          <w:rFonts w:ascii="inherit" w:hAnsi="inherit"/>
          <w:strike w:val="false"/>
          <w:dstrike w:val="false"/>
          <w:color w:val="000000"/>
          <w:sz w:val="17"/>
          <w:highlight w:val="white"/>
          <w:u w:val="none"/>
          <w:effect w:val="none"/>
        </w:rPr>
        <w:t>26%</w:t>
      </w:r>
      <w:r>
        <w:rPr>
          <w:sz w:val="17"/>
          <w:highlight w:val="white"/>
        </w:rPr>
        <w:t xml:space="preserve"> </w:t>
      </w:r>
      <w:r>
        <w:rPr>
          <w:rFonts w:ascii="inherit" w:hAnsi="inherit"/>
          <w:sz w:val="17"/>
          <w:highlight w:val="white"/>
        </w:rPr>
        <w:t xml:space="preserve">of our total revenues and </w:t>
      </w:r>
      <w:r>
        <w:rPr>
          <w:rFonts w:ascii="inherit" w:hAnsi="inherit"/>
          <w:strike w:val="false"/>
          <w:dstrike w:val="false"/>
          <w:color w:val="000000"/>
          <w:sz w:val="17"/>
          <w:highlight w:val="white"/>
          <w:u w:val="none"/>
          <w:effect w:val="none"/>
        </w:rPr>
        <w:t>40%</w:t>
      </w:r>
      <w:r>
        <w:rPr>
          <w:sz w:val="17"/>
          <w:highlight w:val="white"/>
        </w:rPr>
        <w:t xml:space="preserve"> </w:t>
      </w:r>
      <w:r>
        <w:rPr>
          <w:rFonts w:ascii="inherit" w:hAnsi="inherit"/>
          <w:sz w:val="17"/>
          <w:highlight w:val="white"/>
        </w:rPr>
        <w:t xml:space="preserve">of our net revenues. </w:t>
      </w:r>
    </w:p>
    <w:p>
      <w:pPr>
        <w:pStyle w:val="TextBody"/>
        <w:spacing w:lineRule="auto" w:line="288" w:before="0" w:after="0"/>
        <w:rPr>
          <w:rFonts w:ascii="inherit" w:hAnsi="inherit"/>
          <w:sz w:val="17"/>
        </w:rPr>
      </w:pPr>
      <w:r>
        <w:rPr>
          <w:rFonts w:ascii="inherit" w:hAnsi="inherit"/>
          <w:sz w:val="17"/>
        </w:rPr>
        <w:t>While allowable service charges vary by state and loan size, a majority of our U.S. pawn loans earn 20% per month. Our average U.S. pawn loan amount typically ranges between $130 to $135,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$65 U.S. dollars.</w:t>
      </w:r>
    </w:p>
    <w:p>
      <w:pPr>
        <w:pStyle w:val="TextBody"/>
        <w:spacing w:lineRule="auto" w:line="288" w:before="0" w:after="0"/>
        <w:rPr>
          <w:rFonts w:ascii="inherit" w:hAnsi="inherit"/>
          <w:sz w:val="17"/>
        </w:rPr>
      </w:pPr>
      <w:r>
        <w:rPr>
          <w:rFonts w:ascii="inherit" w:hAnsi="inherit"/>
          <w:sz w:val="17"/>
        </w:rPr>
        <w:t xml:space="preserve">In our pawn and buy/sell stores, we acquire inventory for retail sales through pawn loan forfeitures, purchases of customers’ second-hand merchandise or purchases of new or refurbished merchandise from third party vendors. The gross profit on sales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52</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of inventory depends primarily on our assessment of the loan or purchase value at the time the property is either accepted as loan collateral or purchased. Margins achieved upon sale of inventory are a function of the assessment of value at the time the pawn loan was originated or, in the case of purchased merchandise, the purchase price.</w:t>
      </w:r>
    </w:p>
    <w:p>
      <w:pPr>
        <w:pStyle w:val="TextBody"/>
        <w:spacing w:lineRule="auto" w:line="288" w:before="0" w:after="0"/>
        <w:rPr>
          <w:sz w:val="17"/>
        </w:rPr>
      </w:pPr>
      <w:r>
        <w:rPr>
          <w:rFonts w:ascii="inherit" w:hAnsi="inherit"/>
          <w:sz w:val="17"/>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w:t>
      </w:r>
      <w:r>
        <w:rPr>
          <w:rFonts w:ascii="inherit" w:hAnsi="inherit"/>
          <w:strike w:val="false"/>
          <w:dstrike w:val="false"/>
          <w:color w:val="000000"/>
          <w:sz w:val="17"/>
          <w:u w:val="none"/>
          <w:effect w:val="none"/>
        </w:rPr>
        <w:t>June 30, 2013</w:t>
      </w:r>
      <w:r>
        <w:rPr>
          <w:rFonts w:ascii="inherit" w:hAnsi="inherit"/>
          <w:sz w:val="17"/>
        </w:rPr>
        <w:t xml:space="preserve">, our total allowance was 4.5% of gross inventory compared to 6.5% at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4.9% at </w:t>
      </w:r>
      <w:r>
        <w:rPr>
          <w:rFonts w:ascii="inherit" w:hAnsi="inherit"/>
          <w:strike w:val="false"/>
          <w:dstrike w:val="false"/>
          <w:color w:val="000000"/>
          <w:sz w:val="17"/>
          <w:u w:val="none"/>
          <w:effect w:val="none"/>
        </w:rPr>
        <w:t>September 30, 2012</w:t>
      </w:r>
      <w:r>
        <w:rPr>
          <w:rFonts w:ascii="inherit" w:hAnsi="inherit"/>
          <w:sz w:val="17"/>
        </w:rPr>
        <w:t>. Changes in the valuation allowance are charged to merchandise cost of goods sold.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Consumer Loan Activities</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2013</w:t>
      </w:r>
      <w:r>
        <w:rPr>
          <w:rFonts w:ascii="inherit" w:hAnsi="inherit"/>
          <w:sz w:val="17"/>
        </w:rPr>
        <w:t xml:space="preserve">, our financial services stores and certain pawn stores in Texas offered credit services to customers seeking short-term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two types of consumer loans from the unaffiliated lenders. In all stores offering consumer loan credit services, customers can obtain single-payment unsecured consumer loans, with principal amounts up to $2,500 but averaging about $450. Terms of these loans are generally less than 30 days, averaging about 20 days, with due dates corresponding with the customers’ next payday. We typically earn a fee of 22% of the loan amount for our credit services offered in connection with single-payment loans. In the financial services stores offering credit services, customers can obtain longer-term unsecured multiple-payment loans from the unaffiliated lenders. There are two types of multiple-payment loans offered in connection with our credit services. All multiple-payment loans typically carry terms of about five months with up to ten equal installment payments, including principal amortization, due on customers’ paydays. Traditional multiple-payment loan principal amounts range from $100 to $3,500, but average approximately $2,135 in our store front locations. With each semi-monthly or bi-weekly installment payment, we earn a fee of 11-15% of the initial loan amount. Low dollar multiple-payment loan principal amounts range from $100 to $1,500, but average about $760. With each semi-monthly or bi-weekly installment payment, we earn a fee of 13-14% of the initial loan amount. At </w:t>
      </w:r>
      <w:r>
        <w:rPr>
          <w:rFonts w:ascii="inherit" w:hAnsi="inherit"/>
          <w:strike w:val="false"/>
          <w:dstrike w:val="false"/>
          <w:color w:val="000000"/>
          <w:sz w:val="17"/>
          <w:u w:val="none"/>
          <w:effect w:val="none"/>
        </w:rPr>
        <w:t>June 30, 2013</w:t>
      </w:r>
      <w:r>
        <w:rPr>
          <w:rFonts w:ascii="inherit" w:hAnsi="inherit"/>
          <w:sz w:val="17"/>
        </w:rPr>
        <w:t>, single-payment loans comprised 88% of the balance of signature loans brokered through our credit services, and multiple-payment loans comprised the remaining 12%.</w:t>
      </w:r>
    </w:p>
    <w:p>
      <w:pPr>
        <w:pStyle w:val="TextBody"/>
        <w:spacing w:lineRule="auto" w:line="288" w:before="0" w:after="0"/>
        <w:rPr>
          <w:rFonts w:ascii="inherit" w:hAnsi="inherit"/>
          <w:sz w:val="17"/>
        </w:rPr>
      </w:pPr>
      <w:r>
        <w:rPr>
          <w:rFonts w:ascii="inherit" w:hAnsi="inherit"/>
          <w:sz w:val="17"/>
        </w:rPr>
        <w:t>Outside of Texas, we earn loan fee revenue on our consumer loans. In our U.S. and Canada financial services stores and certain of our U.S. pawn stores, we offer single-payment loans subject to state or provincial law. The average single-payment loan amount is approximately $515 and the term is generally less than 30 days, averaging about 18 days. We typically charge a fee of 15% to 21% of the loan amount. In many of our U.S. financial services stores, we offer multiple-payment loans subject to state law. These multiple-payment loans carry a term of six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150% of the original principal amount of the loan. Multiple-payment loan principal amounts range from $100 to $3,500, but average approximately $540.</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2013</w:t>
      </w:r>
      <w:r>
        <w:rPr>
          <w:rFonts w:ascii="inherit" w:hAnsi="inherit"/>
          <w:sz w:val="17"/>
        </w:rPr>
        <w:t xml:space="preserve">, most of our U.S. financial services stores and certain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$1,020. We earn a fee of 10% to 30% of auto title loan amounts. Rates will vary depending on the value of the vehicle used as collateral. In Texas, we assist customers in obtaining multiple-payment auto title loans from unaffiliated lenders. These loans typically carry terms of two to five months with up to ten payments. Multiple payment auto title loan principal amounts range from $150 to $10,000, but average about $1,145, and we earn a fee of 2% to 41% of the initial loan amount. During the quarter, we realized a reduction in auto title loan yields from the previous quarter due to loans being collateralized by newer vehicles. </w:t>
      </w:r>
    </w:p>
    <w:p>
      <w:pPr>
        <w:pStyle w:val="TextBody"/>
        <w:spacing w:lineRule="auto" w:line="288" w:before="0" w:after="0"/>
        <w:rPr>
          <w:sz w:val="17"/>
        </w:rPr>
      </w:pPr>
      <w:r>
        <w:rPr>
          <w:rFonts w:ascii="inherit" w:hAnsi="inherit"/>
          <w:sz w:val="17"/>
        </w:rPr>
        <w:t xml:space="preserve">As of </w:t>
      </w:r>
      <w:r>
        <w:rPr>
          <w:rFonts w:ascii="inherit" w:hAnsi="inherit"/>
          <w:strike w:val="false"/>
          <w:dstrike w:val="false"/>
          <w:color w:val="000000"/>
          <w:sz w:val="17"/>
          <w:u w:val="none"/>
          <w:effect w:val="none"/>
        </w:rPr>
        <w:t>June 30, 2013</w:t>
      </w:r>
      <w:r>
        <w:rPr>
          <w:rFonts w:ascii="inherit" w:hAnsi="inherit"/>
          <w:sz w:val="17"/>
        </w:rPr>
        <w:t xml:space="preserve">, EZCORP Online operates in five states. In Louisiana, Missouri and South Dakota, we offer single-payment loans. The average single-payment loan principal is approximately $385 and the term is generally less than 30 days. Total interest and fees on these loans vary in accordance with state law and loan terms, but over the entire loan term, total approximately 25% to 45% of the original principal amount of the loan. In both Texas and Ohio, we offer credit services to customers seeking short-term consumer loans from unaffiliated lenders. We do not originate any of the loans made to customers, but instead earn a fee for assisting customers in obtaining credit from the unaffiliated lenders and for enhancing customers’ creditworthiness by providing a guarantee to the unaffiliated lenders. In Texas and Ohio, customers may obtain single-payment unsecured consumer loans, with principal amounts up to $1,500 but averaging about $460.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53</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In Mexico, Grupo Finmart has approximately 65 active payroll withholding agreements with Mexican employers, primarily federal, state and local governments and agencies, and provides multiple-payment consumer loans to the agencies' employees. Interest and principal payments are collected through payroll deductions. The average loan is approximately $1,170 U.S. dollars with a term of 31 months and annual yields of approximately 54%.</w:t>
      </w:r>
    </w:p>
    <w:p>
      <w:pPr>
        <w:pStyle w:val="TextBody"/>
        <w:spacing w:lineRule="auto" w:line="288" w:before="0" w:after="0"/>
        <w:rPr>
          <w:rFonts w:ascii="inherit" w:hAnsi="inherit"/>
          <w:sz w:val="17"/>
        </w:rPr>
      </w:pPr>
      <w:r>
        <w:rPr>
          <w:rFonts w:ascii="inherit" w:hAnsi="inherit"/>
          <w:sz w:val="17"/>
        </w:rPr>
        <w:t>In the U.K., Cash Genie offers unsecured single payment loans with a fixed fee of 30% of the loan amount. Loans are generally due within 28 days and can be renewed; the average loan duration is 20 days. Principal loan amounts range from $115 to $775 U.S. dollars but average $305 U.S. dollars.</w:t>
      </w:r>
    </w:p>
    <w:p>
      <w:pPr>
        <w:pStyle w:val="TextBody"/>
        <w:spacing w:lineRule="auto" w:line="288" w:before="0" w:after="0"/>
        <w:rPr>
          <w:rFonts w:ascii="inherit" w:hAnsi="inherit"/>
          <w:b/>
          <w:i/>
          <w:sz w:val="17"/>
        </w:rPr>
      </w:pPr>
      <w:r>
        <w:rPr>
          <w:rFonts w:ascii="inherit" w:hAnsi="inherit"/>
          <w:b/>
          <w:i/>
          <w:sz w:val="17"/>
        </w:rPr>
        <w:t>Acquisitions</w:t>
      </w:r>
    </w:p>
    <w:p>
      <w:pPr>
        <w:pStyle w:val="TextBody"/>
        <w:spacing w:lineRule="auto" w:line="288" w:before="0" w:after="0"/>
        <w:rPr>
          <w:rFonts w:ascii="inherit" w:hAnsi="inherit"/>
          <w:sz w:val="17"/>
        </w:rPr>
      </w:pPr>
      <w:r>
        <w:rPr>
          <w:rFonts w:ascii="inherit" w:hAnsi="inherit"/>
          <w:sz w:val="17"/>
        </w:rPr>
        <w:t xml:space="preserve">In the current quarter, Grupo Finmart purchased 100% of the outstanding shares of Fondo ACH, S.A. de C.V., a specialty consumer finance company, for $3.5 million and a consumer loan portfolio for total consideration of approximately $1.3 million. </w:t>
      </w:r>
    </w:p>
    <w:p>
      <w:pPr>
        <w:pStyle w:val="TextBody"/>
        <w:spacing w:lineRule="auto" w:line="288" w:before="0" w:after="0"/>
        <w:rPr>
          <w:sz w:val="17"/>
        </w:rPr>
      </w:pPr>
      <w:r>
        <w:rPr>
          <w:rFonts w:ascii="inherit" w:hAnsi="inherit"/>
          <w:sz w:val="17"/>
        </w:rPr>
        <w:t xml:space="preserve">In the current nine-month period ended </w:t>
      </w:r>
      <w:r>
        <w:rPr>
          <w:rFonts w:ascii="inherit" w:hAnsi="inherit"/>
          <w:strike w:val="false"/>
          <w:dstrike w:val="false"/>
          <w:color w:val="000000"/>
          <w:sz w:val="17"/>
          <w:u w:val="none"/>
          <w:effect w:val="none"/>
        </w:rPr>
        <w:t>June 30, 2013</w:t>
      </w:r>
      <w:r>
        <w:rPr>
          <w:rFonts w:ascii="inherit" w:hAnsi="inherit"/>
          <w:sz w:val="17"/>
        </w:rPr>
        <w:t xml:space="preserve">, we acquired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pawn stores in the U.S. for $23.1 million and Go Cash (now EZCORP Online), a U.S. online lender, for </w:t>
      </w:r>
      <w:r>
        <w:rPr>
          <w:rFonts w:ascii="inherit" w:hAnsi="inherit"/>
          <w:strike w:val="false"/>
          <w:dstrike w:val="false"/>
          <w:color w:val="000000"/>
          <w:sz w:val="17"/>
          <w:u w:val="none"/>
          <w:effect w:val="none"/>
        </w:rPr>
        <w:t>$50.8 million</w:t>
      </w:r>
      <w:r>
        <w:rPr>
          <w:rFonts w:ascii="inherit" w:hAnsi="inherit"/>
          <w:sz w:val="17"/>
        </w:rPr>
        <w:t xml:space="preserve">. As part of these two acquisitions, we began store operations in the state of Arizona and online operations in four states. We have since started online operations in the state of Ohio, bringing the total number of states in which we operate to 27 at </w:t>
      </w:r>
      <w:r>
        <w:rPr>
          <w:rFonts w:ascii="inherit" w:hAnsi="inherit"/>
          <w:strike w:val="false"/>
          <w:dstrike w:val="false"/>
          <w:color w:val="000000"/>
          <w:sz w:val="17"/>
          <w:u w:val="none"/>
          <w:effect w:val="none"/>
        </w:rPr>
        <w:t>June 30, 2013</w:t>
      </w:r>
      <w:r>
        <w:rPr>
          <w:rFonts w:ascii="inherit" w:hAnsi="inherit"/>
          <w:sz w:val="17"/>
        </w:rPr>
        <w:t xml:space="preserve">. In the current nine-month period, we acquired a 51% interest in Renueva Comercial S.A. de C.V., a company headquartered in Mexico City and doing business under the name “TUYO.” TUYO owns and operates </w:t>
      </w:r>
      <w:r>
        <w:rPr>
          <w:rFonts w:ascii="inherit" w:hAnsi="inherit"/>
          <w:strike w:val="false"/>
          <w:dstrike w:val="false"/>
          <w:color w:val="000000"/>
          <w:sz w:val="17"/>
          <w:u w:val="none"/>
          <w:effect w:val="none"/>
        </w:rPr>
        <w:t>19</w:t>
      </w:r>
      <w:r>
        <w:rPr>
          <w:sz w:val="17"/>
        </w:rPr>
        <w:t xml:space="preserve"> </w:t>
      </w:r>
      <w:r>
        <w:rPr>
          <w:rFonts w:ascii="inherit" w:hAnsi="inherit"/>
          <w:sz w:val="17"/>
        </w:rPr>
        <w:t xml:space="preserve">buy/sell stores in Mexico City and the surrounding metropolitan area. In the current nine-month period, we increased our interest in Cash Genie, our online lending subsidiary in the U.K., from 72% to 95%. Subsequent to June 30, 2013, we acquired th remaining shares from local management and now own 100% of Cash Genie as of August 1, 2013. </w:t>
      </w:r>
    </w:p>
    <w:p>
      <w:pPr>
        <w:pStyle w:val="TextBody"/>
        <w:spacing w:lineRule="auto" w:line="288" w:before="0" w:after="0"/>
        <w:rPr>
          <w:rFonts w:ascii="inherit" w:hAnsi="inherit"/>
          <w:b/>
          <w:i/>
          <w:sz w:val="17"/>
        </w:rPr>
      </w:pPr>
      <w:r>
        <w:rPr>
          <w:rFonts w:ascii="inherit" w:hAnsi="inherit"/>
          <w:b/>
          <w:i/>
          <w:sz w:val="17"/>
        </w:rPr>
        <w:t>International Growth</w:t>
      </w:r>
    </w:p>
    <w:p>
      <w:pPr>
        <w:pStyle w:val="TextBody"/>
        <w:spacing w:lineRule="auto" w:line="288" w:before="0" w:after="0"/>
        <w:rPr>
          <w:sz w:val="17"/>
        </w:rPr>
      </w:pPr>
      <w:r>
        <w:rPr>
          <w:rFonts w:ascii="inherit" w:hAnsi="inherit"/>
          <w:sz w:val="17"/>
        </w:rPr>
        <w:t xml:space="preserve">With continued execution of our geographic and product diversification strategy, nearly </w:t>
      </w:r>
      <w:r>
        <w:rPr>
          <w:rFonts w:ascii="inherit" w:hAnsi="inherit"/>
          <w:strike w:val="false"/>
          <w:dstrike w:val="false"/>
          <w:color w:val="000000"/>
          <w:sz w:val="17"/>
          <w:u w:val="none"/>
          <w:effect w:val="none"/>
        </w:rPr>
        <w:t>27%</w:t>
      </w:r>
      <w:r>
        <w:rPr>
          <w:sz w:val="17"/>
        </w:rPr>
        <w:t xml:space="preserve"> </w:t>
      </w:r>
      <w:r>
        <w:rPr>
          <w:rFonts w:ascii="inherit" w:hAnsi="inherit"/>
          <w:sz w:val="17"/>
        </w:rPr>
        <w:t xml:space="preserve">of our consolidated segment contribution in the current quarter was attributable to areas outside the United States, up from </w:t>
      </w:r>
      <w:r>
        <w:rPr>
          <w:rFonts w:ascii="inherit" w:hAnsi="inherit"/>
          <w:strike w:val="false"/>
          <w:dstrike w:val="false"/>
          <w:color w:val="000000"/>
          <w:sz w:val="17"/>
          <w:u w:val="none"/>
          <w:effect w:val="none"/>
        </w:rPr>
        <w:t>21%</w:t>
      </w:r>
      <w:r>
        <w:rPr>
          <w:sz w:val="17"/>
        </w:rPr>
        <w:t xml:space="preserve"> </w:t>
      </w:r>
      <w:r>
        <w:rPr>
          <w:rFonts w:ascii="inherit" w:hAnsi="inherit"/>
          <w:sz w:val="17"/>
        </w:rPr>
        <w:t xml:space="preserve">in the prior year quarter. Total revenue in the Latin America and Other International segments combined increased </w:t>
      </w:r>
      <w:r>
        <w:rPr>
          <w:rFonts w:ascii="inherit" w:hAnsi="inherit"/>
          <w:strike w:val="false"/>
          <w:dstrike w:val="false"/>
          <w:color w:val="000000"/>
          <w:sz w:val="17"/>
          <w:u w:val="none"/>
          <w:effect w:val="none"/>
        </w:rPr>
        <w:t>28%</w:t>
      </w:r>
      <w:r>
        <w:rPr>
          <w:sz w:val="17"/>
        </w:rPr>
        <w:t xml:space="preserve"> </w:t>
      </w:r>
      <w:r>
        <w:rPr>
          <w:rFonts w:ascii="inherit" w:hAnsi="inherit"/>
          <w:sz w:val="17"/>
        </w:rPr>
        <w:t xml:space="preserve">in the current quarter from the prior year quarter. These year-over year increases are the result of continued strength in our Empeño Fácil and Grupo Finmart businesses in Mexico, our Cash Genie business in the U.K.,the acquisition of controlling interests in TUYO, and our strategic investments in the United Kingdom and Australia. </w:t>
      </w:r>
    </w:p>
    <w:p>
      <w:pPr>
        <w:pStyle w:val="TextBody"/>
        <w:spacing w:lineRule="auto" w:line="288" w:before="0" w:after="0"/>
        <w:rPr>
          <w:rFonts w:ascii="inherit" w:hAnsi="inherit"/>
          <w:b/>
          <w:i/>
          <w:sz w:val="17"/>
        </w:rPr>
      </w:pPr>
      <w:r>
        <w:rPr>
          <w:rFonts w:ascii="inherit" w:hAnsi="inherit"/>
          <w:b/>
          <w:i/>
          <w:sz w:val="17"/>
        </w:rPr>
        <w:t>Seasonality</w:t>
      </w:r>
    </w:p>
    <w:p>
      <w:pPr>
        <w:pStyle w:val="TextBody"/>
        <w:spacing w:lineRule="auto" w:line="288" w:before="0" w:after="0"/>
        <w:jc w:val="left"/>
        <w:rPr>
          <w:rFonts w:ascii="inherit" w:hAnsi="inherit"/>
          <w:sz w:val="17"/>
        </w:rPr>
      </w:pPr>
      <w:r>
        <w:rPr>
          <w:rFonts w:ascii="inherit" w:hAnsi="inherit"/>
          <w:sz w:val="17"/>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pStyle w:val="TextBody"/>
        <w:spacing w:lineRule="auto" w:line="288" w:before="0" w:after="0"/>
        <w:jc w:val="left"/>
        <w:rPr>
          <w:rFonts w:ascii="inherit" w:hAnsi="inherit"/>
          <w:sz w:val="17"/>
        </w:rPr>
      </w:pPr>
      <w:r>
        <w:rPr>
          <w:rFonts w:ascii="inherit" w:hAnsi="inherit"/>
          <w:sz w:val="17"/>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pStyle w:val="TextBody"/>
        <w:spacing w:lineRule="auto" w:line="288" w:before="0" w:after="0"/>
        <w:jc w:val="left"/>
        <w:rPr>
          <w:rFonts w:ascii="inherit" w:hAnsi="inherit"/>
          <w:sz w:val="17"/>
        </w:rPr>
      </w:pPr>
      <w:r>
        <w:rPr>
          <w:rFonts w:ascii="inherit" w:hAnsi="inherit"/>
          <w:sz w:val="17"/>
        </w:rPr>
        <w:t xml:space="preserve">The payroll withholding lending business is less impacted by seasonality, with the exception of the summer months when new loan originations tend to moderate. </w:t>
      </w:r>
    </w:p>
    <w:p>
      <w:pPr>
        <w:pStyle w:val="TextBody"/>
        <w:spacing w:lineRule="auto" w:line="288" w:before="0" w:after="0"/>
        <w:jc w:val="left"/>
        <w:rPr>
          <w:rFonts w:ascii="inherit" w:hAnsi="inherit"/>
          <w:sz w:val="17"/>
        </w:rPr>
      </w:pPr>
      <w:r>
        <w:rPr>
          <w:rFonts w:ascii="inherit" w:hAnsi="inherit"/>
          <w:sz w:val="17"/>
        </w:rPr>
        <w:t xml:space="preserve">The net effect of these factors is that net revenues and net income typically are strongest in the fourth fiscal quarter and weakest in the third fiscal quarter.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54</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Recent Regulatory Developments</w:t>
      </w:r>
    </w:p>
    <w:p>
      <w:pPr>
        <w:pStyle w:val="TextBody"/>
        <w:spacing w:lineRule="auto" w:line="288" w:before="0" w:after="0"/>
        <w:rPr>
          <w:rFonts w:ascii="inherit" w:hAnsi="inherit"/>
          <w:sz w:val="17"/>
          <w:u w:val="single"/>
        </w:rPr>
      </w:pPr>
      <w:r>
        <w:rPr>
          <w:rFonts w:ascii="inherit" w:hAnsi="inherit"/>
          <w:sz w:val="17"/>
          <w:u w:val="single"/>
        </w:rPr>
        <w:t>Consumer Financial Protection Bureau</w:t>
      </w:r>
    </w:p>
    <w:p>
      <w:pPr>
        <w:pStyle w:val="TextBody"/>
        <w:spacing w:lineRule="auto" w:line="288" w:before="0" w:after="0"/>
        <w:jc w:val="left"/>
        <w:rPr>
          <w:rFonts w:ascii="inherit" w:hAnsi="inherit"/>
          <w:sz w:val="17"/>
        </w:rPr>
      </w:pPr>
      <w:r>
        <w:rPr>
          <w:rFonts w:ascii="inherit" w:hAnsi="inherit"/>
          <w:sz w:val="17"/>
        </w:rPr>
        <w:t>On April 24, 2013, the Consumer Financial Protection Bureau (the “CFPB”), which has regulatory, supervisory and enforcement powers over providers of consumer financial products and services, including banks and other providers of consumer loans such as EZCORP, issued a report entitled “Payday Loans and Deposit Advance Products,” indicating that it has “engaged in an in-depth review of short-term small dollar loans, including payday loans.” The report discusses the initial findings of the CFPB regarding short-term payday loans provided by non-bank financial institutions like EZCORP and deposit account advances offered by depository institutions. While the CFPB acknowledges the clear demand for small dollar credit products, it does express concern regarding the risk of sustained use of these products by some consumers. The report reiterated that the CFPB has authority to adopt rules identifying unfair, deceptive or abusive practices in connection with the offering of consumer financial products and services. The report also indicated that the CFPB’s review suggested that the potential for consumer harm and the data gathered in its review warrant further attention to protect consumers and stated that the CFPB expects to use its authorities to provide such protections. Additionally, the CFPB indicated that the report did not focus on online lending and that the CFPB plans to conduct a similar analysis of online payday loan usage.</w:t>
      </w:r>
    </w:p>
    <w:p>
      <w:pPr>
        <w:pStyle w:val="TextBody"/>
        <w:spacing w:lineRule="auto" w:line="288" w:before="0" w:after="0"/>
        <w:jc w:val="left"/>
        <w:rPr>
          <w:rFonts w:ascii="inherit" w:hAnsi="inherit"/>
          <w:sz w:val="17"/>
          <w:u w:val="single"/>
        </w:rPr>
      </w:pPr>
      <w:r>
        <w:rPr>
          <w:rFonts w:ascii="inherit" w:hAnsi="inherit"/>
          <w:sz w:val="17"/>
          <w:u w:val="single"/>
        </w:rPr>
        <w:t>Texas</w:t>
      </w:r>
    </w:p>
    <w:p>
      <w:pPr>
        <w:pStyle w:val="TextBody"/>
        <w:spacing w:lineRule="auto" w:line="288" w:before="0" w:after="0"/>
        <w:jc w:val="left"/>
        <w:rPr>
          <w:rFonts w:ascii="inherit" w:hAnsi="inherit"/>
          <w:sz w:val="17"/>
        </w:rPr>
      </w:pPr>
      <w:r>
        <w:rPr>
          <w:rFonts w:ascii="inherit" w:hAnsi="inherit"/>
          <w:sz w:val="17"/>
        </w:rPr>
        <w:t xml:space="preserve">We offer short-term consumer loans in Texas through our CSO program in both storefronts and online. During the most recent session, Texas House of Representatives failed to take up legislation that would adversely affect our consumer loan business, including caps on fees and other restrictions.  The matter failed to receive enough positive votes in committee.  The Texas Legislature did not pass any other meaningful legislation regarding pay day lending.  </w:t>
      </w:r>
    </w:p>
    <w:p>
      <w:pPr>
        <w:pStyle w:val="TextBody"/>
        <w:spacing w:lineRule="auto" w:line="288" w:before="0" w:after="0"/>
        <w:rPr>
          <w:rFonts w:ascii="inherit" w:hAnsi="inherit"/>
          <w:b/>
          <w:sz w:val="17"/>
          <w:u w:val="single"/>
        </w:rPr>
      </w:pPr>
      <w:bookmarkStart w:id="45" w:name="s001C586281DDE5EA8F5ECD292BB693A5"/>
      <w:bookmarkEnd w:id="45"/>
      <w:r>
        <w:rPr>
          <w:rFonts w:ascii="inherit" w:hAnsi="inherit"/>
          <w:b/>
          <w:sz w:val="17"/>
          <w:u w:val="single"/>
        </w:rPr>
        <w:t>Certain Accounting Matters</w:t>
      </w:r>
    </w:p>
    <w:p>
      <w:pPr>
        <w:pStyle w:val="TextBody"/>
        <w:spacing w:lineRule="auto" w:line="288" w:before="0" w:after="0"/>
        <w:rPr>
          <w:rFonts w:ascii="inherit" w:hAnsi="inherit"/>
          <w:b/>
          <w:i/>
          <w:sz w:val="17"/>
        </w:rPr>
      </w:pPr>
      <w:r>
        <w:rPr>
          <w:rFonts w:ascii="inherit" w:hAnsi="inherit"/>
          <w:b/>
          <w:i/>
          <w:sz w:val="17"/>
        </w:rPr>
        <w:t>Critical Accounting Policies</w:t>
      </w:r>
    </w:p>
    <w:p>
      <w:pPr>
        <w:pStyle w:val="TextBody"/>
        <w:spacing w:lineRule="auto" w:line="288" w:before="0" w:after="0"/>
        <w:rPr>
          <w:sz w:val="17"/>
        </w:rPr>
      </w:pPr>
      <w:r>
        <w:rPr>
          <w:rFonts w:ascii="inherit" w:hAnsi="inherit"/>
          <w:i/>
          <w:sz w:val="17"/>
          <w:u w:val="single"/>
        </w:rPr>
        <w:t xml:space="preserve">Unsecured Consumer Loan Revenue and Bad Debt </w:t>
      </w:r>
      <w:r>
        <w:rPr>
          <w:sz w:val="17"/>
        </w:rPr>
        <w:t xml:space="preserve">— </w:t>
      </w:r>
      <w:r>
        <w:rPr>
          <w:rFonts w:ascii="inherit" w:hAnsi="inherit"/>
          <w:sz w:val="17"/>
        </w:rPr>
        <w:t>On November 20, 2012, we entered into a definitive agreement with Go Cash, LLC and certain of its affiliates ("Go Cash") to acquire substantially all the assets of Go Cash's online lending business. This acquisition was completed on December 20, 2012 and accounted for as an asset purchase. Since the acquisition, Go Cash (now EZCORP Online) has modified the following consumer loan policies:</w:t>
      </w:r>
    </w:p>
    <w:p>
      <w:pPr>
        <w:pStyle w:val="TextBody"/>
        <w:spacing w:lineRule="auto" w:line="288" w:before="0" w:after="0"/>
        <w:rPr>
          <w:rFonts w:ascii="inherit" w:hAnsi="inherit"/>
          <w:sz w:val="17"/>
        </w:rPr>
      </w:pPr>
      <w:r>
        <w:rPr>
          <w:rFonts w:ascii="inherit" w:hAnsi="inherit"/>
          <w:sz w:val="17"/>
        </w:rPr>
        <w:t xml:space="preserve">Consumer loans made by EZCORP Online are considered delinquent if they are not repaid or renewed by the maturity date.   We do not accrue additional revenues on delinquent loans. All outstanding principal balances and fee receivables greater than 60 days past due are considered defaulted. Upon default, we charge consumer loan principal to consumer loan bad debt and reverse accrued unsecured consumer loan fee revenue. </w:t>
      </w:r>
    </w:p>
    <w:p>
      <w:pPr>
        <w:pStyle w:val="TextBody"/>
        <w:spacing w:lineRule="auto" w:line="288" w:before="0" w:after="0"/>
        <w:rPr>
          <w:sz w:val="17"/>
        </w:rPr>
      </w:pPr>
      <w:r>
        <w:rPr>
          <w:rFonts w:ascii="inherit" w:hAnsi="inherit"/>
          <w:i/>
          <w:sz w:val="17"/>
          <w:u w:val="single"/>
        </w:rPr>
        <w:t>Derivative Instruments and Hedging Activitie</w:t>
      </w:r>
      <w:r>
        <w:rPr>
          <w:rFonts w:ascii="inherit" w:hAnsi="inherit"/>
          <w:i/>
          <w:sz w:val="17"/>
        </w:rPr>
        <w:t xml:space="preserve">s — </w:t>
      </w:r>
      <w:r>
        <w:rPr>
          <w:rFonts w:ascii="inherit" w:hAnsi="inherit"/>
          <w:sz w:val="17"/>
        </w:rPr>
        <w:t>We recognize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accumulated other comprehensive income, to the extent the derivative is effective at offsetting the changes in cash flows being hedged until the hedged item affects earnings.</w:t>
      </w:r>
    </w:p>
    <w:p>
      <w:pPr>
        <w:pStyle w:val="TextBody"/>
        <w:spacing w:lineRule="auto" w:line="288" w:before="0" w:after="0"/>
        <w:jc w:val="left"/>
        <w:rPr>
          <w:rFonts w:ascii="inherit" w:hAnsi="inherit"/>
          <w:sz w:val="17"/>
        </w:rPr>
      </w:pPr>
      <w:r>
        <w:rPr>
          <w:rFonts w:ascii="inherit" w:hAnsi="inherit"/>
          <w:sz w:val="17"/>
        </w:rPr>
        <w:t>We enter into derivative contracts that we intend to designate as a hedge of a forecasted transaction or the variability of cash flows to be received or paid related to a recognized asset or liability (cash flow hedge). For all hedging relationships, we formally document the hedging relationship and its risk</w:t>
        <w:noBreakHyphen/>
        <w:t>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We also formally assesses, both at the inception of the hedging relationship and on an ongoing basis, whether the derivatives that are used in hedging relationships are highly effective in offsetting changes in cash flows of hedged transactions. For derivative instruments that are designated and qualify as part of a cash flow hedging relationship,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pStyle w:val="TextBody"/>
        <w:spacing w:lineRule="auto" w:line="288" w:before="0" w:after="0"/>
        <w:jc w:val="left"/>
        <w:rPr>
          <w:rFonts w:ascii="inherit" w:hAnsi="inherit"/>
          <w:sz w:val="17"/>
        </w:rPr>
      </w:pPr>
      <w:r>
        <w:rPr>
          <w:rFonts w:ascii="inherit" w:hAnsi="inherit"/>
          <w:sz w:val="17"/>
        </w:rPr>
        <w:t>We discontinue hedge accounting prospectively when it us determined that the derivative is no longer effective in offsetting cash flows attributable to the hedged risk, the derivative expires or is sold, terminated, or exercised, the cash flow hedge is redesignated because a forecasted transaction is not probable of occurring, or management determines to remove the designation of the cash flow hedge.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55</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In all situations in which hedge accounting is discontinued and the derivative remains outstanding, we continue to carry the derivative at its fair value on the balance sheet and recognizes any subsequent changes in its fair value in earnings. When it is probable that a forecasted transaction will not occur, we discontinue hedge accounting and recognize immediately in earnings gains and losses that were accumulated in other comprehensive income related to the hedging relationship. </w:t>
      </w:r>
    </w:p>
    <w:p>
      <w:pPr>
        <w:pStyle w:val="TextBody"/>
        <w:spacing w:lineRule="auto" w:line="288" w:before="0" w:after="0"/>
        <w:rPr>
          <w:rFonts w:ascii="inherit" w:hAnsi="inherit"/>
          <w:b/>
          <w:sz w:val="17"/>
          <w:u w:val="single"/>
        </w:rPr>
      </w:pPr>
      <w:r>
        <w:rPr>
          <w:rFonts w:ascii="inherit" w:hAnsi="inherit"/>
          <w:b/>
          <w:sz w:val="17"/>
          <w:u w:val="single"/>
        </w:rPr>
        <w:t>Recently Adopted Accounting Pronouncements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the Financial Accounting Standards Board ("FASB") issued Accounting Standards Update ("ASU") 2011-11, </w:t>
      </w:r>
      <w:r>
        <w:rPr>
          <w:rFonts w:ascii="inherit" w:hAnsi="inherit"/>
          <w:i/>
          <w:sz w:val="17"/>
        </w:rPr>
        <w:t>Disclosures about Offsetting Assets and Liabilities.</w:t>
      </w:r>
      <w:r>
        <w:rPr>
          <w:sz w:val="17"/>
        </w:rPr>
        <w:t xml:space="preserve"> </w:t>
      </w:r>
      <w:r>
        <w:rPr>
          <w:rFonts w:ascii="inherit" w:hAnsi="inherit"/>
          <w:sz w:val="17"/>
        </w:rPr>
        <w:t xml:space="preserve">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w:t>
      </w:r>
      <w:r>
        <w:rPr>
          <w:rFonts w:ascii="inherit" w:hAnsi="inherit"/>
          <w:strike w:val="false"/>
          <w:dstrike w:val="false"/>
          <w:color w:val="000000"/>
          <w:sz w:val="17"/>
          <w:u w:val="none"/>
          <w:effect w:val="none"/>
        </w:rPr>
        <w:t>January 1, 2013</w:t>
      </w:r>
      <w:r>
        <w:rPr>
          <w:rFonts w:ascii="inherit" w:hAnsi="inherit"/>
          <w:sz w:val="17"/>
        </w:rPr>
        <w:t>. Disclosures are required retrospectively for all comparative periods presented. Currently, we do not enter into any right of offset arrangements and the adoption of ASU 2011-11 did not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2013-01, </w:t>
      </w:r>
      <w:r>
        <w:rPr>
          <w:rFonts w:ascii="inherit" w:hAnsi="inherit"/>
          <w:i/>
          <w:sz w:val="17"/>
        </w:rPr>
        <w:t xml:space="preserve">Balance Sheet (Topic 210): Clarifying the Scope of Disclosures about Offsetting Assets and Liabilities. </w:t>
      </w:r>
      <w:r>
        <w:rPr>
          <w:rFonts w:ascii="inherit" w:hAnsi="inherit"/>
          <w:sz w:val="17"/>
        </w:rPr>
        <w:t xml:space="preserve">This update addresses implementation issues about the scope of ASU 2011-11. The amendments in this ASU clarify that the scope of the disclosures under U.S. GAAP is limited to derivatives, including bifurcated embedded derivatives, repurchase agreements, reverse purchase agreements, securities borrowing and securities lending transactions that are offset in accordance with FASB ASC 210-20-45 </w:t>
      </w:r>
      <w:r>
        <w:rPr>
          <w:rFonts w:ascii="inherit" w:hAnsi="inherit"/>
          <w:i/>
          <w:sz w:val="17"/>
        </w:rPr>
        <w:t xml:space="preserve">Balance Sheet—Offsetting—Other Presentation Matters, </w:t>
      </w:r>
      <w:r>
        <w:rPr>
          <w:rFonts w:ascii="inherit" w:hAnsi="inherit"/>
          <w:sz w:val="17"/>
        </w:rPr>
        <w:t xml:space="preserve">or FASB ASC 815-10-45 </w:t>
      </w:r>
      <w:r>
        <w:rPr>
          <w:rFonts w:ascii="inherit" w:hAnsi="inherit"/>
          <w:i/>
          <w:sz w:val="17"/>
        </w:rPr>
        <w:t xml:space="preserve">Derivatives and Hedging — Overall — Other Presentation Matters, </w:t>
      </w:r>
      <w:r>
        <w:rPr>
          <w:rFonts w:ascii="inherit" w:hAnsi="inherit"/>
          <w:sz w:val="17"/>
        </w:rPr>
        <w:t xml:space="preserve">or subject to a master netting arrangement or similar agreement. Entities with other types of financial assets and financial liabilities subject to a master netting arrangement or similar agreement are no longer subject to the disclosure requirements in ASU 2011-11. This update requires entities to apply the amendments for annual reporting periods beginning on or after </w:t>
      </w:r>
      <w:r>
        <w:rPr>
          <w:rFonts w:ascii="inherit" w:hAnsi="inherit"/>
          <w:strike w:val="false"/>
          <w:dstrike w:val="false"/>
          <w:color w:val="000000"/>
          <w:sz w:val="17"/>
          <w:u w:val="none"/>
          <w:effect w:val="none"/>
        </w:rPr>
        <w:t>January 1, 2013</w:t>
      </w:r>
      <w:r>
        <w:rPr>
          <w:sz w:val="17"/>
        </w:rPr>
        <w:t xml:space="preserve"> </w:t>
      </w:r>
      <w:r>
        <w:rPr>
          <w:rFonts w:ascii="inherit" w:hAnsi="inherit"/>
          <w:sz w:val="17"/>
        </w:rPr>
        <w:t>and interim periods within those annual periods and to provide the required disclosures retrospectively for all comparative periods presented. Currently, we do not enter into any right of offset arrangements and the adoption of ASU 2013-01 did not have a material effect on our financial position, results of operations or cash flows.</w:t>
      </w:r>
    </w:p>
    <w:p>
      <w:pPr>
        <w:pStyle w:val="TextBody"/>
        <w:spacing w:lineRule="auto" w:line="288" w:before="0" w:after="0"/>
        <w:rPr>
          <w:rFonts w:ascii="inherit" w:hAnsi="inherit"/>
          <w:b/>
          <w:sz w:val="17"/>
          <w:u w:val="single"/>
        </w:rPr>
      </w:pPr>
      <w:r>
        <w:rPr>
          <w:rFonts w:ascii="inherit" w:hAnsi="inherit"/>
          <w:b/>
          <w:sz w:val="17"/>
          <w:u w:val="single"/>
        </w:rPr>
        <w:t>Recently Issued Accounting Pronouncements</w:t>
      </w:r>
    </w:p>
    <w:p>
      <w:pPr>
        <w:pStyle w:val="TextBody"/>
        <w:spacing w:lineRule="auto" w:line="288" w:before="0" w:after="0"/>
        <w:rPr>
          <w:sz w:val="17"/>
        </w:rPr>
      </w:pPr>
      <w:r>
        <w:rPr>
          <w:rFonts w:ascii="inherit" w:hAnsi="inherit"/>
          <w:sz w:val="17"/>
        </w:rPr>
        <w:t xml:space="preserve">In July 2013, the FASB issued ASU 2013-11, </w:t>
      </w:r>
      <w:r>
        <w:rPr>
          <w:rFonts w:ascii="inherit" w:hAnsi="inherit"/>
          <w:i/>
          <w:sz w:val="17"/>
        </w:rPr>
        <w:t>Income Taxes (Topic 740) - Presentation of an Unrecognized Tax Benefit when a Net Operating Loss Carryforward or Tax Credit Carryforward Exists.</w:t>
      </w:r>
      <w:r>
        <w:rPr>
          <w:sz w:val="17"/>
        </w:rPr>
        <w:t xml:space="preserve">  </w:t>
      </w:r>
      <w:r>
        <w:rPr>
          <w:rFonts w:ascii="inherit" w:hAnsi="inherit"/>
          <w:sz w:val="17"/>
        </w:rPr>
        <w:t>This update provides that an entity's unrecognized tax benefit, or a portion of its unrecognized tax benefit, should be presented in its financial statements as a reduction to a deferred tax asset for a net operating loss carryforward, a similar tax loss, or a tax credit carryforward, with one exception. That exception states that,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update applies prospectively to all entities that have unrecognized tax benefits when a net operating loss carryforward, a similar tax loss, or a tax credit carryforward exists at the reporting date. Retrospective application is also permitted. This update is effective for annual periods, and interim periods within those years, beginning after December 15, 2013. We do not anticipate the adoption of ASU 2013-03 to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October 2012, the FASB issued ASU 2012-04, </w:t>
      </w:r>
      <w:r>
        <w:rPr>
          <w:rFonts w:ascii="inherit" w:hAnsi="inherit"/>
          <w:i/>
          <w:sz w:val="17"/>
        </w:rPr>
        <w:t xml:space="preserve">Technical Corrections and Improvements. </w:t>
      </w:r>
      <w:r>
        <w:rPr>
          <w:rFonts w:ascii="inherit" w:hAnsi="inherit"/>
          <w:sz w:val="17"/>
        </w:rPr>
        <w:t>This update clarifies the Codification or corrects unintended application of guidance and includes amendments identifying when the use of fair value should be linked to the definition of fair value in Topic 820, Fair Value Measurement. Amendments to the Codification without transition guidance are effective upon issuance for both public and nonpublic entities. For public entities, amendments subject to transition guidance will be effective for fiscal periods beginning after December 15, 2012. We do not anticipate that the adoption of ASU 2012-04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2013-02, </w:t>
      </w:r>
      <w:r>
        <w:rPr>
          <w:rFonts w:ascii="inherit" w:hAnsi="inherit"/>
          <w:i/>
          <w:sz w:val="17"/>
        </w:rPr>
        <w:t>Comprehensive income (Topic 220) — Reporting of Amounts Reclassified Out of Accumulated Other Comprehensive Income.</w:t>
      </w:r>
      <w:r>
        <w:rPr>
          <w:sz w:val="17"/>
        </w:rPr>
        <w:t xml:space="preserve">  </w:t>
      </w:r>
      <w:r>
        <w:rPr>
          <w:rFonts w:ascii="inherit" w:hAnsi="inherit"/>
          <w:sz w:val="17"/>
        </w:rPr>
        <w:t xml:space="preserve">This update, requires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56</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entities to apply the amendments for periods beginning after December 15, 2012 and interim periods within those annual periods and to provide the required disclosures for all reporting periods presented. We do not anticipate the adoption of ASU 2013-03 to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2013-04, </w:t>
      </w:r>
      <w:r>
        <w:rPr>
          <w:rFonts w:ascii="inherit" w:hAnsi="inherit"/>
          <w:i/>
          <w:sz w:val="17"/>
        </w:rPr>
        <w:t xml:space="preserve">Liabilities (Topic 405)—Obligations Resulting from Joint and Several Liability Arrangements for Which the Total Amount of the Obligation Is Fixed at the Reporting Date (a consensus of the FASB Emerging Issues Task Force). </w:t>
      </w:r>
      <w:r>
        <w:rPr>
          <w:rFonts w:ascii="inherit" w:hAnsi="inherit"/>
          <w:sz w:val="17"/>
        </w:rPr>
        <w:t>This update provides guidance for the recognition, measurement and disclosure of obligations resulting from joint and several liability arrangements for which the total amount of the obligation within the scope of this guidance is fixed at the reporting date (except for obligations addressed within existing guidance in U.S. GAAP). Examples of obligations within the scope of ASU 2013-04 include debt arrangements, other contractual obligations and settled litigation and judicial rulings. ASU 2013-04 is effective prospectively for fiscal years, and interim periods within those years, beginning after December 15, 2013. We do not anticipate that the adoption of ASU 2013-04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March 2013, the FASB issued ASU 2013-05, </w:t>
      </w:r>
      <w:r>
        <w:rPr>
          <w:rFonts w:ascii="inherit" w:hAnsi="inherit"/>
          <w:i/>
          <w:sz w:val="17"/>
        </w:rPr>
        <w:t>Foreign Currency Matters (Topic 830) — Parent's Accounting for the Cumulative Translation Adjustment upon Derecognition of Certain Subsidiaries or Groups of Assets within a Foreign Entity or of an Investment in a Foreign Entity (a consensus of the FASB Emerging Issues Task Force).</w:t>
      </w:r>
      <w:r>
        <w:rPr>
          <w:sz w:val="17"/>
        </w:rPr>
        <w:t xml:space="preserve">  </w:t>
      </w:r>
      <w:r>
        <w:rPr>
          <w:rFonts w:ascii="inherit" w:hAnsi="inherit"/>
          <w:sz w:val="17"/>
        </w:rPr>
        <w:t>This update applies to the release of the cumulative translation adjustment into net income when a parent either sells a part or all of its 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We do not anticipate that the adoption of ASU 2013-05 will have a material effect on our financial position, results of operations or cash flows.</w:t>
      </w:r>
    </w:p>
    <w:p>
      <w:pPr>
        <w:pStyle w:val="TextBody"/>
        <w:spacing w:lineRule="auto" w:line="288" w:before="0" w:after="0"/>
        <w:rPr>
          <w:rFonts w:ascii="inherit" w:hAnsi="inherit"/>
          <w:b/>
          <w:i/>
          <w:sz w:val="17"/>
        </w:rPr>
      </w:pPr>
      <w:r>
        <w:rPr>
          <w:rFonts w:ascii="inherit" w:hAnsi="inherit"/>
          <w:b/>
          <w:i/>
          <w:sz w:val="17"/>
        </w:rPr>
        <w:t>Reclassifications</w:t>
      </w:r>
    </w:p>
    <w:p>
      <w:pPr>
        <w:pStyle w:val="TextBody"/>
        <w:spacing w:lineRule="auto" w:line="288" w:before="0" w:after="0"/>
        <w:rPr>
          <w:rFonts w:ascii="inherit" w:hAnsi="inherit"/>
          <w:sz w:val="17"/>
        </w:rPr>
      </w:pPr>
      <w:r>
        <w:rPr>
          <w:rFonts w:ascii="inherit" w:hAnsi="inherit"/>
          <w:sz w:val="17"/>
        </w:rPr>
        <w:t xml:space="preserve">In connection with our decentralization strategy, we have changed the accountability for, and reporting of, certain items in administrative expenses, depreciation and amortization. When directly related to a segment, these items have been included in segment contribution.When shared by multiple segments, these items are being allocated to the segment and included in their segment contribution. Prior year figures have been reclassified to conform to this presentation. </w:t>
      </w:r>
    </w:p>
    <w:p>
      <w:pPr>
        <w:pStyle w:val="TextBody"/>
        <w:spacing w:lineRule="auto" w:line="288" w:before="0" w:after="0"/>
        <w:rPr>
          <w:rFonts w:ascii="inherit" w:hAnsi="inherit"/>
          <w:b/>
          <w:i/>
          <w:sz w:val="17"/>
        </w:rPr>
      </w:pPr>
      <w:r>
        <w:rPr>
          <w:rFonts w:ascii="inherit" w:hAnsi="inherit"/>
          <w:b/>
          <w:i/>
          <w:sz w:val="17"/>
        </w:rPr>
        <w:t>Use of Estimates and Assumptions</w:t>
      </w:r>
    </w:p>
    <w:p>
      <w:pPr>
        <w:pStyle w:val="TextBody"/>
        <w:spacing w:lineRule="auto" w:line="288" w:before="0" w:after="0"/>
        <w:rPr>
          <w:rFonts w:ascii="inherit" w:hAnsi="inherit"/>
          <w:sz w:val="17"/>
        </w:rPr>
      </w:pPr>
      <w:r>
        <w:rPr>
          <w:rFonts w:ascii="inherit" w:hAnsi="inherit"/>
          <w:sz w:val="17"/>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57</w:t>
      </w:r>
      <w:r>
        <w:br w:type="page"/>
      </w:r>
    </w:p>
    <w:p>
      <w:pPr>
        <w:pStyle w:val="TextBody"/>
        <w:spacing w:lineRule="auto" w:line="288" w:before="0" w:after="0"/>
        <w:rPr/>
      </w:pPr>
      <w:hyperlink w:anchor="s6341541F7667DB742175CD29235C3997">
        <w:bookmarkStart w:id="46" w:name="s25C860870432CC5123BDCD290A3D6F42"/>
        <w:bookmarkEnd w:id="4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RESULTS OF OPERATIONS</w:t>
      </w:r>
    </w:p>
    <w:p>
      <w:pPr>
        <w:pStyle w:val="TextBody"/>
        <w:spacing w:lineRule="auto" w:line="288" w:before="0" w:after="0"/>
        <w:rPr>
          <w:sz w:val="17"/>
        </w:rPr>
      </w:pPr>
      <w:r>
        <w:rPr>
          <w:rFonts w:ascii="inherit" w:hAnsi="inherit"/>
          <w:b/>
          <w:color w:val="000000"/>
          <w:sz w:val="17"/>
          <w:u w:val="single"/>
        </w:rPr>
        <w:t>Three Months Ended June 30, 2013</w:t>
      </w:r>
      <w:r>
        <w:rPr>
          <w:sz w:val="17"/>
          <w:u w:val="single"/>
        </w:rPr>
        <w:t xml:space="preserve"> </w:t>
      </w:r>
      <w:r>
        <w:rPr>
          <w:rFonts w:ascii="inherit" w:hAnsi="inherit"/>
          <w:b/>
          <w:sz w:val="17"/>
          <w:u w:val="single"/>
        </w:rPr>
        <w:t xml:space="preserve">vs. </w:t>
      </w:r>
      <w:r>
        <w:rPr>
          <w:rFonts w:ascii="inherit" w:hAnsi="inherit"/>
          <w:b/>
          <w:color w:val="000000"/>
          <w:sz w:val="17"/>
          <w:u w:val="single"/>
        </w:rPr>
        <w:t>Three Months Ended June 30, 2012</w:t>
      </w:r>
      <w:r>
        <w:rPr>
          <w:sz w:val="17"/>
          <w:u w:val="single"/>
        </w:rPr>
        <w:t xml:space="preserve"> </w:t>
      </w:r>
    </w:p>
    <w:p>
      <w:pPr>
        <w:pStyle w:val="TextBody"/>
        <w:spacing w:lineRule="auto" w:line="288" w:before="0" w:after="0"/>
        <w:rPr>
          <w:rFonts w:ascii="inherit" w:hAnsi="inherit"/>
          <w:b/>
          <w:i/>
          <w:sz w:val="17"/>
        </w:rPr>
      </w:pPr>
      <w:r>
        <w:rPr>
          <w:rFonts w:ascii="inherit" w:hAnsi="inherit"/>
          <w:b/>
          <w:i/>
          <w:sz w:val="17"/>
        </w:rPr>
        <w:t>Consolidated Results of Operations</w:t>
      </w:r>
    </w:p>
    <w:p>
      <w:pPr>
        <w:pStyle w:val="TextBody"/>
        <w:spacing w:lineRule="auto" w:line="288" w:before="0" w:after="0"/>
        <w:rPr>
          <w:sz w:val="17"/>
        </w:rPr>
      </w:pPr>
      <w:r>
        <w:rPr>
          <w:rFonts w:ascii="inherit" w:hAnsi="inherit"/>
          <w:sz w:val="17"/>
        </w:rPr>
        <w:t xml:space="preserve">The following table presents selected, unaudited, consolidated financial data for our three-month periods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(the “current quarter” and “prior year quarter," respectively). This table, as well as the discussion that follows, should be read with the accompanying unaudited financial statements and related notes.</w:t>
      </w:r>
    </w:p>
    <w:tbl>
      <w:tblPr>
        <w:tblW w:w="10205" w:type="dxa"/>
        <w:jc w:val="left"/>
        <w:tblInd w:w="0" w:type="dxa"/>
        <w:tblCellMar>
          <w:top w:w="0" w:type="dxa"/>
          <w:left w:w="0" w:type="dxa"/>
          <w:bottom w:w="0" w:type="dxa"/>
          <w:right w:w="0" w:type="dxa"/>
        </w:tblCellMar>
      </w:tblPr>
      <w:tblGrid>
        <w:gridCol w:w="4403"/>
        <w:gridCol w:w="174"/>
        <w:gridCol w:w="1274"/>
        <w:gridCol w:w="160"/>
        <w:gridCol w:w="141"/>
        <w:gridCol w:w="174"/>
        <w:gridCol w:w="1274"/>
        <w:gridCol w:w="160"/>
        <w:gridCol w:w="141"/>
        <w:gridCol w:w="1273"/>
        <w:gridCol w:w="1031"/>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440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03" w:type="dxa"/>
            <w:tcBorders/>
            <w:shd w:fill="auto" w:val="clear"/>
            <w:vAlign w:val="center"/>
          </w:tcPr>
          <w:p>
            <w:pPr>
              <w:pStyle w:val="TableContents"/>
              <w:spacing w:before="0" w:after="0"/>
              <w:ind w:left="0" w:right="0" w:firstLine="30"/>
              <w:jc w:val="left"/>
              <w:rPr/>
            </w:pPr>
            <w:r>
              <w:rPr/>
              <w:t> </w:t>
            </w:r>
          </w:p>
        </w:tc>
        <w:tc>
          <w:tcPr>
            <w:tcW w:w="335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41" w:type="dxa"/>
            <w:tcBorders/>
            <w:shd w:fill="auto" w:val="clear"/>
            <w:vAlign w:val="center"/>
          </w:tcPr>
          <w:p>
            <w:pPr>
              <w:pStyle w:val="TableContents"/>
              <w:spacing w:before="0" w:after="0"/>
              <w:ind w:left="0" w:right="0" w:firstLine="30"/>
              <w:rPr/>
            </w:pPr>
            <w:r>
              <w:rPr/>
              <w:t> </w:t>
            </w:r>
          </w:p>
        </w:tc>
        <w:tc>
          <w:tcPr>
            <w:tcW w:w="2304" w:type="dxa"/>
            <w:gridSpan w:val="2"/>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Percentage</w:t>
            </w:r>
          </w:p>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403" w:type="dxa"/>
            <w:tcBorders/>
            <w:shd w:fill="auto" w:val="clear"/>
            <w:vAlign w:val="center"/>
          </w:tcPr>
          <w:p>
            <w:pPr>
              <w:pStyle w:val="TableContents"/>
              <w:spacing w:before="0" w:after="0"/>
              <w:ind w:left="0" w:right="0" w:firstLine="30"/>
              <w:jc w:val="left"/>
              <w:rPr/>
            </w:pPr>
            <w:r>
              <w:rPr/>
              <w:t> </w:t>
            </w:r>
          </w:p>
        </w:tc>
        <w:tc>
          <w:tcPr>
            <w:tcW w:w="160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1" w:type="dxa"/>
            <w:tcBorders/>
            <w:shd w:fill="auto" w:val="clear"/>
            <w:vAlign w:val="center"/>
          </w:tcPr>
          <w:p>
            <w:pPr>
              <w:pStyle w:val="TableContents"/>
              <w:spacing w:before="0" w:after="0"/>
              <w:ind w:left="0" w:right="0" w:firstLine="30"/>
              <w:rPr/>
            </w:pPr>
            <w:r>
              <w:rPr/>
              <w:t> </w:t>
            </w:r>
          </w:p>
        </w:tc>
        <w:tc>
          <w:tcPr>
            <w:tcW w:w="160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1" w:type="dxa"/>
            <w:tcBorders/>
            <w:shd w:fill="auto" w:val="clear"/>
            <w:vAlign w:val="center"/>
          </w:tcPr>
          <w:p>
            <w:pPr>
              <w:pStyle w:val="TableContents"/>
              <w:spacing w:before="0" w:after="0"/>
              <w:ind w:left="0" w:right="0" w:firstLine="30"/>
              <w:rPr/>
            </w:pPr>
            <w:r>
              <w:rPr/>
              <w:t> </w:t>
            </w:r>
          </w:p>
        </w:tc>
        <w:tc>
          <w:tcPr>
            <w:tcW w:w="2304"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403" w:type="dxa"/>
            <w:tcBorders/>
            <w:shd w:fill="auto" w:val="clear"/>
            <w:vAlign w:val="center"/>
          </w:tcPr>
          <w:p>
            <w:pPr>
              <w:pStyle w:val="TableContents"/>
              <w:spacing w:before="0" w:after="0"/>
              <w:ind w:left="0" w:right="0" w:firstLine="30"/>
              <w:jc w:val="left"/>
              <w:rPr/>
            </w:pPr>
            <w:r>
              <w:rPr/>
              <w:t> </w:t>
            </w:r>
          </w:p>
        </w:tc>
        <w:tc>
          <w:tcPr>
            <w:tcW w:w="335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1" w:type="dxa"/>
            <w:tcBorders/>
            <w:shd w:fill="auto" w:val="clear"/>
            <w:vAlign w:val="center"/>
          </w:tcPr>
          <w:p>
            <w:pPr>
              <w:pStyle w:val="TableContents"/>
              <w:spacing w:before="0" w:after="0"/>
              <w:ind w:left="0" w:right="0" w:firstLine="30"/>
              <w:rPr/>
            </w:pPr>
            <w:r>
              <w:rPr/>
              <w:t> </w:t>
            </w:r>
          </w:p>
        </w:tc>
        <w:tc>
          <w:tcPr>
            <w:tcW w:w="2304" w:type="dxa"/>
            <w:gridSpan w:val="2"/>
            <w:tcBorders/>
            <w:shd w:fill="auto" w:val="clear"/>
            <w:vAlign w:val="center"/>
          </w:tcPr>
          <w:p>
            <w:pPr>
              <w:pStyle w:val="TableContents"/>
              <w:spacing w:before="0" w:after="0"/>
              <w:ind w:left="0" w:right="0" w:firstLine="30"/>
              <w:jc w:val="left"/>
              <w:rPr/>
            </w:pPr>
            <w:r>
              <w:rPr/>
              <w:t> </w:t>
            </w:r>
          </w:p>
        </w:tc>
      </w:tr>
      <w:tr>
        <w:trPr/>
        <w:tc>
          <w:tcPr>
            <w:tcW w:w="4403"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Revenues:</w:t>
            </w:r>
          </w:p>
        </w:tc>
        <w:tc>
          <w:tcPr>
            <w:tcW w:w="1608"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608"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2304" w:type="dxa"/>
            <w:gridSpan w:val="2"/>
            <w:tcBorders/>
            <w:shd w:fill="CCEEFF" w:val="clear"/>
            <w:vAlign w:val="center"/>
          </w:tcPr>
          <w:p>
            <w:pPr>
              <w:pStyle w:val="TableContents"/>
              <w:spacing w:before="0" w:after="0"/>
              <w:ind w:left="0" w:right="0" w:firstLine="420"/>
              <w:rPr/>
            </w:pPr>
            <w:r>
              <w:rPr/>
              <w:t> </w:t>
            </w:r>
          </w:p>
        </w:tc>
      </w:tr>
      <w:tr>
        <w:trPr/>
        <w:tc>
          <w:tcPr>
            <w:tcW w:w="44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shd w:fill="auto" w:val="clear"/>
            <w:vAlign w:val="center"/>
          </w:tcPr>
          <w:p>
            <w:pPr>
              <w:pStyle w:val="TableContents"/>
              <w:spacing w:before="0" w:after="0"/>
              <w:jc w:val="right"/>
              <w:rPr>
                <w:rFonts w:ascii="inherit" w:hAnsi="inherit"/>
                <w:sz w:val="17"/>
              </w:rPr>
            </w:pPr>
            <w:r>
              <w:rPr>
                <w:rFonts w:ascii="inherit" w:hAnsi="inherit"/>
                <w:sz w:val="17"/>
              </w:rPr>
              <w:t>112,864</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shd w:fill="auto" w:val="clear"/>
            <w:vAlign w:val="center"/>
          </w:tcPr>
          <w:p>
            <w:pPr>
              <w:pStyle w:val="TableContents"/>
              <w:spacing w:before="0" w:after="0"/>
              <w:jc w:val="right"/>
              <w:rPr>
                <w:rFonts w:ascii="inherit" w:hAnsi="inherit"/>
                <w:sz w:val="17"/>
              </w:rPr>
            </w:pPr>
            <w:r>
              <w:rPr>
                <w:rFonts w:ascii="inherit" w:hAnsi="inherit"/>
                <w:sz w:val="17"/>
              </w:rPr>
              <w:t>115,816</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3" w:type="dxa"/>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03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4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60,397</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55,656</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273" w:type="dxa"/>
            <w:tcBorders/>
            <w:shd w:fill="CCEEFF" w:val="clear"/>
            <w:vAlign w:val="center"/>
          </w:tcPr>
          <w:p>
            <w:pPr>
              <w:pStyle w:val="TableContents"/>
              <w:spacing w:before="0" w:after="0"/>
              <w:jc w:val="right"/>
              <w:rPr>
                <w:rFonts w:ascii="inherit" w:hAnsi="inherit"/>
                <w:sz w:val="17"/>
              </w:rPr>
            </w:pPr>
            <w:r>
              <w:rPr>
                <w:rFonts w:ascii="inherit" w:hAnsi="inherit"/>
                <w:sz w:val="17"/>
              </w:rPr>
              <w:t>8.5</w:t>
            </w:r>
          </w:p>
        </w:tc>
        <w:tc>
          <w:tcPr>
            <w:tcW w:w="1031" w:type="dxa"/>
            <w:tcBorders/>
            <w:shd w:fill="CCEEFF" w:val="clear"/>
            <w:vAlign w:val="center"/>
          </w:tcPr>
          <w:p>
            <w:pPr>
              <w:pStyle w:val="TableContents"/>
              <w:spacing w:before="0" w:after="0"/>
              <w:ind w:left="0" w:right="0" w:firstLine="420"/>
              <w:jc w:val="left"/>
              <w:rPr/>
            </w:pPr>
            <w:r>
              <w:rPr/>
              <w:t> </w:t>
            </w:r>
            <w:r>
              <w:rPr>
                <w:rFonts w:ascii="inherit" w:hAnsi="inherit"/>
                <w:sz w:val="17"/>
              </w:rPr>
              <w:t>%</w:t>
            </w:r>
          </w:p>
        </w:tc>
      </w:tr>
      <w:tr>
        <w:trPr/>
        <w:tc>
          <w:tcPr>
            <w:tcW w:w="44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59,234</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51,753</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3" w:type="dxa"/>
            <w:tcBorders/>
            <w:shd w:fill="auto" w:val="clear"/>
            <w:vAlign w:val="center"/>
          </w:tcPr>
          <w:p>
            <w:pPr>
              <w:pStyle w:val="TableContents"/>
              <w:spacing w:before="0" w:after="0"/>
              <w:jc w:val="right"/>
              <w:rPr>
                <w:rFonts w:ascii="inherit" w:hAnsi="inherit"/>
                <w:sz w:val="17"/>
              </w:rPr>
            </w:pPr>
            <w:r>
              <w:rPr>
                <w:rFonts w:ascii="inherit" w:hAnsi="inherit"/>
                <w:sz w:val="17"/>
              </w:rPr>
              <w:t>14.5</w:t>
            </w:r>
          </w:p>
        </w:tc>
        <w:tc>
          <w:tcPr>
            <w:tcW w:w="1031" w:type="dxa"/>
            <w:tcBorders/>
            <w:shd w:fill="auto" w:val="clear"/>
            <w:vAlign w:val="center"/>
          </w:tcPr>
          <w:p>
            <w:pPr>
              <w:pStyle w:val="TableContents"/>
              <w:spacing w:before="0" w:after="0"/>
              <w:ind w:left="0" w:right="0" w:firstLine="420"/>
              <w:jc w:val="left"/>
              <w:rPr/>
            </w:pPr>
            <w:r>
              <w:rPr/>
              <w:t> </w:t>
            </w:r>
            <w:r>
              <w:rPr>
                <w:rFonts w:ascii="inherit" w:hAnsi="inherit"/>
                <w:sz w:val="17"/>
              </w:rPr>
              <w:t>%</w:t>
            </w:r>
          </w:p>
        </w:tc>
      </w:tr>
      <w:tr>
        <w:trPr/>
        <w:tc>
          <w:tcPr>
            <w:tcW w:w="44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2,671</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1,348</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27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98.1</w:t>
            </w:r>
          </w:p>
        </w:tc>
        <w:tc>
          <w:tcPr>
            <w:tcW w:w="1031" w:type="dxa"/>
            <w:tcBorders>
              <w:bottom w:val="single" w:sz="2" w:space="0" w:color="000000"/>
            </w:tcBorders>
            <w:shd w:fill="CCEEFF" w:val="clear"/>
            <w:tcMar>
              <w:bottom w:w="30" w:type="dxa"/>
            </w:tcMar>
            <w:vAlign w:val="center"/>
          </w:tcPr>
          <w:p>
            <w:pPr>
              <w:pStyle w:val="TableContents"/>
              <w:spacing w:before="0" w:after="0"/>
              <w:ind w:left="0" w:right="0" w:firstLine="780"/>
              <w:jc w:val="left"/>
              <w:rPr/>
            </w:pPr>
            <w:r>
              <w:rPr/>
              <w:t> </w:t>
            </w:r>
            <w:r>
              <w:rPr>
                <w:rFonts w:ascii="inherit" w:hAnsi="inherit"/>
                <w:sz w:val="17"/>
              </w:rPr>
              <w:t>%</w:t>
            </w:r>
          </w:p>
        </w:tc>
      </w:tr>
      <w:tr>
        <w:trPr/>
        <w:tc>
          <w:tcPr>
            <w:tcW w:w="44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235,166</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224,573</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3" w:type="dxa"/>
            <w:tcBorders/>
            <w:shd w:fill="auto" w:val="clear"/>
            <w:vAlign w:val="center"/>
          </w:tcPr>
          <w:p>
            <w:pPr>
              <w:pStyle w:val="TableContents"/>
              <w:spacing w:before="0" w:after="0"/>
              <w:jc w:val="right"/>
              <w:rPr>
                <w:rFonts w:ascii="inherit" w:hAnsi="inherit"/>
                <w:sz w:val="17"/>
              </w:rPr>
            </w:pPr>
            <w:r>
              <w:rPr>
                <w:rFonts w:ascii="inherit" w:hAnsi="inherit"/>
                <w:sz w:val="17"/>
              </w:rPr>
              <w:t>4.7</w:t>
            </w:r>
          </w:p>
        </w:tc>
        <w:tc>
          <w:tcPr>
            <w:tcW w:w="1031" w:type="dxa"/>
            <w:tcBorders/>
            <w:shd w:fill="auto" w:val="clear"/>
            <w:vAlign w:val="center"/>
          </w:tcPr>
          <w:p>
            <w:pPr>
              <w:pStyle w:val="TableContents"/>
              <w:spacing w:before="0" w:after="0"/>
              <w:ind w:left="0" w:right="0" w:firstLine="420"/>
              <w:jc w:val="left"/>
              <w:rPr/>
            </w:pPr>
            <w:r>
              <w:rPr/>
              <w:t> </w:t>
            </w:r>
            <w:r>
              <w:rPr>
                <w:rFonts w:ascii="inherit" w:hAnsi="inherit"/>
                <w:sz w:val="17"/>
              </w:rPr>
              <w:t>%</w:t>
            </w:r>
          </w:p>
        </w:tc>
      </w:tr>
      <w:tr>
        <w:trPr/>
        <w:tc>
          <w:tcPr>
            <w:tcW w:w="44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14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71,427</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70,958</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273" w:type="dxa"/>
            <w:tcBorders/>
            <w:shd w:fill="CCEEFF" w:val="clear"/>
            <w:vAlign w:val="center"/>
          </w:tcPr>
          <w:p>
            <w:pPr>
              <w:pStyle w:val="TableContents"/>
              <w:spacing w:before="0" w:after="0"/>
              <w:jc w:val="right"/>
              <w:rPr>
                <w:rFonts w:ascii="inherit" w:hAnsi="inherit"/>
                <w:sz w:val="17"/>
              </w:rPr>
            </w:pPr>
            <w:r>
              <w:rPr>
                <w:rFonts w:ascii="inherit" w:hAnsi="inherit"/>
                <w:sz w:val="17"/>
              </w:rPr>
              <w:t>0.7</w:t>
            </w:r>
          </w:p>
        </w:tc>
        <w:tc>
          <w:tcPr>
            <w:tcW w:w="1031" w:type="dxa"/>
            <w:tcBorders/>
            <w:shd w:fill="CCEEFF" w:val="clear"/>
            <w:vAlign w:val="center"/>
          </w:tcPr>
          <w:p>
            <w:pPr>
              <w:pStyle w:val="TableContents"/>
              <w:spacing w:before="0" w:after="0"/>
              <w:ind w:left="0" w:right="0" w:firstLine="420"/>
              <w:jc w:val="left"/>
              <w:rPr/>
            </w:pPr>
            <w:r>
              <w:rPr/>
              <w:t> </w:t>
            </w:r>
            <w:r>
              <w:rPr>
                <w:rFonts w:ascii="inherit" w:hAnsi="inherit"/>
                <w:sz w:val="17"/>
              </w:rPr>
              <w:t>%</w:t>
            </w:r>
          </w:p>
        </w:tc>
      </w:tr>
      <w:tr>
        <w:trPr/>
        <w:tc>
          <w:tcPr>
            <w:tcW w:w="44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12,518</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10,689</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1031" w:type="dxa"/>
            <w:tcBorders>
              <w:bottom w:val="single" w:sz="2" w:space="0" w:color="000000"/>
            </w:tcBorders>
            <w:shd w:fill="auto" w:val="clear"/>
            <w:tcMar>
              <w:bottom w:w="30" w:type="dxa"/>
            </w:tcMar>
            <w:vAlign w:val="center"/>
          </w:tcPr>
          <w:p>
            <w:pPr>
              <w:pStyle w:val="TableContents"/>
              <w:spacing w:before="0" w:after="0"/>
              <w:ind w:left="0" w:right="0" w:firstLine="780"/>
              <w:jc w:val="left"/>
              <w:rPr/>
            </w:pPr>
            <w:r>
              <w:rPr/>
              <w:t> </w:t>
            </w:r>
            <w:r>
              <w:rPr>
                <w:rFonts w:ascii="inherit" w:hAnsi="inherit"/>
                <w:sz w:val="17"/>
              </w:rPr>
              <w:t>%</w:t>
            </w:r>
          </w:p>
        </w:tc>
      </w:tr>
      <w:tr>
        <w:trPr/>
        <w:tc>
          <w:tcPr>
            <w:tcW w:w="44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7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151,221</w:t>
            </w:r>
          </w:p>
        </w:tc>
        <w:tc>
          <w:tcPr>
            <w:tcW w:w="16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142,926</w:t>
            </w:r>
          </w:p>
        </w:tc>
        <w:tc>
          <w:tcPr>
            <w:tcW w:w="16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27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w:t>
            </w:r>
          </w:p>
        </w:tc>
        <w:tc>
          <w:tcPr>
            <w:tcW w:w="1031"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40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from continuing operations attributable to EZCORP, Inc.</w:t>
            </w:r>
          </w:p>
        </w:tc>
        <w:tc>
          <w:tcPr>
            <w:tcW w:w="174" w:type="dxa"/>
            <w:tcBorders>
              <w:top w:val="double" w:sz="6"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15,616</w:t>
            </w:r>
          </w:p>
        </w:tc>
        <w:tc>
          <w:tcPr>
            <w:tcW w:w="160" w:type="dxa"/>
            <w:tcBorders>
              <w:top w:val="doub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74" w:type="dxa"/>
            <w:tcBorders>
              <w:top w:val="double" w:sz="6"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29,771</w:t>
            </w:r>
          </w:p>
        </w:tc>
        <w:tc>
          <w:tcPr>
            <w:tcW w:w="160" w:type="dxa"/>
            <w:tcBorders>
              <w:top w:val="doub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3"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(47.5</w:t>
            </w:r>
          </w:p>
        </w:tc>
        <w:tc>
          <w:tcPr>
            <w:tcW w:w="1031" w:type="dxa"/>
            <w:tcBorders>
              <w:top w:val="double" w:sz="6"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0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w:t>
            </w:r>
          </w:p>
        </w:tc>
        <w:tc>
          <w:tcPr>
            <w:tcW w:w="14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1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4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1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27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1,622.5</w:t>
            </w:r>
          </w:p>
        </w:tc>
        <w:tc>
          <w:tcPr>
            <w:tcW w:w="1031" w:type="dxa"/>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403"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 xml:space="preserve">Net (loss) income attributable to EZCORP, Inc. </w:t>
            </w:r>
          </w:p>
        </w:tc>
        <w:tc>
          <w:tcPr>
            <w:tcW w:w="17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(5,881</w:t>
            </w:r>
          </w:p>
        </w:tc>
        <w:tc>
          <w:tcPr>
            <w:tcW w:w="16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auto" w:val="clear"/>
            <w:vAlign w:val="center"/>
          </w:tcPr>
          <w:p>
            <w:pPr>
              <w:pStyle w:val="TableContents"/>
              <w:spacing w:before="0" w:after="0"/>
              <w:ind w:left="0" w:right="0" w:firstLine="30"/>
              <w:rPr/>
            </w:pPr>
            <w:r>
              <w:rPr/>
              <w:t> </w:t>
            </w:r>
          </w:p>
        </w:tc>
        <w:tc>
          <w:tcPr>
            <w:tcW w:w="17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16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(120.6</w:t>
            </w:r>
          </w:p>
        </w:tc>
        <w:tc>
          <w:tcPr>
            <w:tcW w:w="10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sz w:val="17"/>
        </w:rPr>
      </w:pPr>
      <w:r>
        <w:rPr>
          <w:rFonts w:ascii="inherit" w:hAnsi="inherit"/>
          <w:sz w:val="17"/>
        </w:rPr>
        <w:t xml:space="preserve">In the current quarter, consolidated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5%</w:t>
      </w:r>
      <w:r>
        <w:rPr>
          <w:rFonts w:ascii="inherit" w:hAnsi="inherit"/>
          <w:sz w:val="17"/>
        </w:rPr>
        <w:t xml:space="preserve">, or </w:t>
      </w:r>
      <w:r>
        <w:rPr>
          <w:rFonts w:ascii="inherit" w:hAnsi="inherit"/>
          <w:strike w:val="false"/>
          <w:dstrike w:val="false"/>
          <w:color w:val="000000"/>
          <w:sz w:val="17"/>
          <w:u w:val="none"/>
          <w:effect w:val="none"/>
        </w:rPr>
        <w:t>$10.6 million</w:t>
      </w:r>
      <w:r>
        <w:rPr>
          <w:rFonts w:ascii="inherit" w:hAnsi="inherit"/>
          <w:sz w:val="17"/>
        </w:rPr>
        <w:t xml:space="preserve">, to </w:t>
      </w:r>
      <w:r>
        <w:rPr>
          <w:rFonts w:ascii="inherit" w:hAnsi="inherit"/>
          <w:strike w:val="false"/>
          <w:dstrike w:val="false"/>
          <w:color w:val="000000"/>
          <w:sz w:val="17"/>
          <w:u w:val="none"/>
          <w:effect w:val="none"/>
        </w:rPr>
        <w:t>$235.2 million</w:t>
      </w:r>
      <w:r>
        <w:rPr>
          <w:rFonts w:ascii="inherit" w:hAnsi="inherit"/>
          <w:sz w:val="17"/>
        </w:rPr>
        <w:t xml:space="preserve">, compared to the prior year quarter. The increase was primarily driven by a </w:t>
      </w:r>
      <w:r>
        <w:rPr>
          <w:rFonts w:ascii="inherit" w:hAnsi="inherit"/>
          <w:strike w:val="false"/>
          <w:dstrike w:val="false"/>
          <w:color w:val="000000"/>
          <w:sz w:val="17"/>
          <w:u w:val="none"/>
          <w:effect w:val="none"/>
        </w:rPr>
        <w:t>9%</w:t>
      </w:r>
      <w:r>
        <w:rPr>
          <w:sz w:val="17"/>
        </w:rPr>
        <w:t xml:space="preserve"> </w:t>
      </w:r>
      <w:r>
        <w:rPr>
          <w:rFonts w:ascii="inherit" w:hAnsi="inherit"/>
          <w:sz w:val="17"/>
        </w:rPr>
        <w:t xml:space="preserve">increase in pawn service charges and a 15% increase in consumer loan fees. Total sales (which includes merchandise sales and jewelry scrapping sales) decreased </w:t>
      </w:r>
      <w:r>
        <w:rPr>
          <w:rFonts w:ascii="inherit" w:hAnsi="inherit"/>
          <w:strike w:val="false"/>
          <w:dstrike w:val="false"/>
          <w:color w:val="000000"/>
          <w:sz w:val="17"/>
          <w:u w:val="none"/>
          <w:effect w:val="none"/>
        </w:rPr>
        <w:t>3%</w:t>
      </w:r>
      <w:r>
        <w:rPr>
          <w:rFonts w:ascii="inherit" w:hAnsi="inherit"/>
          <w:sz w:val="17"/>
        </w:rPr>
        <w:t xml:space="preserve">, with merchandise sales increasing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and jewelry scrapping sales decreasing </w:t>
      </w:r>
      <w:r>
        <w:rPr>
          <w:rFonts w:ascii="inherit" w:hAnsi="inherit"/>
          <w:strike w:val="false"/>
          <w:dstrike w:val="false"/>
          <w:color w:val="000000"/>
          <w:sz w:val="17"/>
          <w:u w:val="none"/>
          <w:effect w:val="none"/>
        </w:rPr>
        <w:t>35%</w:t>
      </w:r>
      <w:r>
        <w:rPr>
          <w:rFonts w:ascii="inherit" w:hAnsi="inherit"/>
          <w:sz w:val="17"/>
        </w:rPr>
        <w:t xml:space="preserve">. Other revenue increased </w:t>
      </w:r>
      <w:r>
        <w:rPr>
          <w:rFonts w:ascii="inherit" w:hAnsi="inherit"/>
          <w:strike w:val="false"/>
          <w:dstrike w:val="false"/>
          <w:color w:val="000000"/>
          <w:sz w:val="17"/>
          <w:u w:val="none"/>
          <w:effect w:val="none"/>
        </w:rPr>
        <w:t>$1.3 million</w:t>
      </w:r>
      <w:r>
        <w:rPr>
          <w:sz w:val="17"/>
        </w:rPr>
        <w:t xml:space="preserve"> </w:t>
      </w:r>
      <w:r>
        <w:rPr>
          <w:rFonts w:ascii="inherit" w:hAnsi="inherit"/>
          <w:sz w:val="17"/>
        </w:rPr>
        <w:t xml:space="preserve">in the current quarter compared to the prior year quarter. Net revenues of </w:t>
      </w:r>
      <w:r>
        <w:rPr>
          <w:rFonts w:ascii="inherit" w:hAnsi="inherit"/>
          <w:strike w:val="false"/>
          <w:dstrike w:val="false"/>
          <w:color w:val="000000"/>
          <w:sz w:val="17"/>
          <w:u w:val="none"/>
          <w:effect w:val="none"/>
        </w:rPr>
        <w:t>$151.2 million</w:t>
      </w:r>
      <w:r>
        <w:rPr>
          <w:rFonts w:ascii="inherit" w:hAnsi="inherit"/>
          <w:sz w:val="17"/>
        </w:rPr>
        <w:t xml:space="preserve">, increased </w:t>
      </w:r>
      <w:r>
        <w:rPr>
          <w:rFonts w:ascii="inherit" w:hAnsi="inherit"/>
          <w:strike w:val="false"/>
          <w:dstrike w:val="false"/>
          <w:color w:val="000000"/>
          <w:sz w:val="17"/>
          <w:u w:val="none"/>
          <w:effect w:val="none"/>
        </w:rPr>
        <w:t>$8.3 million</w:t>
      </w:r>
      <w:r>
        <w:rPr>
          <w:rFonts w:ascii="inherit" w:hAnsi="inherit"/>
          <w:sz w:val="17"/>
        </w:rPr>
        <w:t xml:space="preserve">, or </w:t>
      </w:r>
      <w:r>
        <w:rPr>
          <w:rFonts w:ascii="inherit" w:hAnsi="inherit"/>
          <w:strike w:val="false"/>
          <w:dstrike w:val="false"/>
          <w:color w:val="000000"/>
          <w:sz w:val="17"/>
          <w:u w:val="none"/>
          <w:effect w:val="none"/>
        </w:rPr>
        <w:t>6%</w:t>
      </w:r>
      <w:r>
        <w:rPr>
          <w:rFonts w:ascii="inherit" w:hAnsi="inherit"/>
          <w:sz w:val="17"/>
        </w:rPr>
        <w:t xml:space="preserve">, and operations expense increased </w:t>
      </w:r>
      <w:r>
        <w:rPr>
          <w:rFonts w:ascii="inherit" w:hAnsi="inherit"/>
          <w:strike w:val="false"/>
          <w:dstrike w:val="false"/>
          <w:color w:val="000000"/>
          <w:sz w:val="17"/>
          <w:u w:val="none"/>
          <w:effect w:val="none"/>
        </w:rPr>
        <w:t>$19.0 million</w:t>
      </w:r>
      <w:r>
        <w:rPr>
          <w:rFonts w:ascii="inherit" w:hAnsi="inherit"/>
          <w:sz w:val="17"/>
        </w:rPr>
        <w:t xml:space="preserve">, or </w:t>
      </w:r>
      <w:r>
        <w:rPr>
          <w:rFonts w:ascii="inherit" w:hAnsi="inherit"/>
          <w:strike w:val="false"/>
          <w:dstrike w:val="false"/>
          <w:color w:val="000000"/>
          <w:sz w:val="17"/>
          <w:u w:val="none"/>
          <w:effect w:val="none"/>
        </w:rPr>
        <w:t>22%</w:t>
      </w:r>
      <w:r>
        <w:rPr>
          <w:rFonts w:ascii="inherit" w:hAnsi="inherit"/>
          <w:sz w:val="17"/>
        </w:rPr>
        <w:t xml:space="preserve">. Corporate administrative expenses of </w:t>
      </w:r>
      <w:r>
        <w:rPr>
          <w:rFonts w:ascii="inherit" w:hAnsi="inherit"/>
          <w:strike w:val="false"/>
          <w:dstrike w:val="false"/>
          <w:color w:val="000000"/>
          <w:sz w:val="17"/>
          <w:u w:val="none"/>
          <w:effect w:val="none"/>
        </w:rPr>
        <w:t>$12.6 million</w:t>
      </w:r>
      <w:r>
        <w:rPr>
          <w:sz w:val="17"/>
        </w:rPr>
        <w:t xml:space="preserve"> </w:t>
      </w:r>
      <w:r>
        <w:rPr>
          <w:rFonts w:ascii="inherit" w:hAnsi="inherit"/>
          <w:sz w:val="17"/>
        </w:rPr>
        <w:t xml:space="preserve">increased </w:t>
      </w:r>
      <w:r>
        <w:rPr>
          <w:rFonts w:ascii="inherit" w:hAnsi="inherit"/>
          <w:strike w:val="false"/>
          <w:dstrike w:val="false"/>
          <w:color w:val="000000"/>
          <w:sz w:val="17"/>
          <w:u w:val="none"/>
          <w:effect w:val="none"/>
        </w:rPr>
        <w:t>$2.8 million</w:t>
      </w:r>
      <w:r>
        <w:rPr>
          <w:rFonts w:ascii="inherit" w:hAnsi="inherit"/>
          <w:sz w:val="17"/>
        </w:rPr>
        <w:t xml:space="preserve">, or </w:t>
      </w:r>
      <w:r>
        <w:rPr>
          <w:rFonts w:ascii="inherit" w:hAnsi="inherit"/>
          <w:strike w:val="false"/>
          <w:dstrike w:val="false"/>
          <w:color w:val="000000"/>
          <w:sz w:val="17"/>
          <w:u w:val="none"/>
          <w:effect w:val="none"/>
        </w:rPr>
        <w:t>28%</w:t>
      </w:r>
      <w:r>
        <w:rPr>
          <w:sz w:val="17"/>
        </w:rPr>
        <w:t xml:space="preserve"> </w:t>
      </w:r>
      <w:r>
        <w:rPr>
          <w:rFonts w:ascii="inherit" w:hAnsi="inherit"/>
          <w:sz w:val="17"/>
        </w:rPr>
        <w:t xml:space="preserve">due to increased consulting related to investments and severance incurred within the quarter as the core businesses were reorganized. After a </w:t>
      </w:r>
      <w:r>
        <w:rPr>
          <w:rFonts w:ascii="inherit" w:hAnsi="inherit"/>
          <w:strike w:val="false"/>
          <w:dstrike w:val="false"/>
          <w:color w:val="000000"/>
          <w:sz w:val="17"/>
          <w:u w:val="none"/>
          <w:effect w:val="none"/>
        </w:rPr>
        <w:t>$1.9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depreciation and amortization, a </w:t>
      </w:r>
      <w:r>
        <w:rPr>
          <w:rFonts w:ascii="inherit" w:hAnsi="inherit"/>
          <w:strike w:val="false"/>
          <w:dstrike w:val="false"/>
          <w:color w:val="000000"/>
          <w:sz w:val="17"/>
          <w:u w:val="none"/>
          <w:effect w:val="none"/>
        </w:rPr>
        <w:t>$2.7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net interest expense, a </w:t>
      </w:r>
      <w:r>
        <w:rPr>
          <w:rFonts w:ascii="inherit" w:hAnsi="inherit"/>
          <w:strike w:val="false"/>
          <w:dstrike w:val="false"/>
          <w:color w:val="000000"/>
          <w:sz w:val="17"/>
          <w:u w:val="none"/>
          <w:effect w:val="none"/>
        </w:rPr>
        <w:t>$3.6 million</w:t>
      </w:r>
      <w:r>
        <w:rPr>
          <w:sz w:val="17"/>
        </w:rPr>
        <w:t xml:space="preserve"> </w:t>
      </w:r>
      <w:r>
        <w:rPr>
          <w:rFonts w:ascii="inherit" w:hAnsi="inherit"/>
          <w:sz w:val="17"/>
        </w:rPr>
        <w:t xml:space="preserve">decrease in income tax expense, the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decrease in net income attributable to the noncontrolling interest and the </w:t>
      </w:r>
      <w:r>
        <w:rPr>
          <w:rFonts w:ascii="inherit" w:hAnsi="inherit"/>
          <w:strike w:val="false"/>
          <w:dstrike w:val="false"/>
          <w:color w:val="000000"/>
          <w:sz w:val="17"/>
          <w:u w:val="none"/>
          <w:effect w:val="none"/>
        </w:rPr>
        <w:t>$20.2 million</w:t>
      </w:r>
      <w:r>
        <w:rPr>
          <w:sz w:val="17"/>
        </w:rPr>
        <w:t xml:space="preserve"> </w:t>
      </w:r>
      <w:r>
        <w:rPr>
          <w:rFonts w:ascii="inherit" w:hAnsi="inherit"/>
          <w:sz w:val="17"/>
        </w:rPr>
        <w:t xml:space="preserve">increase in loss from discontinued operations, net income attributable to EZCORP decreased </w:t>
      </w:r>
      <w:r>
        <w:rPr>
          <w:rFonts w:ascii="inherit" w:hAnsi="inherit"/>
          <w:strike w:val="false"/>
          <w:dstrike w:val="false"/>
          <w:color w:val="000000"/>
          <w:sz w:val="17"/>
          <w:u w:val="none"/>
          <w:effect w:val="none"/>
        </w:rPr>
        <w:t>$34.4 million</w:t>
      </w:r>
      <w:r>
        <w:rPr>
          <w:rFonts w:ascii="inherit" w:hAnsi="inherit"/>
          <w:sz w:val="17"/>
        </w:rPr>
        <w:t xml:space="preserve">, or </w:t>
      </w:r>
      <w:r>
        <w:rPr>
          <w:rFonts w:ascii="inherit" w:hAnsi="inherit"/>
          <w:strike w:val="false"/>
          <w:dstrike w:val="false"/>
          <w:color w:val="000000"/>
          <w:sz w:val="17"/>
          <w:u w:val="none"/>
          <w:effect w:val="none"/>
        </w:rPr>
        <w:t>121%</w:t>
      </w:r>
      <w:r>
        <w:rPr>
          <w:rFonts w:ascii="inherit" w:hAnsi="inherit"/>
          <w:sz w:val="17"/>
        </w:rPr>
        <w:t xml:space="preserve">, to a </w:t>
      </w:r>
      <w:r>
        <w:rPr>
          <w:rFonts w:ascii="inherit" w:hAnsi="inherit"/>
          <w:strike w:val="false"/>
          <w:dstrike w:val="false"/>
          <w:color w:val="000000"/>
          <w:sz w:val="17"/>
          <w:u w:val="none"/>
          <w:effect w:val="none"/>
        </w:rPr>
        <w:t>$5.9 million</w:t>
      </w:r>
      <w:r>
        <w:rPr>
          <w:sz w:val="17"/>
        </w:rPr>
        <w:t xml:space="preserve"> </w:t>
      </w:r>
      <w:r>
        <w:rPr>
          <w:rFonts w:ascii="inherit" w:hAnsi="inherit"/>
          <w:sz w:val="17"/>
        </w:rPr>
        <w:t>net loss.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58</w:t>
      </w:r>
      <w:r>
        <w:br w:type="page"/>
      </w:r>
    </w:p>
    <w:p>
      <w:pPr>
        <w:pStyle w:val="TextBody"/>
        <w:spacing w:lineRule="auto" w:line="288" w:before="0" w:after="0"/>
        <w:rPr/>
      </w:pPr>
      <w:hyperlink w:anchor="s6341541F7667DB742175CD29235C3997">
        <w:bookmarkStart w:id="47" w:name="sEDD2D1F2BBF3B8BB3F4CCD29079F5EA3"/>
        <w:bookmarkEnd w:id="4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Segment Results of Operations</w:t>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rPr>
          <w:rFonts w:ascii="inherit" w:hAnsi="inherit"/>
          <w:sz w:val="17"/>
        </w:rPr>
      </w:pPr>
      <w:r>
        <w:rPr>
          <w:rFonts w:ascii="inherit" w:hAnsi="inherit"/>
          <w:sz w:val="17"/>
        </w:rPr>
        <w:t>The following table presents selected financial data for the U.S. &amp; Canada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156"/>
        <w:gridCol w:w="182"/>
        <w:gridCol w:w="1301"/>
        <w:gridCol w:w="250"/>
        <w:gridCol w:w="151"/>
        <w:gridCol w:w="182"/>
        <w:gridCol w:w="1301"/>
        <w:gridCol w:w="68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56" w:type="dxa"/>
            <w:tcBorders/>
            <w:shd w:fill="auto" w:val="clear"/>
            <w:vAlign w:val="center"/>
          </w:tcPr>
          <w:p>
            <w:pPr>
              <w:pStyle w:val="TableContents"/>
              <w:spacing w:before="0" w:after="0"/>
              <w:ind w:left="0" w:right="0" w:firstLine="30"/>
              <w:jc w:val="left"/>
              <w:rPr/>
            </w:pPr>
            <w:r>
              <w:rPr/>
              <w:t> </w:t>
            </w:r>
          </w:p>
        </w:tc>
        <w:tc>
          <w:tcPr>
            <w:tcW w:w="404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6156" w:type="dxa"/>
            <w:tcBorders/>
            <w:shd w:fill="auto" w:val="clear"/>
            <w:vAlign w:val="center"/>
          </w:tcPr>
          <w:p>
            <w:pPr>
              <w:pStyle w:val="TableContents"/>
              <w:spacing w:before="0" w:after="0"/>
              <w:ind w:left="0" w:right="0" w:firstLine="30"/>
              <w:jc w:val="left"/>
              <w:rPr/>
            </w:pPr>
            <w:r>
              <w:rPr/>
              <w:t> </w:t>
            </w:r>
          </w:p>
        </w:tc>
        <w:tc>
          <w:tcPr>
            <w:tcW w:w="17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21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156" w:type="dxa"/>
            <w:tcBorders/>
            <w:shd w:fill="auto" w:val="clear"/>
            <w:vAlign w:val="center"/>
          </w:tcPr>
          <w:p>
            <w:pPr>
              <w:pStyle w:val="TableContents"/>
              <w:spacing w:before="0" w:after="0"/>
              <w:ind w:left="0" w:right="0" w:firstLine="30"/>
              <w:jc w:val="left"/>
              <w:rPr/>
            </w:pPr>
            <w:r>
              <w:rPr/>
              <w:t> </w:t>
            </w:r>
          </w:p>
        </w:tc>
        <w:tc>
          <w:tcPr>
            <w:tcW w:w="404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33"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165" w:type="dxa"/>
            <w:gridSpan w:val="3"/>
            <w:tcBorders/>
            <w:shd w:fill="CCEEFF" w:val="clear"/>
            <w:vAlign w:val="center"/>
          </w:tcPr>
          <w:p>
            <w:pPr>
              <w:pStyle w:val="TableContents"/>
              <w:spacing w:before="0" w:after="0"/>
              <w:ind w:left="0" w:right="0" w:firstLine="420"/>
              <w:rPr/>
            </w:pPr>
            <w:r>
              <w:rPr/>
              <w:t> </w:t>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auto" w:val="clear"/>
            <w:vAlign w:val="center"/>
          </w:tcPr>
          <w:p>
            <w:pPr>
              <w:pStyle w:val="TableContents"/>
              <w:spacing w:before="0" w:after="0"/>
              <w:jc w:val="right"/>
              <w:rPr>
                <w:rFonts w:ascii="inherit" w:hAnsi="inherit"/>
                <w:sz w:val="17"/>
              </w:rPr>
            </w:pPr>
            <w:r>
              <w:rPr>
                <w:rFonts w:ascii="inherit" w:hAnsi="inherit"/>
                <w:sz w:val="17"/>
              </w:rPr>
              <w:t>71,464</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auto" w:val="clear"/>
            <w:vAlign w:val="center"/>
          </w:tcPr>
          <w:p>
            <w:pPr>
              <w:pStyle w:val="TableContents"/>
              <w:spacing w:before="0" w:after="0"/>
              <w:jc w:val="right"/>
              <w:rPr>
                <w:rFonts w:ascii="inherit" w:hAnsi="inherit"/>
                <w:sz w:val="17"/>
              </w:rPr>
            </w:pPr>
            <w:r>
              <w:rPr>
                <w:rFonts w:ascii="inherit" w:hAnsi="inherit"/>
                <w:sz w:val="17"/>
              </w:rPr>
              <w:t>65,221</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26,288</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37,298</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52,505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49,969</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40,279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37,492</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1,058</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643</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191,594</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190,623</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41,795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38,174</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20,285</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24,337</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9,994</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8,806</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119,520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119,306</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733"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165" w:type="dxa"/>
            <w:gridSpan w:val="3"/>
            <w:tcBorders/>
            <w:shd w:fill="auto" w:val="clear"/>
            <w:vAlign w:val="center"/>
          </w:tcPr>
          <w:p>
            <w:pPr>
              <w:pStyle w:val="TableContents"/>
              <w:spacing w:before="0" w:after="0"/>
              <w:ind w:left="0" w:right="0" w:firstLine="420"/>
              <w:rPr/>
            </w:pPr>
            <w:r>
              <w:rPr/>
              <w:t> </w:t>
            </w:r>
          </w:p>
        </w:tc>
      </w:tr>
      <w:tr>
        <w:trPr/>
        <w:tc>
          <w:tcPr>
            <w:tcW w:w="61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84,194</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70,666</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3,608</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on sale or disposal of assets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expense, net</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expense</w:t>
            </w:r>
          </w:p>
        </w:tc>
        <w:tc>
          <w:tcPr>
            <w:tcW w:w="148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497</w:t>
            </w:r>
          </w:p>
        </w:tc>
        <w:tc>
          <w:tcPr>
            <w:tcW w:w="6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30,272</w:t>
            </w:r>
          </w:p>
        </w:tc>
        <w:tc>
          <w:tcPr>
            <w:tcW w:w="2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44,426</w:t>
            </w:r>
          </w:p>
        </w:tc>
        <w:tc>
          <w:tcPr>
            <w:tcW w:w="6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33"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165" w:type="dxa"/>
            <w:gridSpan w:val="3"/>
            <w:tcBorders/>
            <w:shd w:fill="CCEEFF" w:val="clear"/>
            <w:vAlign w:val="center"/>
          </w:tcPr>
          <w:p>
            <w:pPr>
              <w:pStyle w:val="TableContents"/>
              <w:spacing w:before="0" w:after="0"/>
              <w:ind w:left="0" w:right="0" w:firstLine="420"/>
              <w:rPr/>
            </w:pPr>
            <w:r>
              <w:rPr/>
              <w:t> </w:t>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41.5</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34.7</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39.0</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CCEEFF" w:val="clear"/>
            <w:vAlign w:val="center"/>
          </w:tcPr>
          <w:p>
            <w:pPr>
              <w:pStyle w:val="TableContents"/>
              <w:spacing w:before="0" w:after="0"/>
              <w:jc w:val="right"/>
              <w:rPr>
                <w:rFonts w:ascii="inherit" w:hAnsi="inherit"/>
                <w:sz w:val="17"/>
              </w:rPr>
            </w:pPr>
            <w:r>
              <w:rPr>
                <w:rFonts w:ascii="inherit" w:hAnsi="inherit"/>
                <w:sz w:val="17"/>
              </w:rPr>
              <w:t>275</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CCEEFF" w:val="clear"/>
            <w:vAlign w:val="center"/>
          </w:tcPr>
          <w:p>
            <w:pPr>
              <w:pStyle w:val="TableContents"/>
              <w:spacing w:before="0" w:after="0"/>
              <w:jc w:val="right"/>
              <w:rPr>
                <w:rFonts w:ascii="inherit" w:hAnsi="inherit"/>
                <w:sz w:val="17"/>
              </w:rPr>
            </w:pPr>
            <w:r>
              <w:rPr>
                <w:rFonts w:ascii="inherit" w:hAnsi="inherit"/>
                <w:sz w:val="17"/>
              </w:rPr>
              <w:t>285</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23.5</w:t>
            </w:r>
          </w:p>
        </w:tc>
        <w:tc>
          <w:tcPr>
            <w:tcW w:w="6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7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U.S. &amp; Canada segment total revenues increased </w:t>
      </w:r>
      <w:r>
        <w:rPr>
          <w:rFonts w:ascii="inherit" w:hAnsi="inherit"/>
          <w:strike w:val="false"/>
          <w:dstrike w:val="false"/>
          <w:color w:val="000000"/>
          <w:sz w:val="17"/>
          <w:u w:val="none"/>
          <w:effect w:val="none"/>
        </w:rPr>
        <w:t>$1.0 million</w:t>
      </w:r>
      <w:r>
        <w:rPr>
          <w:sz w:val="17"/>
        </w:rPr>
        <w:t xml:space="preserve"> </w:t>
      </w:r>
      <w:r>
        <w:rPr>
          <w:rFonts w:ascii="inherit" w:hAnsi="inherit"/>
          <w:sz w:val="17"/>
        </w:rPr>
        <w:t xml:space="preserve">from the prior year quarter to </w:t>
      </w:r>
      <w:r>
        <w:rPr>
          <w:rFonts w:ascii="inherit" w:hAnsi="inherit"/>
          <w:strike w:val="false"/>
          <w:dstrike w:val="false"/>
          <w:color w:val="000000"/>
          <w:sz w:val="17"/>
          <w:u w:val="none"/>
          <w:effect w:val="none"/>
        </w:rPr>
        <w:t>$191.6 million</w:t>
      </w:r>
      <w:r>
        <w:rPr>
          <w:rFonts w:ascii="inherit" w:hAnsi="inherit"/>
          <w:sz w:val="17"/>
        </w:rPr>
        <w:t xml:space="preserve">. Same store total revenues decreased $12.4 million, or 7%, and new and acquired stores net of closed stores contributed $13.4 million. In the current quarter we opened </w:t>
      </w:r>
      <w:r>
        <w:rPr>
          <w:rFonts w:ascii="inherit" w:hAnsi="inherit"/>
          <w:strike w:val="false"/>
          <w:dstrike w:val="false"/>
          <w:color w:val="000000"/>
          <w:sz w:val="17"/>
          <w:u w:val="none"/>
          <w:effect w:val="none"/>
        </w:rPr>
        <w:t>5</w:t>
      </w:r>
      <w:r>
        <w:rPr>
          <w:sz w:val="17"/>
        </w:rPr>
        <w:t xml:space="preserve"> </w:t>
      </w:r>
      <w:r>
        <w:rPr>
          <w:rFonts w:ascii="inherit" w:hAnsi="inherit"/>
          <w:sz w:val="17"/>
        </w:rPr>
        <w:t xml:space="preserve">de novo locations bringing our total number of stores in the U.S. &amp; Canada segment to </w:t>
      </w:r>
      <w:r>
        <w:rPr>
          <w:rFonts w:ascii="inherit" w:hAnsi="inherit"/>
          <w:strike w:val="false"/>
          <w:dstrike w:val="false"/>
          <w:color w:val="000000"/>
          <w:sz w:val="17"/>
          <w:u w:val="none"/>
          <w:effect w:val="none"/>
        </w:rPr>
        <w:t>1,061</w:t>
      </w:r>
      <w:r>
        <w:rPr>
          <w:rFonts w:ascii="inherit" w:hAnsi="inherit"/>
          <w:sz w:val="17"/>
        </w:rPr>
        <w:t xml:space="preserve">, an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increase over the prior year quarter. As part of the Reorganization, we will close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stores in the U.S. &amp; Canada segment, bringing our stores in continuing operations to </w:t>
      </w:r>
      <w:r>
        <w:rPr>
          <w:rFonts w:ascii="inherit" w:hAnsi="inherit"/>
          <w:strike w:val="false"/>
          <w:dstrike w:val="false"/>
          <w:color w:val="000000"/>
          <w:sz w:val="17"/>
          <w:u w:val="none"/>
          <w:effect w:val="none"/>
        </w:rPr>
        <w:t>1,011</w:t>
      </w:r>
      <w:r>
        <w:rPr>
          <w:rFonts w:ascii="inherit" w:hAnsi="inherit"/>
          <w:sz w:val="17"/>
        </w:rPr>
        <w:t>.</w:t>
      </w:r>
    </w:p>
    <w:p>
      <w:pPr>
        <w:pStyle w:val="TextBody"/>
        <w:spacing w:lineRule="auto" w:line="288" w:before="0" w:after="0"/>
        <w:rPr>
          <w:sz w:val="17"/>
        </w:rPr>
      </w:pPr>
      <w:r>
        <w:rPr>
          <w:rFonts w:ascii="inherit" w:hAnsi="inherit"/>
          <w:sz w:val="17"/>
        </w:rPr>
        <w:t xml:space="preserve">Our current quarter pawn service charge revenues increased </w:t>
      </w:r>
      <w:r>
        <w:rPr>
          <w:rFonts w:ascii="inherit" w:hAnsi="inherit"/>
          <w:strike w:val="false"/>
          <w:dstrike w:val="false"/>
          <w:color w:val="000000"/>
          <w:sz w:val="17"/>
          <w:u w:val="none"/>
          <w:effect w:val="none"/>
        </w:rPr>
        <w:t>$2.5 million</w:t>
      </w:r>
      <w:r>
        <w:rPr>
          <w:rFonts w:ascii="inherit" w:hAnsi="inherit"/>
          <w:sz w:val="17"/>
        </w:rPr>
        <w:t xml:space="preserve">, or </w:t>
      </w:r>
      <w:r>
        <w:rPr>
          <w:rFonts w:ascii="inherit" w:hAnsi="inherit"/>
          <w:strike w:val="false"/>
          <w:dstrike w:val="false"/>
          <w:color w:val="000000"/>
          <w:sz w:val="17"/>
          <w:u w:val="none"/>
          <w:effect w:val="none"/>
        </w:rPr>
        <w:t>5%</w:t>
      </w:r>
      <w:r>
        <w:rPr>
          <w:rFonts w:ascii="inherit" w:hAnsi="inherit"/>
          <w:sz w:val="17"/>
        </w:rPr>
        <w:t xml:space="preserve">, from the prior year quarter to </w:t>
      </w:r>
      <w:r>
        <w:rPr>
          <w:rFonts w:ascii="inherit" w:hAnsi="inherit"/>
          <w:strike w:val="false"/>
          <w:dstrike w:val="false"/>
          <w:color w:val="000000"/>
          <w:sz w:val="17"/>
          <w:u w:val="none"/>
          <w:effect w:val="none"/>
        </w:rPr>
        <w:t>$52.5 million</w:t>
      </w:r>
      <w:r>
        <w:rPr>
          <w:rFonts w:ascii="inherit" w:hAnsi="inherit"/>
          <w:sz w:val="17"/>
        </w:rPr>
        <w:t>. The overall increase was due to a higher average loan balance during the quarter of $129.3 million, a 5% increase in total at the end of the quarter over the prior year quarter. Same store pawn service charge revenues increased $1.0 million, or 2%, with new and acquired stores net of closed stores contributing $1.5 million. The same store increase is due to a higher redemption rate and improvement yield. The overall decrease in yield is due to acquired stores in Arizona, which charge lower rates.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59</w:t>
      </w:r>
      <w:r>
        <w:br w:type="page"/>
      </w:r>
    </w:p>
    <w:p>
      <w:pPr>
        <w:pStyle w:val="TextBody"/>
        <w:spacing w:lineRule="auto" w:line="288" w:before="0" w:after="0"/>
        <w:rPr/>
      </w:pPr>
      <w:hyperlink w:anchor="s6341541F7667DB742175CD29235C3997">
        <w:bookmarkStart w:id="48" w:name="sEDD2D1F2BBF3B8BB3F4CCD29079F5EA31"/>
        <w:bookmarkEnd w:id="4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The current quarter merchandise sales gross profit increased </w:t>
      </w:r>
      <w:r>
        <w:rPr>
          <w:rFonts w:ascii="inherit" w:hAnsi="inherit"/>
          <w:strike w:val="false"/>
          <w:dstrike w:val="false"/>
          <w:color w:val="000000"/>
          <w:sz w:val="17"/>
          <w:u w:val="none"/>
          <w:effect w:val="none"/>
        </w:rPr>
        <w:t>$2.6 million</w:t>
      </w:r>
      <w:r>
        <w:rPr>
          <w:rFonts w:ascii="inherit" w:hAnsi="inherit"/>
          <w:sz w:val="17"/>
        </w:rPr>
        <w:t xml:space="preserve">, or </w:t>
      </w:r>
      <w:r>
        <w:rPr>
          <w:rFonts w:ascii="inherit" w:hAnsi="inherit"/>
          <w:strike w:val="false"/>
          <w:dstrike w:val="false"/>
          <w:color w:val="000000"/>
          <w:sz w:val="17"/>
          <w:u w:val="none"/>
          <w:effect w:val="none"/>
        </w:rPr>
        <w:t>10%</w:t>
      </w:r>
      <w:r>
        <w:rPr>
          <w:rFonts w:ascii="inherit" w:hAnsi="inherit"/>
          <w:sz w:val="17"/>
        </w:rPr>
        <w:t xml:space="preserve">, from the prior year quarter to </w:t>
      </w:r>
      <w:r>
        <w:rPr>
          <w:rFonts w:ascii="inherit" w:hAnsi="inherit"/>
          <w:strike w:val="false"/>
          <w:dstrike w:val="false"/>
          <w:color w:val="000000"/>
          <w:sz w:val="17"/>
          <w:u w:val="none"/>
          <w:effect w:val="none"/>
        </w:rPr>
        <w:t>$29.7 million</w:t>
      </w:r>
      <w:r>
        <w:rPr>
          <w:rFonts w:ascii="inherit" w:hAnsi="inherit"/>
          <w:sz w:val="17"/>
        </w:rPr>
        <w:t xml:space="preserve">. Same store merchandise sales increased $3.1 million and new and acquired stores net of closed stores contributed $3.1 million. Gross margin remained flat to the prior year quarter at </w:t>
      </w:r>
      <w:r>
        <w:rPr>
          <w:rFonts w:ascii="inherit" w:hAnsi="inherit"/>
          <w:strike w:val="false"/>
          <w:dstrike w:val="false"/>
          <w:color w:val="000000"/>
          <w:sz w:val="17"/>
          <w:u w:val="none"/>
          <w:effect w:val="none"/>
        </w:rPr>
        <w:t>41.5%</w:t>
      </w:r>
      <w:r>
        <w:rPr>
          <w:rFonts w:ascii="inherit" w:hAnsi="inherit"/>
          <w:sz w:val="17"/>
        </w:rPr>
        <w:t xml:space="preserve">. </w:t>
      </w:r>
    </w:p>
    <w:p>
      <w:pPr>
        <w:pStyle w:val="TextBody"/>
        <w:spacing w:lineRule="auto" w:line="288" w:before="0" w:after="0"/>
        <w:rPr>
          <w:sz w:val="17"/>
        </w:rPr>
      </w:pPr>
      <w:r>
        <w:rPr>
          <w:rFonts w:ascii="inherit" w:hAnsi="inherit"/>
          <w:sz w:val="17"/>
        </w:rPr>
        <w:t xml:space="preserve">Gross profit on jewelry scrapping sales decreased </w:t>
      </w:r>
      <w:r>
        <w:rPr>
          <w:rFonts w:ascii="inherit" w:hAnsi="inherit"/>
          <w:strike w:val="false"/>
          <w:dstrike w:val="false"/>
          <w:color w:val="000000"/>
          <w:sz w:val="17"/>
          <w:u w:val="none"/>
          <w:effect w:val="none"/>
        </w:rPr>
        <w:t>$7.0 million</w:t>
      </w:r>
      <w:r>
        <w:rPr>
          <w:rFonts w:ascii="inherit" w:hAnsi="inherit"/>
          <w:sz w:val="17"/>
        </w:rPr>
        <w:t xml:space="preserve">, or </w:t>
      </w:r>
      <w:r>
        <w:rPr>
          <w:rFonts w:ascii="inherit" w:hAnsi="inherit"/>
          <w:strike w:val="false"/>
          <w:dstrike w:val="false"/>
          <w:color w:val="000000"/>
          <w:sz w:val="17"/>
          <w:u w:val="none"/>
          <w:effect w:val="none"/>
        </w:rPr>
        <w:t>54%</w:t>
      </w:r>
      <w:r>
        <w:rPr>
          <w:rFonts w:ascii="inherit" w:hAnsi="inherit"/>
          <w:sz w:val="17"/>
        </w:rPr>
        <w:t xml:space="preserve">, from the prior year quarter to </w:t>
      </w:r>
      <w:r>
        <w:rPr>
          <w:rFonts w:ascii="inherit" w:hAnsi="inherit"/>
          <w:strike w:val="false"/>
          <w:dstrike w:val="false"/>
          <w:color w:val="000000"/>
          <w:sz w:val="17"/>
          <w:u w:val="none"/>
          <w:effect w:val="none"/>
        </w:rPr>
        <w:t>$6.0 million</w:t>
      </w:r>
      <w:r>
        <w:rPr>
          <w:rFonts w:ascii="inherit" w:hAnsi="inherit"/>
          <w:sz w:val="17"/>
        </w:rPr>
        <w:t xml:space="preserve">. Jewelry scrapping revenues decreased </w:t>
      </w:r>
      <w:r>
        <w:rPr>
          <w:rFonts w:ascii="inherit" w:hAnsi="inherit"/>
          <w:strike w:val="false"/>
          <w:dstrike w:val="false"/>
          <w:color w:val="000000"/>
          <w:sz w:val="17"/>
          <w:u w:val="none"/>
          <w:effect w:val="none"/>
        </w:rPr>
        <w:t>$11.0 million</w:t>
      </w:r>
      <w:r>
        <w:rPr>
          <w:rFonts w:ascii="inherit" w:hAnsi="inherit"/>
          <w:sz w:val="17"/>
        </w:rPr>
        <w:t xml:space="preserve">, or </w:t>
      </w:r>
      <w:r>
        <w:rPr>
          <w:rFonts w:ascii="inherit" w:hAnsi="inherit"/>
          <w:strike w:val="false"/>
          <w:dstrike w:val="false"/>
          <w:color w:val="000000"/>
          <w:sz w:val="17"/>
          <w:u w:val="none"/>
          <w:effect w:val="none"/>
        </w:rPr>
        <w:t>30%</w:t>
      </w:r>
      <w:r>
        <w:rPr>
          <w:rFonts w:ascii="inherit" w:hAnsi="inherit"/>
          <w:sz w:val="17"/>
        </w:rPr>
        <w:t xml:space="preserve">, due to a 29% decrease in gold volume and a 10% decrease in proceeds realized per gram of gold jewelry scrapped. Same store jewelry scrapping sales decreased $15.3 million, or 41%, and new and acquired stores contributed $4.3 million. Jewelry scrapping sales include the sale of approximately $4.1 million of loose diamonds removed from scrap jewelry in the current quarter and $2.1 million in the prior year quarter. Scrap cost of goods decreased </w:t>
      </w:r>
      <w:r>
        <w:rPr>
          <w:rFonts w:ascii="inherit" w:hAnsi="inherit"/>
          <w:strike w:val="false"/>
          <w:dstrike w:val="false"/>
          <w:color w:val="000000"/>
          <w:sz w:val="17"/>
          <w:u w:val="none"/>
          <w:effect w:val="none"/>
        </w:rPr>
        <w:t>$4.1 million</w:t>
      </w:r>
      <w:r>
        <w:rPr>
          <w:rFonts w:ascii="inherit" w:hAnsi="inherit"/>
          <w:sz w:val="17"/>
        </w:rPr>
        <w:t xml:space="preserve">, or </w:t>
      </w:r>
      <w:r>
        <w:rPr>
          <w:rFonts w:ascii="inherit" w:hAnsi="inherit"/>
          <w:strike w:val="false"/>
          <w:dstrike w:val="false"/>
          <w:color w:val="000000"/>
          <w:sz w:val="17"/>
          <w:u w:val="none"/>
          <w:effect w:val="none"/>
        </w:rPr>
        <w:t>17%</w:t>
      </w:r>
      <w:r>
        <w:rPr>
          <w:rFonts w:ascii="inherit" w:hAnsi="inherit"/>
          <w:sz w:val="17"/>
        </w:rPr>
        <w:t xml:space="preserve">, as a result of the decrease in volume, partially offset by an 8% increase in average cost per gram of jewelry scrapped. The decrease in scrap sales is a function of the decrease in volume and gold prices as well as our strategy to shift more of our jewelry disposition from scrap to wholesale and retail. The increase in cost is mainly due to a very competitive marketplace and our efforts to gain market share by increasing lending rates compared to collateral value, which results in an increase in cost basis of inventory held for sale. </w:t>
      </w:r>
    </w:p>
    <w:p>
      <w:pPr>
        <w:pStyle w:val="TextBody"/>
        <w:spacing w:lineRule="auto" w:line="288" w:before="0" w:after="0"/>
        <w:rPr>
          <w:sz w:val="17"/>
        </w:rPr>
      </w:pPr>
      <w:r>
        <w:rPr>
          <w:rFonts w:ascii="inherit" w:hAnsi="inherit"/>
          <w:sz w:val="17"/>
        </w:rPr>
        <w:t xml:space="preserve">The current quarter’s consumer loan fees increased </w:t>
      </w:r>
      <w:r>
        <w:rPr>
          <w:rFonts w:ascii="inherit" w:hAnsi="inherit"/>
          <w:strike w:val="false"/>
          <w:dstrike w:val="false"/>
          <w:color w:val="000000"/>
          <w:sz w:val="17"/>
          <w:u w:val="none"/>
          <w:effect w:val="none"/>
        </w:rPr>
        <w:t>$2.8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xml:space="preserve">, to </w:t>
      </w:r>
      <w:r>
        <w:rPr>
          <w:rFonts w:ascii="inherit" w:hAnsi="inherit"/>
          <w:strike w:val="false"/>
          <w:dstrike w:val="false"/>
          <w:color w:val="000000"/>
          <w:sz w:val="17"/>
          <w:u w:val="none"/>
          <w:effect w:val="none"/>
        </w:rPr>
        <w:t>$40.3 million</w:t>
      </w:r>
      <w:r>
        <w:rPr>
          <w:rFonts w:ascii="inherit" w:hAnsi="inherit"/>
          <w:sz w:val="17"/>
        </w:rPr>
        <w:t xml:space="preserve">, over the prior year quarter. Same store consumer loan fees decreased $0.9 million, or 2%, with new and acquired stores net of closed stores contributing $3.7 million. Consumer loan bad debt as a percentage of fees was </w:t>
      </w:r>
      <w:r>
        <w:rPr>
          <w:rFonts w:ascii="inherit" w:hAnsi="inherit"/>
          <w:strike w:val="false"/>
          <w:dstrike w:val="false"/>
          <w:color w:val="000000"/>
          <w:sz w:val="17"/>
          <w:u w:val="none"/>
          <w:effect w:val="none"/>
        </w:rPr>
        <w:t>25%</w:t>
      </w:r>
      <w:r>
        <w:rPr>
          <w:sz w:val="17"/>
        </w:rPr>
        <w:t xml:space="preserve">  </w:t>
      </w:r>
      <w:r>
        <w:rPr>
          <w:rFonts w:ascii="inherit" w:hAnsi="inherit"/>
          <w:sz w:val="17"/>
        </w:rPr>
        <w:t xml:space="preserve">in the current quarter compared to </w:t>
      </w:r>
      <w:r>
        <w:rPr>
          <w:rFonts w:ascii="inherit" w:hAnsi="inherit"/>
          <w:strike w:val="false"/>
          <w:dstrike w:val="false"/>
          <w:color w:val="000000"/>
          <w:sz w:val="17"/>
          <w:u w:val="none"/>
          <w:effect w:val="none"/>
        </w:rPr>
        <w:t>23%</w:t>
      </w:r>
      <w:r>
        <w:rPr>
          <w:sz w:val="17"/>
        </w:rPr>
        <w:t xml:space="preserve"> </w:t>
      </w:r>
      <w:r>
        <w:rPr>
          <w:rFonts w:ascii="inherit" w:hAnsi="inherit"/>
          <w:sz w:val="17"/>
        </w:rPr>
        <w:t>in the prior year quarter, mostly due to the higher mix of new stores, new products and online generated loans. In the current quarter, the profitability of the financial services business continued to be negatively impacted as a result of ordinances enacted in Austin and San Antonio. Local regulatory changes negatively impacted the profitability of the financial services business by approximately $1.0 million during the quarter.</w:t>
      </w:r>
    </w:p>
    <w:p>
      <w:pPr>
        <w:pStyle w:val="TextBody"/>
        <w:spacing w:lineRule="auto" w:line="288" w:before="0" w:after="0"/>
        <w:rPr>
          <w:sz w:val="17"/>
        </w:rPr>
      </w:pPr>
      <w:r>
        <w:rPr>
          <w:rFonts w:ascii="inherit" w:hAnsi="inherit"/>
          <w:sz w:val="17"/>
        </w:rPr>
        <w:t xml:space="preserve">Operations expense increased to </w:t>
      </w:r>
      <w:r>
        <w:rPr>
          <w:rFonts w:ascii="inherit" w:hAnsi="inherit"/>
          <w:strike w:val="false"/>
          <w:dstrike w:val="false"/>
          <w:color w:val="000000"/>
          <w:sz w:val="17"/>
          <w:u w:val="none"/>
          <w:effect w:val="none"/>
        </w:rPr>
        <w:t>$84.2 million</w:t>
      </w:r>
      <w:r>
        <w:rPr>
          <w:sz w:val="17"/>
        </w:rPr>
        <w:t xml:space="preserve"> </w:t>
      </w:r>
      <w:r>
        <w:rPr>
          <w:rFonts w:ascii="inherit" w:hAnsi="inherit"/>
          <w:sz w:val="17"/>
        </w:rPr>
        <w:t>(</w:t>
      </w:r>
      <w:r>
        <w:rPr>
          <w:rFonts w:ascii="inherit" w:hAnsi="inherit"/>
          <w:strike w:val="false"/>
          <w:dstrike w:val="false"/>
          <w:color w:val="000000"/>
          <w:sz w:val="17"/>
          <w:u w:val="none"/>
          <w:effect w:val="none"/>
        </w:rPr>
        <w:t>44%</w:t>
      </w:r>
      <w:r>
        <w:rPr>
          <w:sz w:val="17"/>
        </w:rPr>
        <w:t xml:space="preserve"> </w:t>
      </w:r>
      <w:r>
        <w:rPr>
          <w:rFonts w:ascii="inherit" w:hAnsi="inherit"/>
          <w:sz w:val="17"/>
        </w:rPr>
        <w:t xml:space="preserve">of revenues) in the current quarter from </w:t>
      </w:r>
      <w:r>
        <w:rPr>
          <w:rFonts w:ascii="inherit" w:hAnsi="inherit"/>
          <w:strike w:val="false"/>
          <w:dstrike w:val="false"/>
          <w:color w:val="000000"/>
          <w:sz w:val="17"/>
          <w:u w:val="none"/>
          <w:effect w:val="none"/>
        </w:rPr>
        <w:t>$70.7 million</w:t>
      </w:r>
      <w:r>
        <w:rPr>
          <w:sz w:val="17"/>
        </w:rPr>
        <w:t xml:space="preserve"> </w:t>
      </w:r>
      <w:r>
        <w:rPr>
          <w:rFonts w:ascii="inherit" w:hAnsi="inherit"/>
          <w:sz w:val="17"/>
        </w:rPr>
        <w:t>(</w:t>
      </w:r>
      <w:r>
        <w:rPr>
          <w:rFonts w:ascii="inherit" w:hAnsi="inherit"/>
          <w:strike w:val="false"/>
          <w:dstrike w:val="false"/>
          <w:color w:val="000000"/>
          <w:sz w:val="17"/>
          <w:u w:val="none"/>
          <w:effect w:val="none"/>
        </w:rPr>
        <w:t>37%</w:t>
      </w:r>
      <w:r>
        <w:rPr>
          <w:sz w:val="17"/>
        </w:rPr>
        <w:t xml:space="preserve"> </w:t>
      </w:r>
      <w:r>
        <w:rPr>
          <w:rFonts w:ascii="inherit" w:hAnsi="inherit"/>
          <w:sz w:val="17"/>
        </w:rPr>
        <w:t xml:space="preserve">of revenues) in the prior year quarter. The increase is due to higher operating costs resulting from new and acquired stores, as well as the costs associated with various business unit growth initiatives, such as EZCORP Online, which were recorded as operations expense. Depreciation and amortization increased </w:t>
      </w:r>
      <w:r>
        <w:rPr>
          <w:rFonts w:ascii="inherit" w:hAnsi="inherit"/>
          <w:strike w:val="false"/>
          <w:dstrike w:val="false"/>
          <w:color w:val="000000"/>
          <w:sz w:val="17"/>
          <w:u w:val="none"/>
          <w:effect w:val="none"/>
        </w:rPr>
        <w:t>$1.3 million</w:t>
      </w:r>
      <w:r>
        <w:rPr>
          <w:rFonts w:ascii="inherit" w:hAnsi="inherit"/>
          <w:sz w:val="17"/>
        </w:rPr>
        <w:t xml:space="preserve">, or </w:t>
      </w:r>
      <w:r>
        <w:rPr>
          <w:rFonts w:ascii="inherit" w:hAnsi="inherit"/>
          <w:strike w:val="false"/>
          <w:dstrike w:val="false"/>
          <w:color w:val="000000"/>
          <w:sz w:val="17"/>
          <w:u w:val="none"/>
          <w:effect w:val="none"/>
        </w:rPr>
        <w:t>36%</w:t>
      </w:r>
      <w:r>
        <w:rPr>
          <w:rFonts w:ascii="inherit" w:hAnsi="inherit"/>
          <w:sz w:val="17"/>
        </w:rPr>
        <w:t xml:space="preserve">, from the prior year quarter to </w:t>
      </w:r>
      <w:r>
        <w:rPr>
          <w:rFonts w:ascii="inherit" w:hAnsi="inherit"/>
          <w:strike w:val="false"/>
          <w:dstrike w:val="false"/>
          <w:color w:val="000000"/>
          <w:sz w:val="17"/>
          <w:u w:val="none"/>
          <w:effect w:val="none"/>
        </w:rPr>
        <w:t>$4.9 million</w:t>
      </w:r>
      <w:r>
        <w:rPr>
          <w:rFonts w:ascii="inherit" w:hAnsi="inherit"/>
          <w:sz w:val="17"/>
        </w:rPr>
        <w:t xml:space="preserve">, mainly due to assets placed in service at new and acquired stores. </w:t>
      </w:r>
    </w:p>
    <w:p>
      <w:pPr>
        <w:pStyle w:val="TextBody"/>
        <w:spacing w:lineRule="auto" w:line="288" w:before="0" w:after="0"/>
        <w:rPr>
          <w:sz w:val="17"/>
        </w:rPr>
      </w:pPr>
      <w:r>
        <w:rPr>
          <w:rFonts w:ascii="inherit" w:hAnsi="inherit"/>
          <w:sz w:val="17"/>
        </w:rPr>
        <w:t xml:space="preserve">In the current quarter, U.S. &amp; Canada delivered a segment contribution of </w:t>
      </w:r>
      <w:r>
        <w:rPr>
          <w:rFonts w:ascii="inherit" w:hAnsi="inherit"/>
          <w:strike w:val="false"/>
          <w:dstrike w:val="false"/>
          <w:color w:val="000000"/>
          <w:sz w:val="17"/>
          <w:u w:val="none"/>
          <w:effect w:val="none"/>
        </w:rPr>
        <w:t>$30.3 million</w:t>
      </w:r>
      <w:r>
        <w:rPr>
          <w:rFonts w:ascii="inherit" w:hAnsi="inherit"/>
          <w:sz w:val="17"/>
        </w:rPr>
        <w:t xml:space="preserve">, a </w:t>
      </w:r>
      <w:r>
        <w:rPr>
          <w:rFonts w:ascii="inherit" w:hAnsi="inherit"/>
          <w:strike w:val="false"/>
          <w:dstrike w:val="false"/>
          <w:color w:val="000000"/>
          <w:sz w:val="17"/>
          <w:u w:val="none"/>
          <w:effect w:val="none"/>
        </w:rPr>
        <w:t>$14.2 million</w:t>
      </w:r>
      <w:r>
        <w:rPr>
          <w:sz w:val="17"/>
        </w:rPr>
        <w:t xml:space="preserve"> </w:t>
      </w:r>
      <w:r>
        <w:rPr>
          <w:rFonts w:ascii="inherit" w:hAnsi="inherit"/>
          <w:sz w:val="17"/>
        </w:rPr>
        <w:t xml:space="preserve">decrease compared to the prior year quarter, driven by the challenges related to jewelry merchandise sales and gold scrap sales, as well as operating costs incurred by the company's U.S. online initiative, EZOnline. In the current quarter, the U.S. &amp; Canada segment's contribution represented </w:t>
      </w:r>
      <w:r>
        <w:rPr>
          <w:rFonts w:ascii="inherit" w:hAnsi="inherit"/>
          <w:strike w:val="false"/>
          <w:dstrike w:val="false"/>
          <w:color w:val="000000"/>
          <w:sz w:val="17"/>
          <w:u w:val="none"/>
          <w:effect w:val="none"/>
        </w:rPr>
        <w:t>73%</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79%</w:t>
      </w:r>
      <w:r>
        <w:rPr>
          <w:sz w:val="17"/>
        </w:rPr>
        <w:t xml:space="preserve"> </w:t>
      </w:r>
      <w:r>
        <w:rPr>
          <w:rFonts w:ascii="inherit" w:hAnsi="inherit"/>
          <w:sz w:val="17"/>
        </w:rPr>
        <w:t xml:space="preserve">in the prior year. Our expansion outside of the U.S. and Canada, both through de novo and acquisitions, continues to diversify our revenues and earnings composition. While the U.S. &amp; Canada segment has experienced some challenges related to jewelry merchandise sales and gold scrap sales, our core lending elements of our business have continued to show strength.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60</w:t>
      </w:r>
      <w:r>
        <w:br w:type="page"/>
      </w:r>
    </w:p>
    <w:p>
      <w:pPr>
        <w:pStyle w:val="TextBody"/>
        <w:spacing w:lineRule="auto" w:line="288" w:before="0" w:after="0"/>
        <w:rPr/>
      </w:pPr>
      <w:hyperlink w:anchor="s6341541F7667DB742175CD29235C3997">
        <w:bookmarkStart w:id="49" w:name="s0B54565104B9D97D5497CD2907972FDF"/>
        <w:bookmarkEnd w:id="4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rPr>
          <w:rFonts w:ascii="inherit" w:hAnsi="inherit"/>
          <w:sz w:val="17"/>
        </w:rPr>
      </w:pPr>
      <w:r>
        <w:rPr>
          <w:rFonts w:ascii="inherit" w:hAnsi="inherit"/>
          <w:sz w:val="17"/>
        </w:rPr>
        <w:t>The following table presents selected financial data for the Latin America segment after translation to U.S. dollars from its functional currency of the Mexican peso:</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044"/>
        <w:gridCol w:w="183"/>
        <w:gridCol w:w="1293"/>
        <w:gridCol w:w="252"/>
        <w:gridCol w:w="151"/>
        <w:gridCol w:w="183"/>
        <w:gridCol w:w="1293"/>
        <w:gridCol w:w="80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4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44" w:type="dxa"/>
            <w:tcBorders/>
            <w:shd w:fill="auto" w:val="clear"/>
            <w:vAlign w:val="center"/>
          </w:tcPr>
          <w:p>
            <w:pPr>
              <w:pStyle w:val="TableContents"/>
              <w:spacing w:before="0" w:after="0"/>
              <w:ind w:left="0" w:right="0" w:firstLine="30"/>
              <w:jc w:val="left"/>
              <w:rPr/>
            </w:pPr>
            <w:r>
              <w:rPr/>
              <w:t> </w:t>
            </w:r>
          </w:p>
        </w:tc>
        <w:tc>
          <w:tcPr>
            <w:tcW w:w="416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6044" w:type="dxa"/>
            <w:tcBorders/>
            <w:shd w:fill="auto" w:val="clear"/>
            <w:vAlign w:val="center"/>
          </w:tcPr>
          <w:p>
            <w:pPr>
              <w:pStyle w:val="TableContents"/>
              <w:spacing w:before="0" w:after="0"/>
              <w:ind w:left="0" w:right="0" w:firstLine="30"/>
              <w:jc w:val="left"/>
              <w:rPr/>
            </w:pPr>
            <w:r>
              <w:rPr/>
              <w:t> </w:t>
            </w:r>
          </w:p>
        </w:tc>
        <w:tc>
          <w:tcPr>
            <w:tcW w:w="17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22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44" w:type="dxa"/>
            <w:tcBorders/>
            <w:shd w:fill="auto" w:val="clear"/>
            <w:vAlign w:val="center"/>
          </w:tcPr>
          <w:p>
            <w:pPr>
              <w:pStyle w:val="TableContents"/>
              <w:spacing w:before="0" w:after="0"/>
              <w:ind w:left="0" w:right="0" w:firstLine="30"/>
              <w:jc w:val="left"/>
              <w:rPr/>
            </w:pPr>
            <w:r>
              <w:rPr/>
              <w:t> </w:t>
            </w:r>
          </w:p>
        </w:tc>
        <w:tc>
          <w:tcPr>
            <w:tcW w:w="416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28"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282" w:type="dxa"/>
            <w:gridSpan w:val="3"/>
            <w:tcBorders/>
            <w:shd w:fill="CCEEFF" w:val="clear"/>
            <w:vAlign w:val="center"/>
          </w:tcPr>
          <w:p>
            <w:pPr>
              <w:pStyle w:val="TableContents"/>
              <w:spacing w:before="0" w:after="0"/>
              <w:ind w:left="0" w:right="0" w:firstLine="420"/>
              <w:rPr/>
            </w:pPr>
            <w:r>
              <w:rPr/>
              <w:t> </w:t>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3" w:type="dxa"/>
            <w:tcBorders/>
            <w:shd w:fill="auto" w:val="clear"/>
            <w:vAlign w:val="center"/>
          </w:tcPr>
          <w:p>
            <w:pPr>
              <w:pStyle w:val="TableContents"/>
              <w:spacing w:before="0" w:after="0"/>
              <w:jc w:val="right"/>
              <w:rPr>
                <w:rFonts w:ascii="inherit" w:hAnsi="inherit"/>
                <w:sz w:val="17"/>
              </w:rPr>
            </w:pPr>
            <w:r>
              <w:rPr>
                <w:rFonts w:ascii="inherit" w:hAnsi="inherit"/>
                <w:sz w:val="17"/>
              </w:rPr>
              <w:t>15,112</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3" w:type="dxa"/>
            <w:tcBorders/>
            <w:shd w:fill="auto" w:val="clear"/>
            <w:vAlign w:val="center"/>
          </w:tcPr>
          <w:p>
            <w:pPr>
              <w:pStyle w:val="TableContents"/>
              <w:spacing w:before="0" w:after="0"/>
              <w:jc w:val="right"/>
              <w:rPr>
                <w:rFonts w:ascii="inherit" w:hAnsi="inherit"/>
                <w:sz w:val="17"/>
              </w:rPr>
            </w:pPr>
            <w:r>
              <w:rPr>
                <w:rFonts w:ascii="inherit" w:hAnsi="inherit"/>
                <w:sz w:val="17"/>
              </w:rPr>
              <w:t>10,065</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76" w:type="dxa"/>
            <w:gridSpan w:val="2"/>
            <w:tcBorders/>
            <w:shd w:fill="CCEEFF" w:val="clear"/>
            <w:vAlign w:val="center"/>
          </w:tcPr>
          <w:p>
            <w:pPr>
              <w:pStyle w:val="TableContents"/>
              <w:spacing w:before="0" w:after="0"/>
              <w:jc w:val="right"/>
              <w:rPr/>
            </w:pPr>
            <w:r>
              <w:rPr/>
              <w:t>—</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3,232</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7,892</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5,687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12,864</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10,381</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1,034</w:t>
            </w:r>
          </w:p>
        </w:tc>
        <w:tc>
          <w:tcPr>
            <w:tcW w:w="2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547</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36,902</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29,912</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9,255</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5,668</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2,779</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685</w:t>
            </w:r>
          </w:p>
        </w:tc>
        <w:tc>
          <w:tcPr>
            <w:tcW w:w="2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632</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26,870</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20,833</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728"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282" w:type="dxa"/>
            <w:gridSpan w:val="3"/>
            <w:tcBorders/>
            <w:shd w:fill="auto" w:val="clear"/>
            <w:vAlign w:val="center"/>
          </w:tcPr>
          <w:p>
            <w:pPr>
              <w:pStyle w:val="TableContents"/>
              <w:spacing w:before="0" w:after="0"/>
              <w:ind w:left="0" w:right="0" w:firstLine="420"/>
              <w:rPr/>
            </w:pPr>
            <w:r>
              <w:rPr/>
              <w:t> </w:t>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16,513</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11,722</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4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Depreciation and amortization</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1,854</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1,942</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4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(gain) on sale or disposal of assets</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4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net</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2,790</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4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expense (income)</w:t>
            </w:r>
          </w:p>
        </w:tc>
        <w:tc>
          <w:tcPr>
            <w:tcW w:w="14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2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5,652</w:t>
            </w:r>
          </w:p>
        </w:tc>
        <w:tc>
          <w:tcPr>
            <w:tcW w:w="25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7,164</w:t>
            </w:r>
          </w:p>
        </w:tc>
        <w:tc>
          <w:tcPr>
            <w:tcW w:w="80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28"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282" w:type="dxa"/>
            <w:gridSpan w:val="3"/>
            <w:tcBorders/>
            <w:shd w:fill="CCEEFF" w:val="clear"/>
            <w:vAlign w:val="center"/>
          </w:tcPr>
          <w:p>
            <w:pPr>
              <w:pStyle w:val="TableContents"/>
              <w:spacing w:before="0" w:after="0"/>
              <w:ind w:left="0" w:right="0" w:firstLine="420"/>
              <w:rPr/>
            </w:pPr>
            <w:r>
              <w:rPr/>
              <w:t> </w:t>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38.8</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43.7</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38.1</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36.5</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3" w:type="dxa"/>
            <w:tcBorders/>
            <w:shd w:fill="CCEEFF" w:val="clear"/>
            <w:vAlign w:val="center"/>
          </w:tcPr>
          <w:p>
            <w:pPr>
              <w:pStyle w:val="TableContents"/>
              <w:spacing w:before="0" w:after="0"/>
              <w:jc w:val="right"/>
              <w:rPr>
                <w:rFonts w:ascii="inherit" w:hAnsi="inherit"/>
                <w:sz w:val="17"/>
              </w:rPr>
            </w:pPr>
            <w:r>
              <w:rPr>
                <w:rFonts w:ascii="inherit" w:hAnsi="inherit"/>
                <w:sz w:val="17"/>
              </w:rPr>
              <w:t>67</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3" w:type="dxa"/>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w:t>
            </w:r>
          </w:p>
        </w:tc>
        <w:tc>
          <w:tcPr>
            <w:tcW w:w="80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7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rPr>
          <w:sz w:val="17"/>
        </w:rPr>
      </w:pPr>
      <w:r>
        <w:rPr>
          <w:rFonts w:ascii="inherit" w:hAnsi="inherit"/>
          <w:sz w:val="17"/>
        </w:rPr>
        <w:t xml:space="preserve">The average exchange rate used to translate Latin America’s current quarter results from Mexican pesos to U.S. dollars was 12.5 to 1, 8% weaker than the prior year quarter’s rate of 13.5 to 1. Total revenues increased </w:t>
      </w:r>
      <w:r>
        <w:rPr>
          <w:rFonts w:ascii="inherit" w:hAnsi="inherit"/>
          <w:strike w:val="false"/>
          <w:dstrike w:val="false"/>
          <w:color w:val="000000"/>
          <w:sz w:val="17"/>
          <w:u w:val="none"/>
          <w:effect w:val="none"/>
        </w:rPr>
        <w:t>23%</w:t>
      </w:r>
      <w:r>
        <w:rPr>
          <w:sz w:val="17"/>
        </w:rPr>
        <w:t xml:space="preserve"> </w:t>
      </w:r>
      <w:r>
        <w:rPr>
          <w:rFonts w:ascii="inherit" w:hAnsi="inherit"/>
          <w:sz w:val="17"/>
        </w:rPr>
        <w:t xml:space="preserve">in U.S. dollars and 9% in peso terms. Total segment expenses increased </w:t>
      </w:r>
      <w:r>
        <w:rPr>
          <w:rFonts w:ascii="inherit" w:hAnsi="inherit"/>
          <w:strike w:val="false"/>
          <w:dstrike w:val="false"/>
          <w:color w:val="000000"/>
          <w:sz w:val="17"/>
          <w:u w:val="none"/>
          <w:effect w:val="none"/>
        </w:rPr>
        <w:t>55%</w:t>
      </w:r>
      <w:r>
        <w:rPr>
          <w:sz w:val="17"/>
        </w:rPr>
        <w:t xml:space="preserve"> </w:t>
      </w:r>
      <w:r>
        <w:rPr>
          <w:rFonts w:ascii="inherit" w:hAnsi="inherit"/>
          <w:sz w:val="17"/>
        </w:rPr>
        <w:t>in U.S. dollars and 44% in peso terms.</w:t>
      </w:r>
    </w:p>
    <w:p>
      <w:pPr>
        <w:pStyle w:val="TextBody"/>
        <w:spacing w:lineRule="auto" w:line="288" w:before="0" w:after="0"/>
        <w:rPr>
          <w:sz w:val="17"/>
        </w:rPr>
      </w:pPr>
      <w:r>
        <w:rPr>
          <w:rFonts w:ascii="inherit" w:hAnsi="inherit"/>
          <w:sz w:val="17"/>
        </w:rPr>
        <w:t xml:space="preserve">In the current quarter, we opened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de novo stores, acquired six Addex locations, closed two Crediamigo locations and closed one TUYO location, bringing the total number of stores in the Latin America segment to </w:t>
      </w:r>
      <w:r>
        <w:rPr>
          <w:rFonts w:ascii="inherit" w:hAnsi="inherit"/>
          <w:strike w:val="false"/>
          <w:dstrike w:val="false"/>
          <w:color w:val="000000"/>
          <w:sz w:val="17"/>
          <w:u w:val="none"/>
          <w:effect w:val="none"/>
        </w:rPr>
        <w:t>363</w:t>
      </w:r>
      <w:r>
        <w:rPr>
          <w:rFonts w:ascii="inherit" w:hAnsi="inherit"/>
          <w:sz w:val="17"/>
        </w:rPr>
        <w:t xml:space="preserve">. As part of the Reorganization, we will close </w:t>
      </w:r>
      <w:r>
        <w:rPr>
          <w:rFonts w:ascii="inherit" w:hAnsi="inherit"/>
          <w:strike w:val="false"/>
          <w:dstrike w:val="false"/>
          <w:color w:val="000000"/>
          <w:sz w:val="17"/>
          <w:u w:val="none"/>
          <w:effect w:val="none"/>
        </w:rPr>
        <w:t>57</w:t>
      </w:r>
      <w:r>
        <w:rPr>
          <w:sz w:val="17"/>
        </w:rPr>
        <w:t xml:space="preserve"> </w:t>
      </w:r>
      <w:r>
        <w:rPr>
          <w:rFonts w:ascii="inherit" w:hAnsi="inherit"/>
          <w:sz w:val="17"/>
        </w:rPr>
        <w:t xml:space="preserve">pawn stores in the Latin America segment, bringing our stores in continuing operations to </w:t>
      </w:r>
      <w:r>
        <w:rPr>
          <w:rFonts w:ascii="inherit" w:hAnsi="inherit"/>
          <w:strike w:val="false"/>
          <w:dstrike w:val="false"/>
          <w:color w:val="000000"/>
          <w:sz w:val="17"/>
          <w:u w:val="none"/>
          <w:effect w:val="none"/>
        </w:rPr>
        <w:t>306</w:t>
      </w:r>
      <w:r>
        <w:rPr>
          <w:rFonts w:ascii="inherit" w:hAnsi="inherit"/>
          <w:sz w:val="17"/>
        </w:rPr>
        <w:t xml:space="preserve">. In the current quarter, Grupo Finmart, our 60% owned subsidiary, purchased 100% of the outstanding shares of Fondo ACH, S.A. de C.V., a specialty consumer finance company, for $3.5 million and a consumer loan portfolio for total consideration of approximately $1.3 million. </w:t>
      </w:r>
    </w:p>
    <w:p>
      <w:pPr>
        <w:pStyle w:val="TextBody"/>
        <w:spacing w:lineRule="auto" w:line="288" w:before="0" w:after="0"/>
        <w:rPr>
          <w:sz w:val="17"/>
        </w:rPr>
      </w:pPr>
      <w:r>
        <w:rPr>
          <w:rFonts w:ascii="inherit" w:hAnsi="inherit"/>
          <w:sz w:val="17"/>
        </w:rPr>
        <w:t xml:space="preserve">The Latin America segment's total revenues increased </w:t>
      </w:r>
      <w:r>
        <w:rPr>
          <w:rFonts w:ascii="inherit" w:hAnsi="inherit"/>
          <w:strike w:val="false"/>
          <w:dstrike w:val="false"/>
          <w:color w:val="000000"/>
          <w:sz w:val="17"/>
          <w:u w:val="none"/>
          <w:effect w:val="none"/>
        </w:rPr>
        <w:t>$7.0 million</w:t>
      </w:r>
      <w:r>
        <w:rPr>
          <w:rFonts w:ascii="inherit" w:hAnsi="inherit"/>
          <w:sz w:val="17"/>
        </w:rPr>
        <w:t xml:space="preserve">, or </w:t>
      </w:r>
      <w:r>
        <w:rPr>
          <w:rFonts w:ascii="inherit" w:hAnsi="inherit"/>
          <w:strike w:val="false"/>
          <w:dstrike w:val="false"/>
          <w:color w:val="000000"/>
          <w:sz w:val="17"/>
          <w:u w:val="none"/>
          <w:effect w:val="none"/>
        </w:rPr>
        <w:t>23%</w:t>
      </w:r>
      <w:r>
        <w:rPr>
          <w:rFonts w:ascii="inherit" w:hAnsi="inherit"/>
          <w:sz w:val="17"/>
        </w:rPr>
        <w:t xml:space="preserve">, in the current quarter to </w:t>
      </w:r>
      <w:r>
        <w:rPr>
          <w:rFonts w:ascii="inherit" w:hAnsi="inherit"/>
          <w:strike w:val="false"/>
          <w:dstrike w:val="false"/>
          <w:color w:val="000000"/>
          <w:sz w:val="17"/>
          <w:u w:val="none"/>
          <w:effect w:val="none"/>
        </w:rPr>
        <w:t>$36.9 million</w:t>
      </w:r>
      <w:r>
        <w:rPr>
          <w:rFonts w:ascii="inherit" w:hAnsi="inherit"/>
          <w:sz w:val="17"/>
        </w:rPr>
        <w:t xml:space="preserve">. Same store total revenues increased 8%, or $2.4 million, to $32.3 million, and new and acquired stores contributed $4.6 million. The overall increase in total revenues was mostly due to a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increase in merchandise and jewelry scrapping sales, a </w:t>
      </w:r>
      <w:r>
        <w:rPr>
          <w:rFonts w:ascii="inherit" w:hAnsi="inherit"/>
          <w:strike w:val="false"/>
          <w:dstrike w:val="false"/>
          <w:color w:val="000000"/>
          <w:sz w:val="17"/>
          <w:u w:val="none"/>
          <w:effect w:val="none"/>
        </w:rPr>
        <w:t>$2.2 million</w:t>
      </w:r>
      <w:r>
        <w:rPr>
          <w:sz w:val="17"/>
        </w:rPr>
        <w:t xml:space="preserve"> </w:t>
      </w:r>
      <w:r>
        <w:rPr>
          <w:rFonts w:ascii="inherit" w:hAnsi="inherit"/>
          <w:sz w:val="17"/>
        </w:rPr>
        <w:t xml:space="preserve">increase in pawn service charges and a </w:t>
      </w:r>
      <w:r>
        <w:rPr>
          <w:rFonts w:ascii="inherit" w:hAnsi="inherit"/>
          <w:strike w:val="false"/>
          <w:dstrike w:val="false"/>
          <w:color w:val="000000"/>
          <w:sz w:val="17"/>
          <w:u w:val="none"/>
          <w:effect w:val="none"/>
        </w:rPr>
        <w:t>$2.5 million</w:t>
      </w:r>
      <w:r>
        <w:rPr>
          <w:sz w:val="17"/>
        </w:rPr>
        <w:t xml:space="preserve">  </w:t>
      </w:r>
      <w:r>
        <w:rPr>
          <w:rFonts w:ascii="inherit" w:hAnsi="inherit"/>
          <w:sz w:val="17"/>
        </w:rPr>
        <w:t xml:space="preserve">increase in consumer loan fees.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61</w:t>
      </w:r>
      <w:r>
        <w:br w:type="page"/>
      </w:r>
    </w:p>
    <w:p>
      <w:pPr>
        <w:pStyle w:val="TextBody"/>
        <w:spacing w:lineRule="auto" w:line="288" w:before="0" w:after="0"/>
        <w:rPr/>
      </w:pPr>
      <w:hyperlink w:anchor="s6341541F7667DB742175CD29235C3997">
        <w:bookmarkStart w:id="50" w:name="s0B54565104B9D97D5497CD2907972FDF1"/>
        <w:bookmarkEnd w:id="50"/>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Latin America’s pawn service charge revenues increased </w:t>
      </w:r>
      <w:r>
        <w:rPr>
          <w:rFonts w:ascii="inherit" w:hAnsi="inherit"/>
          <w:strike w:val="false"/>
          <w:dstrike w:val="false"/>
          <w:color w:val="000000"/>
          <w:sz w:val="17"/>
          <w:u w:val="none"/>
          <w:effect w:val="none"/>
        </w:rPr>
        <w:t>$2.2 million</w:t>
      </w:r>
      <w:r>
        <w:rPr>
          <w:rFonts w:ascii="inherit" w:hAnsi="inherit"/>
          <w:sz w:val="17"/>
        </w:rPr>
        <w:t xml:space="preserve">, or </w:t>
      </w:r>
      <w:r>
        <w:rPr>
          <w:rFonts w:ascii="inherit" w:hAnsi="inherit"/>
          <w:strike w:val="false"/>
          <w:dstrike w:val="false"/>
          <w:color w:val="000000"/>
          <w:sz w:val="17"/>
          <w:u w:val="none"/>
          <w:effect w:val="none"/>
        </w:rPr>
        <w:t>39%</w:t>
      </w:r>
      <w:r>
        <w:rPr>
          <w:rFonts w:ascii="inherit" w:hAnsi="inherit"/>
          <w:sz w:val="17"/>
        </w:rPr>
        <w:t xml:space="preserve">, in the current quarter to </w:t>
      </w:r>
      <w:r>
        <w:rPr>
          <w:rFonts w:ascii="inherit" w:hAnsi="inherit"/>
          <w:strike w:val="false"/>
          <w:dstrike w:val="false"/>
          <w:color w:val="000000"/>
          <w:sz w:val="17"/>
          <w:u w:val="none"/>
          <w:effect w:val="none"/>
        </w:rPr>
        <w:t>$7.9 million</w:t>
      </w:r>
      <w:r>
        <w:rPr>
          <w:rFonts w:ascii="inherit" w:hAnsi="inherit"/>
          <w:sz w:val="17"/>
        </w:rPr>
        <w:t>. Same store pawn service charges increased $1.0 million, or 17%, to $6.7 million and new and acquired stores contributed $1.2 million. The increase was due to a 39% total and 18% same store increase in the average outstanding pawn loan balance during the period.</w:t>
      </w:r>
    </w:p>
    <w:p>
      <w:pPr>
        <w:pStyle w:val="TextBody"/>
        <w:spacing w:lineRule="auto" w:line="288" w:before="0" w:after="0"/>
        <w:rPr>
          <w:sz w:val="17"/>
        </w:rPr>
      </w:pPr>
      <w:r>
        <w:rPr>
          <w:rFonts w:ascii="inherit" w:hAnsi="inherit"/>
          <w:sz w:val="17"/>
        </w:rPr>
        <w:t xml:space="preserve">Merchandise gross profit increased </w:t>
      </w:r>
      <w:r>
        <w:rPr>
          <w:rFonts w:ascii="inherit" w:hAnsi="inherit"/>
          <w:strike w:val="false"/>
          <w:dstrike w:val="false"/>
          <w:color w:val="000000"/>
          <w:sz w:val="17"/>
          <w:u w:val="none"/>
          <w:effect w:val="none"/>
        </w:rPr>
        <w:t>$1.5 million</w:t>
      </w:r>
      <w:r>
        <w:rPr>
          <w:rFonts w:ascii="inherit" w:hAnsi="inherit"/>
          <w:sz w:val="17"/>
        </w:rPr>
        <w:t xml:space="preserve">, or </w:t>
      </w:r>
      <w:r>
        <w:rPr>
          <w:rFonts w:ascii="inherit" w:hAnsi="inherit"/>
          <w:strike w:val="false"/>
          <w:dstrike w:val="false"/>
          <w:color w:val="000000"/>
          <w:sz w:val="17"/>
          <w:u w:val="none"/>
          <w:effect w:val="none"/>
        </w:rPr>
        <w:t>33%</w:t>
      </w:r>
      <w:r>
        <w:rPr>
          <w:rFonts w:ascii="inherit" w:hAnsi="inherit"/>
          <w:sz w:val="17"/>
        </w:rPr>
        <w:t xml:space="preserve">, from the prior year quarter to </w:t>
      </w:r>
      <w:r>
        <w:rPr>
          <w:rFonts w:ascii="inherit" w:hAnsi="inherit"/>
          <w:strike w:val="false"/>
          <w:dstrike w:val="false"/>
          <w:color w:val="000000"/>
          <w:sz w:val="17"/>
          <w:u w:val="none"/>
          <w:effect w:val="none"/>
        </w:rPr>
        <w:t>$5.9 million</w:t>
      </w:r>
      <w:r>
        <w:rPr>
          <w:rFonts w:ascii="inherit" w:hAnsi="inherit"/>
          <w:sz w:val="17"/>
        </w:rPr>
        <w:t xml:space="preserve">. The increase was due to a $1.7 million, or 17%, same store sales increase and $3.3 million contributed in sales from new and acquired stores, offset by a </w:t>
      </w:r>
      <w:r>
        <w:rPr>
          <w:rFonts w:ascii="inherit" w:hAnsi="inherit"/>
          <w:strike w:val="false"/>
          <w:dstrike w:val="false"/>
          <w:color w:val="000000"/>
          <w:sz w:val="17"/>
          <w:u w:val="none"/>
          <w:effect w:val="none"/>
        </w:rPr>
        <w:t>4.9</w:t>
      </w:r>
      <w:r>
        <w:rPr>
          <w:sz w:val="17"/>
        </w:rPr>
        <w:t xml:space="preserve"> </w:t>
      </w:r>
      <w:r>
        <w:rPr>
          <w:rFonts w:ascii="inherit" w:hAnsi="inherit"/>
          <w:sz w:val="17"/>
        </w:rPr>
        <w:t xml:space="preserve">percentage point decrease in gross margin to </w:t>
      </w:r>
      <w:r>
        <w:rPr>
          <w:rFonts w:ascii="inherit" w:hAnsi="inherit"/>
          <w:strike w:val="false"/>
          <w:dstrike w:val="false"/>
          <w:color w:val="000000"/>
          <w:sz w:val="17"/>
          <w:u w:val="none"/>
          <w:effect w:val="none"/>
        </w:rPr>
        <w:t>39%</w:t>
      </w:r>
      <w:r>
        <w:rPr>
          <w:rFonts w:ascii="inherit" w:hAnsi="inherit"/>
          <w:sz w:val="17"/>
        </w:rPr>
        <w:t>. The decrease in margin was due to more aggressive pricing in general merchandise.</w:t>
      </w:r>
    </w:p>
    <w:p>
      <w:pPr>
        <w:pStyle w:val="TextBody"/>
        <w:spacing w:lineRule="auto" w:line="288" w:before="0" w:after="0"/>
        <w:rPr>
          <w:sz w:val="17"/>
        </w:rPr>
      </w:pPr>
      <w:r>
        <w:rPr>
          <w:rFonts w:ascii="inherit" w:hAnsi="inherit"/>
          <w:sz w:val="17"/>
        </w:rPr>
        <w:t xml:space="preserve">In the current quarter, we made a strategic decision not to scrap any jewelry due to the decrease in gold prices, resulting in a </w:t>
      </w:r>
      <w:r>
        <w:rPr>
          <w:rFonts w:ascii="inherit" w:hAnsi="inherit"/>
          <w:strike w:val="false"/>
          <w:dstrike w:val="false"/>
          <w:color w:val="000000"/>
          <w:sz w:val="17"/>
          <w:u w:val="none"/>
          <w:effect w:val="none"/>
        </w:rPr>
        <w:t>$3.2 million</w:t>
      </w:r>
      <w:r>
        <w:rPr>
          <w:sz w:val="17"/>
        </w:rPr>
        <w:t xml:space="preserve"> </w:t>
      </w:r>
      <w:r>
        <w:rPr>
          <w:rFonts w:ascii="inherit" w:hAnsi="inherit"/>
          <w:sz w:val="17"/>
        </w:rPr>
        <w:t xml:space="preserve">decrease in total revenues and </w:t>
      </w:r>
      <w:r>
        <w:rPr>
          <w:rFonts w:ascii="inherit" w:hAnsi="inherit"/>
          <w:strike w:val="false"/>
          <w:dstrike w:val="false"/>
          <w:color w:val="000000"/>
          <w:sz w:val="17"/>
          <w:u w:val="none"/>
          <w:effect w:val="none"/>
        </w:rPr>
        <w:t>$0.5 million</w:t>
      </w:r>
      <w:r>
        <w:rPr>
          <w:sz w:val="17"/>
        </w:rPr>
        <w:t xml:space="preserve"> </w:t>
      </w:r>
      <w:r>
        <w:rPr>
          <w:rFonts w:ascii="inherit" w:hAnsi="inherit"/>
          <w:sz w:val="17"/>
        </w:rPr>
        <w:t xml:space="preserve">in net revenues. </w:t>
      </w:r>
    </w:p>
    <w:p>
      <w:pPr>
        <w:pStyle w:val="TextBody"/>
        <w:spacing w:lineRule="auto" w:line="288" w:before="0" w:after="0"/>
        <w:rPr>
          <w:sz w:val="17"/>
        </w:rPr>
      </w:pPr>
      <w:r>
        <w:rPr>
          <w:rFonts w:ascii="inherit" w:hAnsi="inherit"/>
          <w:sz w:val="17"/>
        </w:rPr>
        <w:t xml:space="preserve">The Grupo Finmart acquisition in the second quarter of 2012 marked our initial entry into the non-secured loan business in Mexico. Consumer loan fees increased </w:t>
      </w:r>
      <w:r>
        <w:rPr>
          <w:rFonts w:ascii="inherit" w:hAnsi="inherit"/>
          <w:strike w:val="false"/>
          <w:dstrike w:val="false"/>
          <w:color w:val="000000"/>
          <w:sz w:val="17"/>
          <w:u w:val="none"/>
          <w:effect w:val="none"/>
        </w:rPr>
        <w:t>$2.5 million</w:t>
      </w:r>
      <w:r>
        <w:rPr>
          <w:rFonts w:ascii="inherit" w:hAnsi="inherit"/>
          <w:sz w:val="17"/>
        </w:rPr>
        <w:t xml:space="preserve">, or </w:t>
      </w:r>
      <w:r>
        <w:rPr>
          <w:rFonts w:ascii="inherit" w:hAnsi="inherit"/>
          <w:strike w:val="false"/>
          <w:dstrike w:val="false"/>
          <w:color w:val="000000"/>
          <w:sz w:val="17"/>
          <w:u w:val="none"/>
          <w:effect w:val="none"/>
        </w:rPr>
        <w:t>23.9%</w:t>
      </w:r>
      <w:r>
        <w:rPr>
          <w:rFonts w:ascii="inherit" w:hAnsi="inherit"/>
          <w:sz w:val="17"/>
        </w:rPr>
        <w:t xml:space="preserve">, to </w:t>
      </w:r>
      <w:r>
        <w:rPr>
          <w:rFonts w:ascii="inherit" w:hAnsi="inherit"/>
          <w:strike w:val="false"/>
          <w:dstrike w:val="false"/>
          <w:color w:val="000000"/>
          <w:sz w:val="17"/>
          <w:u w:val="none"/>
          <w:effect w:val="none"/>
        </w:rPr>
        <w:t>$12.9 million</w:t>
      </w:r>
      <w:r>
        <w:rPr>
          <w:rFonts w:ascii="inherit" w:hAnsi="inherit"/>
          <w:sz w:val="17"/>
        </w:rPr>
        <w:t xml:space="preserve">. Consumer loan bad debt as a percentage of fees was </w:t>
      </w:r>
      <w:r>
        <w:rPr>
          <w:rFonts w:ascii="inherit" w:hAnsi="inherit"/>
          <w:strike w:val="false"/>
          <w:dstrike w:val="false"/>
          <w:color w:val="000000"/>
          <w:sz w:val="17"/>
          <w:u w:val="none"/>
          <w:effect w:val="none"/>
        </w:rPr>
        <w:t>5%</w:t>
      </w:r>
      <w:r>
        <w:rPr>
          <w:sz w:val="17"/>
        </w:rPr>
        <w:t xml:space="preserve">  </w:t>
      </w:r>
      <w:r>
        <w:rPr>
          <w:rFonts w:ascii="inherit" w:hAnsi="inherit"/>
          <w:sz w:val="17"/>
        </w:rPr>
        <w:t xml:space="preserve">in the current quarter compared to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in the prior year quarter. The increase in fees is due to a </w:t>
      </w:r>
      <w:r>
        <w:rPr>
          <w:rFonts w:ascii="inherit" w:hAnsi="inherit"/>
          <w:strike w:val="false"/>
          <w:dstrike w:val="false"/>
          <w:color w:val="000000"/>
          <w:sz w:val="17"/>
          <w:u w:val="none"/>
          <w:effect w:val="none"/>
        </w:rPr>
        <w:t>53%</w:t>
      </w:r>
      <w:r>
        <w:rPr>
          <w:sz w:val="17"/>
        </w:rPr>
        <w:t xml:space="preserve"> </w:t>
      </w:r>
      <w:r>
        <w:rPr>
          <w:rFonts w:ascii="inherit" w:hAnsi="inherit"/>
          <w:sz w:val="17"/>
        </w:rPr>
        <w:t xml:space="preserve">increase in the average consumer loan balance during the period to </w:t>
      </w:r>
      <w:r>
        <w:rPr>
          <w:rFonts w:ascii="inherit" w:hAnsi="inherit"/>
          <w:strike w:val="false"/>
          <w:dstrike w:val="false"/>
          <w:color w:val="000000"/>
          <w:sz w:val="17"/>
          <w:u w:val="none"/>
          <w:effect w:val="none"/>
        </w:rPr>
        <w:t>$98.2 million</w:t>
      </w:r>
      <w:r>
        <w:rPr>
          <w:rFonts w:ascii="inherit" w:hAnsi="inherit"/>
          <w:sz w:val="17"/>
        </w:rPr>
        <w:t xml:space="preserve">, due to contracts added since the prior year quarter in addition to an increase in contract penetration of 2.6 percentage points to 5.6% from the prior year quarter. </w:t>
      </w:r>
    </w:p>
    <w:p>
      <w:pPr>
        <w:pStyle w:val="TextBody"/>
        <w:spacing w:lineRule="auto" w:line="288" w:before="0" w:after="0"/>
        <w:rPr>
          <w:sz w:val="17"/>
        </w:rPr>
      </w:pPr>
      <w:r>
        <w:rPr>
          <w:rFonts w:ascii="inherit" w:hAnsi="inherit"/>
          <w:sz w:val="17"/>
        </w:rPr>
        <w:t xml:space="preserve">Operations expense increased to </w:t>
      </w:r>
      <w:r>
        <w:rPr>
          <w:rFonts w:ascii="inherit" w:hAnsi="inherit"/>
          <w:strike w:val="false"/>
          <w:dstrike w:val="false"/>
          <w:color w:val="000000"/>
          <w:sz w:val="17"/>
          <w:u w:val="none"/>
          <w:effect w:val="none"/>
        </w:rPr>
        <w:t>$16.5 million</w:t>
      </w:r>
      <w:r>
        <w:rPr>
          <w:sz w:val="17"/>
        </w:rPr>
        <w:t xml:space="preserve">  </w:t>
      </w:r>
      <w:r>
        <w:rPr>
          <w:rFonts w:ascii="inherit" w:hAnsi="inherit"/>
          <w:sz w:val="17"/>
        </w:rPr>
        <w:t>(</w:t>
      </w:r>
      <w:r>
        <w:rPr>
          <w:rFonts w:ascii="inherit" w:hAnsi="inherit"/>
          <w:strike w:val="false"/>
          <w:dstrike w:val="false"/>
          <w:color w:val="000000"/>
          <w:sz w:val="17"/>
          <w:u w:val="none"/>
          <w:effect w:val="none"/>
        </w:rPr>
        <w:t>45%</w:t>
      </w:r>
      <w:r>
        <w:rPr>
          <w:sz w:val="17"/>
        </w:rPr>
        <w:t xml:space="preserve"> </w:t>
      </w:r>
      <w:r>
        <w:rPr>
          <w:rFonts w:ascii="inherit" w:hAnsi="inherit"/>
          <w:sz w:val="17"/>
        </w:rPr>
        <w:t xml:space="preserve">of revenues) in the current quarter from </w:t>
      </w:r>
      <w:r>
        <w:rPr>
          <w:rFonts w:ascii="inherit" w:hAnsi="inherit"/>
          <w:strike w:val="false"/>
          <w:dstrike w:val="false"/>
          <w:color w:val="000000"/>
          <w:sz w:val="17"/>
          <w:u w:val="none"/>
          <w:effect w:val="none"/>
        </w:rPr>
        <w:t>$11.7 million</w:t>
      </w:r>
      <w:r>
        <w:rPr>
          <w:sz w:val="17"/>
        </w:rPr>
        <w:t xml:space="preserve"> </w:t>
      </w:r>
      <w:r>
        <w:rPr>
          <w:rFonts w:ascii="inherit" w:hAnsi="inherit"/>
          <w:sz w:val="17"/>
        </w:rPr>
        <w:t>(</w:t>
      </w:r>
      <w:r>
        <w:rPr>
          <w:rFonts w:ascii="inherit" w:hAnsi="inherit"/>
          <w:strike w:val="false"/>
          <w:dstrike w:val="false"/>
          <w:color w:val="000000"/>
          <w:sz w:val="17"/>
          <w:u w:val="none"/>
          <w:effect w:val="none"/>
        </w:rPr>
        <w:t>39%</w:t>
      </w:r>
      <w:r>
        <w:rPr>
          <w:sz w:val="17"/>
        </w:rPr>
        <w:t xml:space="preserve"> </w:t>
      </w:r>
      <w:r>
        <w:rPr>
          <w:rFonts w:ascii="inherit" w:hAnsi="inherit"/>
          <w:sz w:val="17"/>
        </w:rPr>
        <w:t xml:space="preserve">of revenues) in the prior year quarter. The increase is due to higher operating costs resulting from the addition of 69 Empeño Fácil stores since the prior year quarter, the inclusion of TUYO's expenses and other growth initiatives. Depreciation and amortization stayed relatively constant at </w:t>
      </w:r>
      <w:r>
        <w:rPr>
          <w:rFonts w:ascii="inherit" w:hAnsi="inherit"/>
          <w:strike w:val="false"/>
          <w:dstrike w:val="false"/>
          <w:color w:val="000000"/>
          <w:sz w:val="17"/>
          <w:u w:val="none"/>
          <w:effect w:val="none"/>
        </w:rPr>
        <w:t>$1.9 million</w:t>
      </w:r>
      <w:r>
        <w:rPr>
          <w:rFonts w:ascii="inherit" w:hAnsi="inherit"/>
          <w:sz w:val="17"/>
        </w:rPr>
        <w:t xml:space="preserve">. </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Grupo Finmart had </w:t>
      </w:r>
      <w:r>
        <w:rPr>
          <w:rFonts w:ascii="inherit" w:hAnsi="inherit"/>
          <w:strike w:val="false"/>
          <w:dstrike w:val="false"/>
          <w:color w:val="000000"/>
          <w:sz w:val="17"/>
          <w:u w:val="none"/>
          <w:effect w:val="none"/>
        </w:rPr>
        <w:t>$109.4 million</w:t>
      </w:r>
      <w:r>
        <w:rPr>
          <w:sz w:val="17"/>
        </w:rPr>
        <w:t xml:space="preserve"> </w:t>
      </w:r>
      <w:r>
        <w:rPr>
          <w:rFonts w:ascii="inherit" w:hAnsi="inherit"/>
          <w:sz w:val="17"/>
        </w:rPr>
        <w:t xml:space="preserve">of third-party debt outstanding, which is non-recourse to EZCORP, at a weighted average interest rate of 11%, compared to </w:t>
      </w:r>
      <w:r>
        <w:rPr>
          <w:rFonts w:ascii="inherit" w:hAnsi="inherit"/>
          <w:strike w:val="false"/>
          <w:dstrike w:val="false"/>
          <w:color w:val="000000"/>
          <w:sz w:val="17"/>
          <w:u w:val="none"/>
          <w:effect w:val="none"/>
        </w:rPr>
        <w:t>$92.2 million</w:t>
      </w:r>
      <w:r>
        <w:rPr>
          <w:sz w:val="17"/>
        </w:rPr>
        <w:t xml:space="preserve"> </w:t>
      </w:r>
      <w:r>
        <w:rPr>
          <w:rFonts w:ascii="inherit" w:hAnsi="inherit"/>
          <w:sz w:val="17"/>
        </w:rPr>
        <w:t xml:space="preserve">of outstanding debt at a 17% weighted average interest rate in the prior year quarter. The decrease in interest rate is due to the refinancing of various debt instruments at lower interest rates. The </w:t>
      </w:r>
      <w:r>
        <w:rPr>
          <w:rFonts w:ascii="inherit" w:hAnsi="inherit"/>
          <w:strike w:val="false"/>
          <w:dstrike w:val="false"/>
          <w:color w:val="000000"/>
          <w:sz w:val="17"/>
          <w:u w:val="none"/>
          <w:effect w:val="none"/>
        </w:rPr>
        <w:t>$2.8 million</w:t>
      </w:r>
      <w:r>
        <w:rPr>
          <w:sz w:val="17"/>
        </w:rPr>
        <w:t xml:space="preserve"> </w:t>
      </w:r>
      <w:r>
        <w:rPr>
          <w:rFonts w:ascii="inherit" w:hAnsi="inherit"/>
          <w:sz w:val="17"/>
        </w:rPr>
        <w:t xml:space="preserve">increase in interest expense is due to higher average debt outstanding during the current quarter in addition to a one-time reduction in interest expense of $4.0 million in the prior year quarter. The prior year one-time benefit was due to the acceleration of the debt premium associated with debt refinanced during the prior year quarter. </w:t>
      </w:r>
    </w:p>
    <w:p>
      <w:pPr>
        <w:pStyle w:val="TextBody"/>
        <w:spacing w:lineRule="auto" w:line="288" w:before="0" w:after="0"/>
        <w:rPr>
          <w:sz w:val="17"/>
        </w:rPr>
      </w:pPr>
      <w:r>
        <w:rPr>
          <w:rFonts w:ascii="inherit" w:hAnsi="inherit"/>
          <w:sz w:val="17"/>
        </w:rPr>
        <w:t xml:space="preserve">In the current quarter, the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 xml:space="preserve">increase in net revenues was offset by the </w:t>
      </w:r>
      <w:r>
        <w:rPr>
          <w:rFonts w:ascii="inherit" w:hAnsi="inherit"/>
          <w:strike w:val="false"/>
          <w:dstrike w:val="false"/>
          <w:color w:val="000000"/>
          <w:sz w:val="17"/>
          <w:u w:val="none"/>
          <w:effect w:val="none"/>
        </w:rPr>
        <w:t>$7.5 million</w:t>
      </w:r>
      <w:r>
        <w:rPr>
          <w:sz w:val="17"/>
        </w:rPr>
        <w:t xml:space="preserve"> </w:t>
      </w:r>
      <w:r>
        <w:rPr>
          <w:rFonts w:ascii="inherit" w:hAnsi="inherit"/>
          <w:sz w:val="17"/>
        </w:rPr>
        <w:t xml:space="preserve">higher expenses, resulting in a </w:t>
      </w:r>
      <w:r>
        <w:rPr>
          <w:rFonts w:ascii="inherit" w:hAnsi="inherit"/>
          <w:strike w:val="false"/>
          <w:dstrike w:val="false"/>
          <w:color w:val="000000"/>
          <w:sz w:val="17"/>
          <w:u w:val="none"/>
          <w:effect w:val="none"/>
        </w:rPr>
        <w:t>$1.5 million</w:t>
      </w:r>
      <w:r>
        <w:rPr>
          <w:sz w:val="17"/>
        </w:rPr>
        <w:t xml:space="preserve"> </w:t>
      </w:r>
      <w:r>
        <w:rPr>
          <w:rFonts w:ascii="inherit" w:hAnsi="inherit"/>
          <w:sz w:val="17"/>
        </w:rPr>
        <w:t xml:space="preserve">decrease in contribution for the Latin America segment. Excluding the one-time adjustment related to the refinancing of Grupo Finmart debt in the prior year quarter, the operating contribution from the Latin America segment increased 79% year over year. For the current quarter Latin America's segment contribution represented </w:t>
      </w:r>
      <w:r>
        <w:rPr>
          <w:rFonts w:ascii="inherit" w:hAnsi="inherit"/>
          <w:strike w:val="false"/>
          <w:dstrike w:val="false"/>
          <w:color w:val="000000"/>
          <w:sz w:val="17"/>
          <w:u w:val="none"/>
          <w:effect w:val="none"/>
        </w:rPr>
        <w:t>14%</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13%</w:t>
      </w:r>
      <w:r>
        <w:rPr>
          <w:sz w:val="17"/>
        </w:rPr>
        <w:t xml:space="preserve"> </w:t>
      </w:r>
      <w:r>
        <w:rPr>
          <w:rFonts w:ascii="inherit" w:hAnsi="inherit"/>
          <w:sz w:val="17"/>
        </w:rPr>
        <w:t>a year ago.</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62</w:t>
      </w:r>
      <w:r>
        <w:br w:type="page"/>
      </w:r>
    </w:p>
    <w:p>
      <w:pPr>
        <w:pStyle w:val="TextBody"/>
        <w:spacing w:lineRule="auto" w:line="288" w:before="0" w:after="0"/>
        <w:rPr/>
      </w:pPr>
      <w:hyperlink w:anchor="s6341541F7667DB742175CD29235C3997">
        <w:bookmarkStart w:id="51" w:name="sDAD49E0B45C38BDECFBBCD290EC056D6"/>
        <w:bookmarkEnd w:id="51"/>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for the Other International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478"/>
        <w:gridCol w:w="181"/>
        <w:gridCol w:w="1222"/>
        <w:gridCol w:w="246"/>
        <w:gridCol w:w="151"/>
        <w:gridCol w:w="181"/>
        <w:gridCol w:w="1222"/>
        <w:gridCol w:w="524"/>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7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78" w:type="dxa"/>
            <w:tcBorders/>
            <w:shd w:fill="auto" w:val="clear"/>
            <w:vAlign w:val="center"/>
          </w:tcPr>
          <w:p>
            <w:pPr>
              <w:pStyle w:val="TableContents"/>
              <w:spacing w:before="0" w:after="0"/>
              <w:ind w:left="0" w:right="0" w:firstLine="30"/>
              <w:jc w:val="left"/>
              <w:rPr/>
            </w:pPr>
            <w:r>
              <w:rPr/>
              <w:t> </w:t>
            </w:r>
          </w:p>
        </w:tc>
        <w:tc>
          <w:tcPr>
            <w:tcW w:w="372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6478" w:type="dxa"/>
            <w:tcBorders/>
            <w:shd w:fill="auto" w:val="clear"/>
            <w:vAlign w:val="center"/>
          </w:tcPr>
          <w:p>
            <w:pPr>
              <w:pStyle w:val="TableContents"/>
              <w:spacing w:before="0" w:after="0"/>
              <w:ind w:left="0" w:right="0" w:firstLine="30"/>
              <w:jc w:val="left"/>
              <w:rPr/>
            </w:pPr>
            <w:r>
              <w:rPr/>
              <w:t> </w:t>
            </w:r>
          </w:p>
        </w:tc>
        <w:tc>
          <w:tcPr>
            <w:tcW w:w="16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19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478" w:type="dxa"/>
            <w:tcBorders/>
            <w:shd w:fill="auto" w:val="clear"/>
            <w:vAlign w:val="center"/>
          </w:tcPr>
          <w:p>
            <w:pPr>
              <w:pStyle w:val="TableContents"/>
              <w:spacing w:before="0" w:after="0"/>
              <w:ind w:left="0" w:right="0" w:firstLine="30"/>
              <w:jc w:val="left"/>
              <w:rPr/>
            </w:pPr>
            <w:r>
              <w:rPr/>
              <w:t> </w:t>
            </w:r>
          </w:p>
        </w:tc>
        <w:tc>
          <w:tcPr>
            <w:tcW w:w="372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shd w:fill="CCEEFF" w:val="clear"/>
            <w:vAlign w:val="center"/>
          </w:tcPr>
          <w:p>
            <w:pPr>
              <w:pStyle w:val="TableContents"/>
              <w:spacing w:before="0" w:after="0"/>
              <w:jc w:val="right"/>
              <w:rPr>
                <w:rFonts w:ascii="inherit" w:hAnsi="inherit"/>
                <w:sz w:val="17"/>
              </w:rPr>
            </w:pPr>
            <w:r>
              <w:rPr>
                <w:rFonts w:ascii="inherit" w:hAnsi="inherit"/>
                <w:sz w:val="17"/>
              </w:rPr>
              <w:t>6,091</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shd w:fill="CCEEFF" w:val="clear"/>
            <w:vAlign w:val="center"/>
          </w:tcPr>
          <w:p>
            <w:pPr>
              <w:pStyle w:val="TableContents"/>
              <w:spacing w:before="0" w:after="0"/>
              <w:jc w:val="right"/>
              <w:rPr>
                <w:rFonts w:ascii="inherit" w:hAnsi="inherit"/>
                <w:sz w:val="17"/>
              </w:rPr>
            </w:pPr>
            <w:r>
              <w:rPr>
                <w:rFonts w:ascii="inherit" w:hAnsi="inherit"/>
                <w:sz w:val="17"/>
              </w:rPr>
              <w:t>3,880</w:t>
            </w:r>
          </w:p>
        </w:tc>
        <w:tc>
          <w:tcPr>
            <w:tcW w:w="5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w:t>
            </w:r>
          </w:p>
        </w:tc>
        <w:tc>
          <w:tcPr>
            <w:tcW w:w="2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524"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6,670</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w:t>
            </w:r>
          </w:p>
        </w:tc>
        <w:tc>
          <w:tcPr>
            <w:tcW w:w="5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1,839</w:t>
            </w:r>
          </w:p>
        </w:tc>
        <w:tc>
          <w:tcPr>
            <w:tcW w:w="2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w:t>
            </w:r>
          </w:p>
        </w:tc>
        <w:tc>
          <w:tcPr>
            <w:tcW w:w="524"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4,831</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2,787</w:t>
            </w:r>
          </w:p>
        </w:tc>
        <w:tc>
          <w:tcPr>
            <w:tcW w:w="5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649"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1927" w:type="dxa"/>
            <w:gridSpan w:val="3"/>
            <w:tcBorders/>
            <w:shd w:fill="auto" w:val="clear"/>
            <w:vAlign w:val="center"/>
          </w:tcPr>
          <w:p>
            <w:pPr>
              <w:pStyle w:val="TableContents"/>
              <w:spacing w:before="0" w:after="0"/>
              <w:ind w:left="0" w:right="0" w:firstLine="420"/>
              <w:rPr/>
            </w:pPr>
            <w:r>
              <w:rPr/>
              <w:t> </w:t>
            </w:r>
          </w:p>
        </w:tc>
      </w:tr>
      <w:tr>
        <w:trPr/>
        <w:tc>
          <w:tcPr>
            <w:tcW w:w="647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 expense</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3,523</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2,812</w:t>
            </w:r>
          </w:p>
        </w:tc>
        <w:tc>
          <w:tcPr>
            <w:tcW w:w="52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w:t>
            </w:r>
          </w:p>
        </w:tc>
        <w:tc>
          <w:tcPr>
            <w:tcW w:w="2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w:t>
            </w:r>
          </w:p>
        </w:tc>
        <w:tc>
          <w:tcPr>
            <w:tcW w:w="52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403" w:type="dxa"/>
            <w:gridSpan w:val="2"/>
            <w:tcBorders/>
            <w:shd w:fill="CCEEFF" w:val="clear"/>
            <w:vAlign w:val="center"/>
          </w:tcPr>
          <w:p>
            <w:pPr>
              <w:pStyle w:val="TableContents"/>
              <w:spacing w:before="0" w:after="0"/>
              <w:jc w:val="right"/>
              <w:rPr/>
            </w:pPr>
            <w:r>
              <w:rPr/>
              <w:t>—</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52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net</w:t>
            </w:r>
          </w:p>
        </w:tc>
        <w:tc>
          <w:tcPr>
            <w:tcW w:w="1403" w:type="dxa"/>
            <w:gridSpan w:val="2"/>
            <w:tcBorders/>
            <w:shd w:fill="auto" w:val="clear"/>
            <w:vAlign w:val="center"/>
          </w:tcPr>
          <w:p>
            <w:pPr>
              <w:pStyle w:val="TableContents"/>
              <w:spacing w:before="0" w:after="0"/>
              <w:jc w:val="right"/>
              <w:rPr/>
            </w:pPr>
            <w:r>
              <w:rPr/>
              <w:t>—</w:t>
            </w:r>
          </w:p>
        </w:tc>
        <w:tc>
          <w:tcPr>
            <w:tcW w:w="2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52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(4,328</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52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w:t>
            </w:r>
          </w:p>
        </w:tc>
        <w:tc>
          <w:tcPr>
            <w:tcW w:w="5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5,518</w:t>
            </w:r>
          </w:p>
        </w:tc>
        <w:tc>
          <w:tcPr>
            <w:tcW w:w="24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4,297</w:t>
            </w:r>
          </w:p>
        </w:tc>
        <w:tc>
          <w:tcPr>
            <w:tcW w:w="52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649"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1927" w:type="dxa"/>
            <w:gridSpan w:val="3"/>
            <w:tcBorders/>
            <w:shd w:fill="auto" w:val="clear"/>
            <w:vAlign w:val="center"/>
          </w:tcPr>
          <w:p>
            <w:pPr>
              <w:pStyle w:val="TableContents"/>
              <w:spacing w:before="0" w:after="0"/>
              <w:ind w:left="0" w:right="0" w:firstLine="420"/>
              <w:rPr/>
            </w:pPr>
            <w:r>
              <w:rPr/>
              <w:t> </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 of consumer loan fees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w:t>
            </w:r>
          </w:p>
        </w:tc>
        <w:tc>
          <w:tcPr>
            <w:tcW w:w="52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sz w:val="17"/>
        </w:rPr>
      </w:pPr>
      <w:r>
        <w:rPr>
          <w:rFonts w:ascii="inherit" w:hAnsi="inherit"/>
          <w:sz w:val="17"/>
        </w:rPr>
        <w:t xml:space="preserve">On April 14, 2012, we acquired a 72% interest in Cash Genie, an online lending business in the U.K., and on November 14, 2012, we acquired an additional 23% interest, increasing our ownership percentage to 95%, with the remaining 5% held by local management. On August 1, 2013, we acquired the remaining ordinary shares that were held by local management for </w:t>
      </w:r>
      <w:r>
        <w:rPr>
          <w:rFonts w:ascii="inherit" w:hAnsi="inherit"/>
          <w:strike w:val="false"/>
          <w:dstrike w:val="false"/>
          <w:color w:val="000000"/>
          <w:sz w:val="17"/>
          <w:u w:val="none"/>
          <w:effect w:val="none"/>
        </w:rPr>
        <w:t>$0.6 million</w:t>
      </w:r>
      <w:r>
        <w:rPr>
          <w:rFonts w:ascii="inherit" w:hAnsi="inherit"/>
          <w:sz w:val="17"/>
        </w:rPr>
        <w:t xml:space="preserve">, and we now own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Cash Genie's ordinary shares. </w:t>
      </w:r>
    </w:p>
    <w:p>
      <w:pPr>
        <w:pStyle w:val="TextBody"/>
        <w:spacing w:lineRule="auto" w:line="288" w:before="0" w:after="0"/>
        <w:rPr>
          <w:sz w:val="17"/>
        </w:rPr>
      </w:pPr>
      <w:r>
        <w:rPr>
          <w:rFonts w:ascii="inherit" w:hAnsi="inherit"/>
          <w:sz w:val="17"/>
        </w:rPr>
        <w:t xml:space="preserve">In the current quarter, the segment's consumer loan fees were </w:t>
      </w:r>
      <w:r>
        <w:rPr>
          <w:rFonts w:ascii="inherit" w:hAnsi="inherit"/>
          <w:strike w:val="false"/>
          <w:dstrike w:val="false"/>
          <w:color w:val="000000"/>
          <w:sz w:val="17"/>
          <w:u w:val="none"/>
          <w:effect w:val="none"/>
        </w:rPr>
        <w:t>$6.1 million</w:t>
      </w:r>
      <w:r>
        <w:rPr>
          <w:rFonts w:ascii="inherit" w:hAnsi="inherit"/>
          <w:sz w:val="17"/>
        </w:rPr>
        <w:t xml:space="preserve">, with bad debt as a percentage of fees at </w:t>
      </w:r>
      <w:r>
        <w:rPr>
          <w:rFonts w:ascii="inherit" w:hAnsi="inherit"/>
          <w:strike w:val="false"/>
          <w:dstrike w:val="false"/>
          <w:color w:val="000000"/>
          <w:sz w:val="17"/>
          <w:u w:val="none"/>
          <w:effect w:val="none"/>
        </w:rPr>
        <w:t>30%</w:t>
      </w:r>
      <w:r>
        <w:rPr>
          <w:rFonts w:ascii="inherit" w:hAnsi="inherit"/>
          <w:sz w:val="17"/>
        </w:rPr>
        <w:t xml:space="preserve">. The segment's </w:t>
      </w:r>
      <w:r>
        <w:rPr>
          <w:rFonts w:ascii="inherit" w:hAnsi="inherit"/>
          <w:strike w:val="false"/>
          <w:dstrike w:val="false"/>
          <w:color w:val="000000"/>
          <w:sz w:val="17"/>
          <w:u w:val="none"/>
          <w:effect w:val="none"/>
        </w:rPr>
        <w:t>$0.6 million</w:t>
      </w:r>
      <w:r>
        <w:rPr>
          <w:sz w:val="17"/>
        </w:rPr>
        <w:t xml:space="preserve"> </w:t>
      </w:r>
      <w:r>
        <w:rPr>
          <w:rFonts w:ascii="inherit" w:hAnsi="inherit"/>
          <w:sz w:val="17"/>
        </w:rPr>
        <w:t xml:space="preserve">in other revenues represent fees from a consulting agreement with Albermarle &amp; Bond. Under the terms of the agreement we were engaged to assess, identify and implement improvements in their gold and diamond supply chains and labor optimization. </w:t>
      </w:r>
    </w:p>
    <w:p>
      <w:pPr>
        <w:pStyle w:val="TextBody"/>
        <w:spacing w:lineRule="auto" w:line="288" w:before="0" w:after="0"/>
        <w:rPr>
          <w:sz w:val="17"/>
        </w:rPr>
      </w:pPr>
      <w:r>
        <w:rPr>
          <w:rFonts w:ascii="inherit" w:hAnsi="inherit"/>
          <w:sz w:val="17"/>
        </w:rPr>
        <w:t xml:space="preserve">Operations expense during the current quarter was </w:t>
      </w:r>
      <w:r>
        <w:rPr>
          <w:rFonts w:ascii="inherit" w:hAnsi="inherit"/>
          <w:strike w:val="false"/>
          <w:dstrike w:val="false"/>
          <w:color w:val="000000"/>
          <w:sz w:val="17"/>
          <w:u w:val="none"/>
          <w:effect w:val="none"/>
        </w:rPr>
        <w:t>$3.5 million</w:t>
      </w:r>
      <w:r>
        <w:rPr>
          <w:sz w:val="17"/>
        </w:rPr>
        <w:t xml:space="preserve"> </w:t>
      </w:r>
      <w:r>
        <w:rPr>
          <w:rFonts w:ascii="inherit" w:hAnsi="inherit"/>
          <w:sz w:val="17"/>
        </w:rPr>
        <w:t xml:space="preserve">with depreciation and amortization at </w:t>
      </w:r>
      <w:r>
        <w:rPr>
          <w:rFonts w:ascii="inherit" w:hAnsi="inherit"/>
          <w:strike w:val="false"/>
          <w:dstrike w:val="false"/>
          <w:color w:val="000000"/>
          <w:sz w:val="17"/>
          <w:u w:val="none"/>
          <w:effect w:val="none"/>
        </w:rPr>
        <w:t>$0.1 million</w:t>
      </w:r>
      <w:r>
        <w:rPr>
          <w:rFonts w:ascii="inherit" w:hAnsi="inherit"/>
          <w:sz w:val="17"/>
        </w:rPr>
        <w:t xml:space="preserve">. </w:t>
      </w:r>
    </w:p>
    <w:p>
      <w:pPr>
        <w:pStyle w:val="TextBody"/>
        <w:spacing w:lineRule="auto" w:line="288" w:before="0" w:after="0"/>
        <w:rPr>
          <w:sz w:val="17"/>
        </w:rPr>
      </w:pPr>
      <w:r>
        <w:rPr>
          <w:rFonts w:ascii="inherit" w:hAnsi="inherit"/>
          <w:sz w:val="17"/>
        </w:rPr>
        <w:t xml:space="preserve">Our equity in the net income of unconsolidated affiliates stayed relatively constant at </w:t>
      </w:r>
      <w:r>
        <w:rPr>
          <w:rFonts w:ascii="inherit" w:hAnsi="inherit"/>
          <w:strike w:val="false"/>
          <w:dstrike w:val="false"/>
          <w:color w:val="000000"/>
          <w:sz w:val="17"/>
          <w:u w:val="none"/>
          <w:effect w:val="none"/>
        </w:rPr>
        <w:t>$4.3 million</w:t>
      </w:r>
      <w:r>
        <w:rPr>
          <w:rFonts w:ascii="inherit" w:hAnsi="inherit"/>
          <w:sz w:val="17"/>
        </w:rPr>
        <w:t>. The strong performance by Cash Converters International was mostly offset by the decrease from Albemarle &amp; Bond.</w:t>
      </w:r>
    </w:p>
    <w:p>
      <w:pPr>
        <w:pStyle w:val="TextBody"/>
        <w:spacing w:lineRule="auto" w:line="288" w:before="0" w:after="0"/>
        <w:rPr>
          <w:sz w:val="17"/>
        </w:rPr>
      </w:pPr>
      <w:r>
        <w:rPr>
          <w:rFonts w:ascii="inherit" w:hAnsi="inherit"/>
          <w:sz w:val="17"/>
        </w:rPr>
        <w:t xml:space="preserve">In the current quarter, the </w:t>
      </w:r>
      <w:r>
        <w:rPr>
          <w:rFonts w:ascii="inherit" w:hAnsi="inherit"/>
          <w:strike w:val="false"/>
          <w:dstrike w:val="false"/>
          <w:color w:val="000000"/>
          <w:sz w:val="17"/>
          <w:u w:val="none"/>
          <w:effect w:val="none"/>
        </w:rPr>
        <w:t>$2.0 million</w:t>
      </w:r>
      <w:r>
        <w:rPr>
          <w:sz w:val="17"/>
        </w:rPr>
        <w:t xml:space="preserve"> </w:t>
      </w:r>
      <w:r>
        <w:rPr>
          <w:rFonts w:ascii="inherit" w:hAnsi="inherit"/>
          <w:sz w:val="17"/>
        </w:rPr>
        <w:t xml:space="preserve">increase in net revenues was partially offset by the </w:t>
      </w:r>
      <w:r>
        <w:rPr>
          <w:rFonts w:ascii="inherit" w:hAnsi="inherit"/>
          <w:strike w:val="false"/>
          <w:dstrike w:val="false"/>
          <w:color w:val="000000"/>
          <w:sz w:val="17"/>
          <w:u w:val="none"/>
          <w:effect w:val="none"/>
        </w:rPr>
        <w:t>$0.7 million</w:t>
      </w:r>
      <w:r>
        <w:rPr>
          <w:sz w:val="17"/>
        </w:rPr>
        <w:t xml:space="preserve"> </w:t>
      </w:r>
      <w:r>
        <w:rPr>
          <w:rFonts w:ascii="inherit" w:hAnsi="inherit"/>
          <w:sz w:val="17"/>
        </w:rPr>
        <w:t xml:space="preserve">increase in operations expense and a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increase in our equity in the net income of unconsolidated affiliates and other segment expenses. Segment contribution from the Other International segment increased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$5.5 million</w:t>
      </w:r>
      <w:r>
        <w:rPr>
          <w:rFonts w:ascii="inherit" w:hAnsi="inherit"/>
          <w:sz w:val="17"/>
        </w:rPr>
        <w:t xml:space="preserve">. For the current quarter, the segment's contribution represents </w:t>
      </w:r>
      <w:r>
        <w:rPr>
          <w:rFonts w:ascii="inherit" w:hAnsi="inherit"/>
          <w:strike w:val="false"/>
          <w:dstrike w:val="false"/>
          <w:color w:val="000000"/>
          <w:sz w:val="17"/>
          <w:u w:val="none"/>
          <w:effect w:val="none"/>
        </w:rPr>
        <w:t>13%</w:t>
      </w:r>
      <w:r>
        <w:rPr>
          <w:sz w:val="17"/>
        </w:rPr>
        <w:t xml:space="preserve"> </w:t>
      </w:r>
      <w:r>
        <w:rPr>
          <w:rFonts w:ascii="inherit" w:hAnsi="inherit"/>
          <w:sz w:val="17"/>
        </w:rPr>
        <w:t xml:space="preserve">of total contribution compared to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in the prior year quarter. </w:t>
      </w:r>
    </w:p>
    <w:p>
      <w:pPr>
        <w:pStyle w:val="TextBody"/>
        <w:spacing w:lineRule="auto" w:line="288" w:before="0" w:after="0"/>
        <w:rPr>
          <w:rFonts w:ascii="inherit" w:hAnsi="inherit"/>
          <w:sz w:val="17"/>
        </w:rPr>
      </w:pPr>
      <w:r>
        <w:rPr>
          <w:rFonts w:ascii="inherit" w:hAnsi="inherit"/>
          <w:sz w:val="17"/>
        </w:rPr>
      </w:r>
      <w:bookmarkStart w:id="52" w:name="s3671C374982A9D5F4000CD2907F631BF"/>
      <w:bookmarkStart w:id="53" w:name="s3671C374982A9D5F4000CD2907F631BF"/>
      <w:bookmarkEnd w:id="53"/>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63</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Consolidated Items</w:t>
      </w:r>
    </w:p>
    <w:p>
      <w:pPr>
        <w:pStyle w:val="TextBody"/>
        <w:spacing w:lineRule="auto" w:line="288" w:before="0" w:after="0"/>
        <w:rPr>
          <w:rFonts w:ascii="inherit" w:hAnsi="inherit"/>
          <w:sz w:val="17"/>
        </w:rPr>
      </w:pPr>
      <w:r>
        <w:rPr>
          <w:rFonts w:ascii="inherit" w:hAnsi="inherit"/>
          <w:sz w:val="17"/>
        </w:rPr>
        <w:t>The following table reconciles our consolidated segment contribution discussed above to net income, including items that affect our consolidated financial results but are not allocated among segments: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395"/>
        <w:gridCol w:w="180"/>
        <w:gridCol w:w="1305"/>
        <w:gridCol w:w="167"/>
        <w:gridCol w:w="150"/>
        <w:gridCol w:w="180"/>
        <w:gridCol w:w="1305"/>
        <w:gridCol w:w="52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3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95" w:type="dxa"/>
            <w:tcBorders/>
            <w:shd w:fill="auto" w:val="clear"/>
            <w:vAlign w:val="center"/>
          </w:tcPr>
          <w:p>
            <w:pPr>
              <w:pStyle w:val="TableContents"/>
              <w:spacing w:before="0" w:after="0"/>
              <w:ind w:left="0" w:right="0" w:firstLine="30"/>
              <w:jc w:val="left"/>
              <w:rPr/>
            </w:pPr>
            <w:r>
              <w:rPr/>
              <w:t> </w:t>
            </w:r>
          </w:p>
        </w:tc>
        <w:tc>
          <w:tcPr>
            <w:tcW w:w="381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6395" w:type="dxa"/>
            <w:tcBorders/>
            <w:shd w:fill="auto" w:val="clear"/>
            <w:vAlign w:val="center"/>
          </w:tcPr>
          <w:p>
            <w:pPr>
              <w:pStyle w:val="TableContents"/>
              <w:spacing w:before="0" w:after="0"/>
              <w:ind w:left="0" w:right="0" w:firstLine="30"/>
              <w:jc w:val="left"/>
              <w:rPr/>
            </w:pPr>
            <w:r>
              <w:rPr/>
              <w:t> </w:t>
            </w:r>
          </w:p>
        </w:tc>
        <w:tc>
          <w:tcPr>
            <w:tcW w:w="16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0" w:type="dxa"/>
            <w:tcBorders/>
            <w:shd w:fill="auto" w:val="clear"/>
            <w:vAlign w:val="center"/>
          </w:tcPr>
          <w:p>
            <w:pPr>
              <w:pStyle w:val="TableContents"/>
              <w:spacing w:before="0" w:after="0"/>
              <w:ind w:left="0" w:right="0" w:firstLine="30"/>
              <w:rPr/>
            </w:pPr>
            <w:r>
              <w:rPr/>
              <w:t> </w:t>
            </w:r>
          </w:p>
        </w:tc>
        <w:tc>
          <w:tcPr>
            <w:tcW w:w="200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395" w:type="dxa"/>
            <w:tcBorders/>
            <w:shd w:fill="auto" w:val="clear"/>
            <w:vAlign w:val="center"/>
          </w:tcPr>
          <w:p>
            <w:pPr>
              <w:pStyle w:val="TableContents"/>
              <w:spacing w:before="0" w:after="0"/>
              <w:ind w:left="0" w:right="0" w:firstLine="30"/>
              <w:jc w:val="left"/>
              <w:rPr/>
            </w:pPr>
            <w:r>
              <w:rPr/>
              <w:t> </w:t>
            </w:r>
          </w:p>
        </w:tc>
        <w:tc>
          <w:tcPr>
            <w:tcW w:w="381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5" w:type="dxa"/>
            <w:tcBorders/>
            <w:shd w:fill="CCEEFF" w:val="clear"/>
            <w:vAlign w:val="center"/>
          </w:tcPr>
          <w:p>
            <w:pPr>
              <w:pStyle w:val="TableContents"/>
              <w:spacing w:before="0" w:after="0"/>
              <w:jc w:val="right"/>
              <w:rPr>
                <w:rFonts w:ascii="inherit" w:hAnsi="inherit"/>
                <w:sz w:val="17"/>
              </w:rPr>
            </w:pPr>
            <w:r>
              <w:rPr>
                <w:rFonts w:ascii="inherit" w:hAnsi="inherit"/>
                <w:sz w:val="17"/>
              </w:rPr>
              <w:t>41,442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5" w:type="dxa"/>
            <w:tcBorders/>
            <w:shd w:fill="CCEEFF" w:val="clear"/>
            <w:vAlign w:val="center"/>
          </w:tcPr>
          <w:p>
            <w:pPr>
              <w:pStyle w:val="TableContents"/>
              <w:spacing w:before="0" w:after="0"/>
              <w:jc w:val="right"/>
              <w:rPr>
                <w:rFonts w:ascii="inherit" w:hAnsi="inherit"/>
                <w:sz w:val="17"/>
              </w:rPr>
            </w:pPr>
            <w:r>
              <w:rPr>
                <w:rFonts w:ascii="inherit" w:hAnsi="inherit"/>
                <w:sz w:val="17"/>
              </w:rPr>
              <w:t>55,887</w:t>
            </w:r>
          </w:p>
        </w:tc>
        <w:tc>
          <w:tcPr>
            <w:tcW w:w="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652"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2008" w:type="dxa"/>
            <w:gridSpan w:val="3"/>
            <w:tcBorders/>
            <w:shd w:fill="auto" w:val="clear"/>
            <w:vAlign w:val="center"/>
          </w:tcPr>
          <w:p>
            <w:pPr>
              <w:pStyle w:val="TableContents"/>
              <w:spacing w:before="0" w:after="0"/>
              <w:ind w:left="0" w:right="0" w:firstLine="180"/>
              <w:rPr/>
            </w:pPr>
            <w:r>
              <w:rPr/>
              <w:t> </w:t>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12,644</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9,857</w:t>
            </w:r>
          </w:p>
        </w:tc>
        <w:tc>
          <w:tcPr>
            <w:tcW w:w="52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2,091</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1,375</w:t>
            </w:r>
          </w:p>
        </w:tc>
        <w:tc>
          <w:tcPr>
            <w:tcW w:w="52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860</w:t>
            </w:r>
          </w:p>
        </w:tc>
        <w:tc>
          <w:tcPr>
            <w:tcW w:w="52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52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income from continuing operations before income taxes</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25,796</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8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43,677</w:t>
            </w:r>
          </w:p>
        </w:tc>
        <w:tc>
          <w:tcPr>
            <w:tcW w:w="52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9,139</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12,718</w:t>
            </w:r>
          </w:p>
        </w:tc>
        <w:tc>
          <w:tcPr>
            <w:tcW w:w="52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16,657</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30,959</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1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523"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(loss) income</w:t>
            </w:r>
          </w:p>
        </w:tc>
        <w:tc>
          <w:tcPr>
            <w:tcW w:w="1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(4,840</w:t>
            </w:r>
          </w:p>
        </w:tc>
        <w:tc>
          <w:tcPr>
            <w:tcW w:w="16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29,711</w:t>
            </w:r>
          </w:p>
        </w:tc>
        <w:tc>
          <w:tcPr>
            <w:tcW w:w="523"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noncontrolling interest</w:t>
            </w:r>
          </w:p>
        </w:tc>
        <w:tc>
          <w:tcPr>
            <w:tcW w:w="1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1,041</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52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(loss) income attributable to EZCORP, Inc.</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(5,881</w:t>
            </w:r>
          </w:p>
        </w:tc>
        <w:tc>
          <w:tcPr>
            <w:tcW w:w="167"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52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Administrative expenses increased </w:t>
      </w:r>
      <w:r>
        <w:rPr>
          <w:rFonts w:ascii="Times New Roman" w:hAnsi="Times New Roman"/>
          <w:b w:val="false"/>
          <w:i w:val="false"/>
          <w:caps w:val="false"/>
          <w:smallCaps w:val="false"/>
          <w:strike w:val="false"/>
          <w:dstrike w:val="false"/>
          <w:color w:val="000000"/>
          <w:sz w:val="17"/>
          <w:u w:val="none"/>
          <w:effect w:val="none"/>
        </w:rPr>
        <w:t>$2.8 million</w:t>
      </w:r>
      <w:r>
        <w:rPr>
          <w:rFonts w:ascii="inherit" w:hAnsi="inherit"/>
          <w:sz w:val="17"/>
        </w:rPr>
        <w:t xml:space="preserve">, or </w:t>
      </w:r>
      <w:r>
        <w:rPr>
          <w:rFonts w:ascii="Times New Roman" w:hAnsi="Times New Roman"/>
          <w:b w:val="false"/>
          <w:i w:val="false"/>
          <w:caps w:val="false"/>
          <w:smallCaps w:val="false"/>
          <w:strike w:val="false"/>
          <w:dstrike w:val="false"/>
          <w:color w:val="000000"/>
          <w:sz w:val="17"/>
          <w:u w:val="none"/>
          <w:effect w:val="none"/>
        </w:rPr>
        <w:t>28%</w:t>
      </w:r>
      <w:r>
        <w:rPr>
          <w:rFonts w:ascii="inherit" w:hAnsi="inherit"/>
          <w:sz w:val="17"/>
        </w:rPr>
        <w:t xml:space="preserve">, due to continued investments in growth and profitability initiatives, as well as severance incurred within the quarter attributable to ongoing operations. Depreciation and amortization increased </w:t>
      </w:r>
      <w:r>
        <w:rPr>
          <w:rFonts w:ascii="inherit" w:hAnsi="inherit"/>
          <w:strike w:val="false"/>
          <w:dstrike w:val="false"/>
          <w:color w:val="000000"/>
          <w:sz w:val="17"/>
          <w:u w:val="none"/>
          <w:effect w:val="none"/>
        </w:rPr>
        <w:t>$0.7 million</w:t>
      </w:r>
      <w:r>
        <w:rPr>
          <w:rFonts w:ascii="inherit" w:hAnsi="inherit"/>
          <w:sz w:val="17"/>
        </w:rPr>
        <w:t xml:space="preserve">, or </w:t>
      </w:r>
      <w:r>
        <w:rPr>
          <w:rFonts w:ascii="inherit" w:hAnsi="inherit"/>
          <w:strike w:val="false"/>
          <w:dstrike w:val="false"/>
          <w:color w:val="000000"/>
          <w:sz w:val="17"/>
          <w:u w:val="none"/>
          <w:effect w:val="none"/>
        </w:rPr>
        <w:t>52%</w:t>
      </w:r>
      <w:r>
        <w:rPr>
          <w:rFonts w:ascii="inherit" w:hAnsi="inherit"/>
          <w:sz w:val="17"/>
        </w:rPr>
        <w:t xml:space="preserve">, due to new assets placed in service as a result of investment in infrastructure to support our globalization strategy. </w:t>
      </w:r>
    </w:p>
    <w:p>
      <w:pPr>
        <w:pStyle w:val="TextBody"/>
        <w:spacing w:lineRule="auto" w:line="288" w:before="0" w:after="0"/>
        <w:rPr>
          <w:sz w:val="17"/>
        </w:rPr>
      </w:pPr>
      <w:r>
        <w:rPr>
          <w:rFonts w:ascii="inherit" w:hAnsi="inherit"/>
          <w:sz w:val="17"/>
        </w:rPr>
        <w:t xml:space="preserve">Consolidated income from continuing operations before taxes decreased </w:t>
      </w:r>
      <w:r>
        <w:rPr>
          <w:rFonts w:ascii="inherit" w:hAnsi="inherit"/>
          <w:strike w:val="false"/>
          <w:dstrike w:val="false"/>
          <w:color w:val="000000"/>
          <w:sz w:val="17"/>
          <w:u w:val="none"/>
          <w:effect w:val="none"/>
        </w:rPr>
        <w:t>$17.9 million</w:t>
      </w:r>
      <w:r>
        <w:rPr>
          <w:rFonts w:ascii="inherit" w:hAnsi="inherit"/>
          <w:sz w:val="17"/>
        </w:rPr>
        <w:t xml:space="preserve">, or </w:t>
      </w:r>
      <w:r>
        <w:rPr>
          <w:rFonts w:ascii="inherit" w:hAnsi="inherit"/>
          <w:strike w:val="false"/>
          <w:dstrike w:val="false"/>
          <w:color w:val="000000"/>
          <w:sz w:val="17"/>
          <w:u w:val="none"/>
          <w:effect w:val="none"/>
        </w:rPr>
        <w:t>41%</w:t>
      </w:r>
      <w:r>
        <w:rPr>
          <w:rFonts w:ascii="inherit" w:hAnsi="inherit"/>
          <w:sz w:val="17"/>
        </w:rPr>
        <w:t xml:space="preserve">, to </w:t>
      </w:r>
      <w:r>
        <w:rPr>
          <w:rFonts w:ascii="inherit" w:hAnsi="inherit"/>
          <w:strike w:val="false"/>
          <w:dstrike w:val="false"/>
          <w:color w:val="000000"/>
          <w:sz w:val="17"/>
          <w:u w:val="none"/>
          <w:effect w:val="none"/>
        </w:rPr>
        <w:t>$25.8 million</w:t>
      </w:r>
      <w:r>
        <w:rPr>
          <w:rFonts w:ascii="inherit" w:hAnsi="inherit"/>
          <w:sz w:val="17"/>
        </w:rPr>
        <w:t xml:space="preserve">. The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increase in contribution from the Other International segment was offset by the </w:t>
      </w:r>
      <w:r>
        <w:rPr>
          <w:rFonts w:ascii="inherit" w:hAnsi="inherit"/>
          <w:strike w:val="false"/>
          <w:dstrike w:val="false"/>
          <w:color w:val="000000"/>
          <w:sz w:val="17"/>
          <w:u w:val="none"/>
          <w:effect w:val="none"/>
        </w:rPr>
        <w:t>$14.2 million</w:t>
      </w:r>
      <w:r>
        <w:rPr>
          <w:sz w:val="17"/>
        </w:rPr>
        <w:t xml:space="preserve"> </w:t>
      </w:r>
      <w:r>
        <w:rPr>
          <w:rFonts w:ascii="inherit" w:hAnsi="inherit"/>
          <w:sz w:val="17"/>
        </w:rPr>
        <w:t xml:space="preserve">decrease in the U.S. and Canada segment, the </w:t>
      </w:r>
      <w:r>
        <w:rPr>
          <w:rFonts w:ascii="inherit" w:hAnsi="inherit"/>
          <w:strike w:val="false"/>
          <w:dstrike w:val="false"/>
          <w:color w:val="000000"/>
          <w:sz w:val="17"/>
          <w:u w:val="none"/>
          <w:effect w:val="none"/>
        </w:rPr>
        <w:t>$1.5 million</w:t>
      </w:r>
      <w:r>
        <w:rPr>
          <w:sz w:val="17"/>
        </w:rPr>
        <w:t xml:space="preserve"> </w:t>
      </w:r>
      <w:r>
        <w:rPr>
          <w:rFonts w:ascii="inherit" w:hAnsi="inherit"/>
          <w:sz w:val="17"/>
        </w:rPr>
        <w:t xml:space="preserve">decrease in the Latin America segment and the </w:t>
      </w:r>
      <w:r>
        <w:rPr>
          <w:rFonts w:ascii="inherit" w:hAnsi="inherit"/>
          <w:strike w:val="false"/>
          <w:dstrike w:val="false"/>
          <w:color w:val="000000"/>
          <w:sz w:val="17"/>
          <w:u w:val="none"/>
          <w:effect w:val="none"/>
        </w:rPr>
        <w:t>$3.4 million</w:t>
      </w:r>
      <w:r>
        <w:rPr>
          <w:sz w:val="17"/>
        </w:rPr>
        <w:t xml:space="preserve"> </w:t>
      </w:r>
      <w:r>
        <w:rPr>
          <w:rFonts w:ascii="inherit" w:hAnsi="inherit"/>
          <w:sz w:val="17"/>
        </w:rPr>
        <w:t xml:space="preserve">increase in corporate expenses. </w:t>
      </w:r>
    </w:p>
    <w:p>
      <w:pPr>
        <w:pStyle w:val="TextBody"/>
        <w:spacing w:lineRule="auto" w:line="288" w:before="0" w:after="0"/>
        <w:rPr>
          <w:sz w:val="17"/>
        </w:rPr>
      </w:pPr>
      <w:r>
        <w:rPr>
          <w:rFonts w:ascii="inherit" w:hAnsi="inherit"/>
          <w:sz w:val="17"/>
        </w:rPr>
        <w:t xml:space="preserve">Income tax expense was </w:t>
      </w:r>
      <w:r>
        <w:rPr>
          <w:rFonts w:ascii="inherit" w:hAnsi="inherit"/>
          <w:strike w:val="false"/>
          <w:dstrike w:val="false"/>
          <w:color w:val="000000"/>
          <w:sz w:val="17"/>
          <w:u w:val="none"/>
          <w:effect w:val="none"/>
        </w:rPr>
        <w:t>$9.1 million</w:t>
      </w:r>
      <w:r>
        <w:rPr>
          <w:rFonts w:ascii="inherit" w:hAnsi="inherit"/>
          <w:sz w:val="17"/>
        </w:rPr>
        <w:t xml:space="preserve">, </w:t>
      </w:r>
      <w:r>
        <w:rPr>
          <w:rFonts w:ascii="inherit" w:hAnsi="inherit"/>
          <w:strike w:val="false"/>
          <w:dstrike w:val="false"/>
          <w:color w:val="000000"/>
          <w:sz w:val="17"/>
          <w:u w:val="none"/>
          <w:effect w:val="none"/>
        </w:rPr>
        <w:t>35.4%</w:t>
      </w:r>
      <w:r>
        <w:rPr>
          <w:sz w:val="17"/>
        </w:rPr>
        <w:t xml:space="preserve"> </w:t>
      </w:r>
      <w:r>
        <w:rPr>
          <w:rFonts w:ascii="inherit" w:hAnsi="inherit"/>
          <w:sz w:val="17"/>
        </w:rPr>
        <w:t xml:space="preserve">of pre-tax income, compared to </w:t>
      </w:r>
      <w:r>
        <w:rPr>
          <w:rFonts w:ascii="inherit" w:hAnsi="inherit"/>
          <w:strike w:val="false"/>
          <w:dstrike w:val="false"/>
          <w:color w:val="000000"/>
          <w:sz w:val="17"/>
          <w:u w:val="none"/>
          <w:effect w:val="none"/>
        </w:rPr>
        <w:t>$12.7 million</w:t>
      </w:r>
      <w:r>
        <w:rPr>
          <w:rFonts w:ascii="inherit" w:hAnsi="inherit"/>
          <w:sz w:val="17"/>
        </w:rPr>
        <w:t xml:space="preserve">, </w:t>
      </w:r>
      <w:r>
        <w:rPr>
          <w:rFonts w:ascii="inherit" w:hAnsi="inherit"/>
          <w:strike w:val="false"/>
          <w:dstrike w:val="false"/>
          <w:color w:val="000000"/>
          <w:sz w:val="17"/>
          <w:u w:val="none"/>
          <w:effect w:val="none"/>
        </w:rPr>
        <w:t>29.1%</w:t>
      </w:r>
      <w:r>
        <w:rPr>
          <w:sz w:val="17"/>
        </w:rPr>
        <w:t xml:space="preserve"> </w:t>
      </w:r>
      <w:r>
        <w:rPr>
          <w:rFonts w:ascii="inherit" w:hAnsi="inherit"/>
          <w:sz w:val="17"/>
        </w:rPr>
        <w:t>of pre-tax income in the prior year quarter. The effective rate for the quarter ended June 30, 2012 was lower due to the decision in that quarter to treat foreign earnings as being permanently reinvested, with a resultant reversal of prior period deferred tax liabilities in that quarter.</w:t>
      </w:r>
    </w:p>
    <w:p>
      <w:pPr>
        <w:pStyle w:val="TextBody"/>
        <w:spacing w:lineRule="auto" w:line="288" w:before="0" w:after="0"/>
        <w:rPr>
          <w:sz w:val="17"/>
        </w:rPr>
      </w:pPr>
      <w:r>
        <w:rPr>
          <w:rFonts w:ascii="inherit" w:hAnsi="inherit"/>
          <w:sz w:val="17"/>
        </w:rPr>
        <w:t xml:space="preserve">In the current quarter we incurred a </w:t>
      </w:r>
      <w:r>
        <w:rPr>
          <w:rFonts w:ascii="inherit" w:hAnsi="inherit"/>
          <w:strike w:val="false"/>
          <w:dstrike w:val="false"/>
          <w:color w:val="000000"/>
          <w:sz w:val="17"/>
          <w:u w:val="none"/>
          <w:effect w:val="none"/>
        </w:rPr>
        <w:t>$21.5 million</w:t>
      </w:r>
      <w:r>
        <w:rPr>
          <w:sz w:val="17"/>
        </w:rPr>
        <w:t xml:space="preserve"> </w:t>
      </w:r>
      <w:r>
        <w:rPr>
          <w:rFonts w:ascii="inherit" w:hAnsi="inherit"/>
          <w:sz w:val="17"/>
        </w:rPr>
        <w:t xml:space="preserve">net loss from discontinued operations. This amount includes </w:t>
      </w:r>
      <w:r>
        <w:rPr>
          <w:rFonts w:ascii="inherit" w:hAnsi="inherit"/>
          <w:strike w:val="false"/>
          <w:dstrike w:val="false"/>
          <w:color w:val="000000"/>
          <w:sz w:val="17"/>
          <w:u w:val="none"/>
          <w:effect w:val="none"/>
        </w:rPr>
        <w:t>$23.8 million</w:t>
      </w:r>
      <w:r>
        <w:rPr>
          <w:sz w:val="17"/>
        </w:rPr>
        <w:t xml:space="preserve"> </w:t>
      </w:r>
      <w:r>
        <w:rPr>
          <w:rFonts w:ascii="inherit" w:hAnsi="inherit"/>
          <w:sz w:val="17"/>
        </w:rPr>
        <w:t xml:space="preserve">pre-tax termination costs due to the future closure of </w:t>
      </w:r>
      <w:r>
        <w:rPr>
          <w:rFonts w:ascii="inherit" w:hAnsi="inherit"/>
          <w:strike w:val="false"/>
          <w:dstrike w:val="false"/>
          <w:color w:val="000000"/>
          <w:sz w:val="17"/>
          <w:u w:val="none"/>
          <w:effect w:val="none"/>
        </w:rPr>
        <w:t>107</w:t>
      </w:r>
      <w:r>
        <w:rPr>
          <w:sz w:val="17"/>
        </w:rPr>
        <w:t xml:space="preserve"> </w:t>
      </w:r>
      <w:r>
        <w:rPr>
          <w:rFonts w:ascii="inherit" w:hAnsi="inherit"/>
          <w:sz w:val="17"/>
        </w:rPr>
        <w:t xml:space="preserve">legacy stores in a variety of locations and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in pre-tax operating losses from stores being closed. </w:t>
      </w:r>
    </w:p>
    <w:p>
      <w:pPr>
        <w:pStyle w:val="TextBody"/>
        <w:spacing w:lineRule="auto" w:line="288" w:before="0" w:after="0"/>
        <w:rPr>
          <w:sz w:val="17"/>
        </w:rPr>
      </w:pPr>
      <w:r>
        <w:rPr>
          <w:rFonts w:ascii="inherit" w:hAnsi="inherit"/>
          <w:sz w:val="17"/>
        </w:rPr>
        <w:t xml:space="preserve">In the current quarter, net income attributable to EZCORP decreased </w:t>
      </w:r>
      <w:r>
        <w:rPr>
          <w:rFonts w:ascii="inherit" w:hAnsi="inherit"/>
          <w:strike w:val="false"/>
          <w:dstrike w:val="false"/>
          <w:color w:val="000000"/>
          <w:sz w:val="17"/>
          <w:u w:val="none"/>
          <w:effect w:val="none"/>
        </w:rPr>
        <w:t>$34.4 million</w:t>
      </w:r>
      <w:r>
        <w:rPr>
          <w:rFonts w:ascii="inherit" w:hAnsi="inherit"/>
          <w:sz w:val="17"/>
        </w:rPr>
        <w:t xml:space="preserve">, to a </w:t>
      </w:r>
      <w:r>
        <w:rPr>
          <w:rFonts w:ascii="inherit" w:hAnsi="inherit"/>
          <w:strike w:val="false"/>
          <w:dstrike w:val="false"/>
          <w:color w:val="000000"/>
          <w:sz w:val="17"/>
          <w:u w:val="none"/>
          <w:effect w:val="none"/>
        </w:rPr>
        <w:t>$5.9 million</w:t>
      </w:r>
      <w:r>
        <w:rPr>
          <w:sz w:val="17"/>
        </w:rPr>
        <w:t xml:space="preserve"> </w:t>
      </w:r>
      <w:r>
        <w:rPr>
          <w:rFonts w:ascii="inherit" w:hAnsi="inherit"/>
          <w:sz w:val="17"/>
        </w:rPr>
        <w:t xml:space="preserve">net loss, after the </w:t>
      </w:r>
      <w:r>
        <w:rPr>
          <w:rFonts w:ascii="inherit" w:hAnsi="inherit"/>
          <w:strike w:val="false"/>
          <w:dstrike w:val="false"/>
          <w:color w:val="000000"/>
          <w:sz w:val="17"/>
          <w:u w:val="none"/>
          <w:effect w:val="none"/>
        </w:rPr>
        <w:t>$1.0 million</w:t>
      </w:r>
      <w:r>
        <w:rPr>
          <w:sz w:val="17"/>
        </w:rPr>
        <w:t xml:space="preserve"> </w:t>
      </w:r>
      <w:r>
        <w:rPr>
          <w:rFonts w:ascii="inherit" w:hAnsi="inherit"/>
          <w:sz w:val="17"/>
        </w:rPr>
        <w:t>of net income attributable to the noncontrolling interest.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64</w:t>
      </w:r>
      <w:r>
        <w:br w:type="page"/>
      </w:r>
    </w:p>
    <w:p>
      <w:pPr>
        <w:pStyle w:val="TextBody"/>
        <w:spacing w:lineRule="auto" w:line="288" w:before="0" w:after="0"/>
        <w:rPr/>
      </w:pPr>
      <w:hyperlink w:anchor="s6341541F7667DB742175CD29235C3997">
        <w:bookmarkStart w:id="54" w:name="s02357FF108EAE30B02A1CD290C7FA4FA"/>
        <w:bookmarkEnd w:id="5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color w:val="000000"/>
          <w:sz w:val="17"/>
          <w:u w:val="single"/>
        </w:rPr>
        <w:t>Nine Months Ended June 30, 2013</w:t>
      </w:r>
      <w:r>
        <w:rPr>
          <w:sz w:val="17"/>
          <w:u w:val="single"/>
        </w:rPr>
        <w:t xml:space="preserve"> </w:t>
      </w:r>
      <w:r>
        <w:rPr>
          <w:rFonts w:ascii="inherit" w:hAnsi="inherit"/>
          <w:b/>
          <w:sz w:val="17"/>
          <w:u w:val="single"/>
        </w:rPr>
        <w:t xml:space="preserve">vs. </w:t>
      </w:r>
      <w:r>
        <w:rPr>
          <w:rFonts w:ascii="inherit" w:hAnsi="inherit"/>
          <w:b/>
          <w:color w:val="000000"/>
          <w:sz w:val="17"/>
          <w:u w:val="single"/>
        </w:rPr>
        <w:t>Nine Months Ended June 30, 2012</w:t>
      </w:r>
      <w:r>
        <w:rPr>
          <w:sz w:val="17"/>
          <w:u w:val="single"/>
        </w:rPr>
        <w:t xml:space="preserve"> </w:t>
      </w:r>
    </w:p>
    <w:p>
      <w:pPr>
        <w:pStyle w:val="TextBody"/>
        <w:spacing w:lineRule="auto" w:line="288" w:before="0" w:after="0"/>
        <w:rPr>
          <w:sz w:val="17"/>
        </w:rPr>
      </w:pPr>
      <w:r>
        <w:rPr>
          <w:rFonts w:ascii="inherit" w:hAnsi="inherit"/>
          <w:sz w:val="17"/>
        </w:rPr>
        <w:t xml:space="preserve">The following table presents selected, unaudited, consolidated financial data for our nine-month periods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(the “current nine-month period” and “prior year nine-month period," respectively). This table, as well as the discussion that follows, should be read with the accompanying unaudited financial statements and related notes.</w:t>
      </w:r>
    </w:p>
    <w:tbl>
      <w:tblPr>
        <w:tblW w:w="10205" w:type="dxa"/>
        <w:jc w:val="left"/>
        <w:tblInd w:w="0" w:type="dxa"/>
        <w:tblCellMar>
          <w:top w:w="0" w:type="dxa"/>
          <w:left w:w="0" w:type="dxa"/>
          <w:bottom w:w="0" w:type="dxa"/>
          <w:right w:w="0" w:type="dxa"/>
        </w:tblCellMar>
      </w:tblPr>
      <w:tblGrid>
        <w:gridCol w:w="4491"/>
        <w:gridCol w:w="175"/>
        <w:gridCol w:w="1289"/>
        <w:gridCol w:w="161"/>
        <w:gridCol w:w="142"/>
        <w:gridCol w:w="175"/>
        <w:gridCol w:w="1289"/>
        <w:gridCol w:w="161"/>
        <w:gridCol w:w="142"/>
        <w:gridCol w:w="1148"/>
        <w:gridCol w:w="1032"/>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1" w:type="dxa"/>
            <w:tcBorders/>
            <w:shd w:fill="auto" w:val="clear"/>
            <w:vAlign w:val="center"/>
          </w:tcPr>
          <w:p>
            <w:pPr>
              <w:pStyle w:val="TableContents"/>
              <w:spacing w:before="0" w:after="0"/>
              <w:ind w:left="0" w:right="0" w:firstLine="30"/>
              <w:jc w:val="left"/>
              <w:rPr/>
            </w:pPr>
            <w:r>
              <w:rPr/>
              <w:t> </w:t>
            </w:r>
          </w:p>
        </w:tc>
        <w:tc>
          <w:tcPr>
            <w:tcW w:w="339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c>
          <w:tcPr>
            <w:tcW w:w="142" w:type="dxa"/>
            <w:tcBorders/>
            <w:shd w:fill="auto" w:val="clear"/>
            <w:vAlign w:val="center"/>
          </w:tcPr>
          <w:p>
            <w:pPr>
              <w:pStyle w:val="TableContents"/>
              <w:spacing w:before="0" w:after="0"/>
              <w:ind w:left="0" w:right="0" w:firstLine="30"/>
              <w:rPr/>
            </w:pPr>
            <w:r>
              <w:rPr/>
              <w:t> </w:t>
            </w:r>
          </w:p>
        </w:tc>
        <w:tc>
          <w:tcPr>
            <w:tcW w:w="2180" w:type="dxa"/>
            <w:gridSpan w:val="2"/>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Percentage</w:t>
            </w:r>
          </w:p>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491" w:type="dxa"/>
            <w:tcBorders/>
            <w:shd w:fill="auto" w:val="clear"/>
            <w:vAlign w:val="center"/>
          </w:tcPr>
          <w:p>
            <w:pPr>
              <w:pStyle w:val="TableContents"/>
              <w:spacing w:before="0" w:after="0"/>
              <w:ind w:left="0" w:right="0" w:firstLine="30"/>
              <w:jc w:val="left"/>
              <w:rPr/>
            </w:pPr>
            <w:r>
              <w:rPr/>
              <w:t> </w:t>
            </w:r>
          </w:p>
        </w:tc>
        <w:tc>
          <w:tcPr>
            <w:tcW w:w="16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2" w:type="dxa"/>
            <w:tcBorders/>
            <w:shd w:fill="auto" w:val="clear"/>
            <w:vAlign w:val="center"/>
          </w:tcPr>
          <w:p>
            <w:pPr>
              <w:pStyle w:val="TableContents"/>
              <w:spacing w:before="0" w:after="0"/>
              <w:ind w:left="0" w:right="0" w:firstLine="30"/>
              <w:rPr/>
            </w:pPr>
            <w:r>
              <w:rPr/>
              <w:t> </w:t>
            </w:r>
          </w:p>
        </w:tc>
        <w:tc>
          <w:tcPr>
            <w:tcW w:w="16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2" w:type="dxa"/>
            <w:tcBorders/>
            <w:shd w:fill="auto" w:val="clear"/>
            <w:vAlign w:val="center"/>
          </w:tcPr>
          <w:p>
            <w:pPr>
              <w:pStyle w:val="TableContents"/>
              <w:spacing w:before="0" w:after="0"/>
              <w:ind w:left="0" w:right="0" w:firstLine="30"/>
              <w:rPr/>
            </w:pPr>
            <w:r>
              <w:rPr/>
              <w:t> </w:t>
            </w:r>
          </w:p>
        </w:tc>
        <w:tc>
          <w:tcPr>
            <w:tcW w:w="2180"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491" w:type="dxa"/>
            <w:tcBorders/>
            <w:shd w:fill="auto" w:val="clear"/>
            <w:vAlign w:val="center"/>
          </w:tcPr>
          <w:p>
            <w:pPr>
              <w:pStyle w:val="TableContents"/>
              <w:spacing w:before="0" w:after="0"/>
              <w:ind w:left="0" w:right="0" w:firstLine="30"/>
              <w:jc w:val="left"/>
              <w:rPr/>
            </w:pPr>
            <w:r>
              <w:rPr/>
              <w:t> </w:t>
            </w:r>
          </w:p>
        </w:tc>
        <w:tc>
          <w:tcPr>
            <w:tcW w:w="339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2" w:type="dxa"/>
            <w:tcBorders/>
            <w:shd w:fill="auto" w:val="clear"/>
            <w:vAlign w:val="center"/>
          </w:tcPr>
          <w:p>
            <w:pPr>
              <w:pStyle w:val="TableContents"/>
              <w:spacing w:before="0" w:after="0"/>
              <w:ind w:left="0" w:right="0" w:firstLine="30"/>
              <w:rPr/>
            </w:pPr>
            <w:r>
              <w:rPr/>
              <w:t> </w:t>
            </w:r>
          </w:p>
        </w:tc>
        <w:tc>
          <w:tcPr>
            <w:tcW w:w="2180" w:type="dxa"/>
            <w:gridSpan w:val="2"/>
            <w:tcBorders/>
            <w:shd w:fill="auto" w:val="clear"/>
            <w:vAlign w:val="center"/>
          </w:tcPr>
          <w:p>
            <w:pPr>
              <w:pStyle w:val="TableContents"/>
              <w:spacing w:before="0" w:after="0"/>
              <w:ind w:left="0" w:right="0" w:firstLine="30"/>
              <w:jc w:val="left"/>
              <w:rPr/>
            </w:pPr>
            <w:r>
              <w:rPr/>
              <w:t> </w:t>
            </w:r>
          </w:p>
        </w:tc>
      </w:tr>
      <w:tr>
        <w:trPr/>
        <w:tc>
          <w:tcPr>
            <w:tcW w:w="449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Revenues:</w:t>
            </w:r>
          </w:p>
        </w:tc>
        <w:tc>
          <w:tcPr>
            <w:tcW w:w="1625" w:type="dxa"/>
            <w:gridSpan w:val="3"/>
            <w:tcBorders/>
            <w:shd w:fill="CCEEFF" w:val="clear"/>
            <w:vAlign w:val="center"/>
          </w:tcPr>
          <w:p>
            <w:pPr>
              <w:pStyle w:val="TableContents"/>
              <w:spacing w:before="0" w:after="0"/>
              <w:ind w:left="0" w:right="0" w:firstLine="30"/>
              <w:rPr/>
            </w:pPr>
            <w:r>
              <w:rPr/>
              <w:t> </w:t>
            </w:r>
          </w:p>
        </w:tc>
        <w:tc>
          <w:tcPr>
            <w:tcW w:w="142" w:type="dxa"/>
            <w:tcBorders/>
            <w:shd w:fill="CCEEFF" w:val="clear"/>
            <w:vAlign w:val="center"/>
          </w:tcPr>
          <w:p>
            <w:pPr>
              <w:pStyle w:val="TableContents"/>
              <w:spacing w:before="0" w:after="0"/>
              <w:ind w:left="0" w:right="0" w:firstLine="30"/>
              <w:rPr/>
            </w:pPr>
            <w:r>
              <w:rPr/>
              <w:t> </w:t>
            </w:r>
          </w:p>
        </w:tc>
        <w:tc>
          <w:tcPr>
            <w:tcW w:w="1625" w:type="dxa"/>
            <w:gridSpan w:val="3"/>
            <w:tcBorders/>
            <w:shd w:fill="CCEEFF" w:val="clear"/>
            <w:vAlign w:val="center"/>
          </w:tcPr>
          <w:p>
            <w:pPr>
              <w:pStyle w:val="TableContents"/>
              <w:spacing w:before="0" w:after="0"/>
              <w:ind w:left="0" w:right="0" w:firstLine="30"/>
              <w:rPr/>
            </w:pPr>
            <w:r>
              <w:rPr/>
              <w:t> </w:t>
            </w:r>
          </w:p>
        </w:tc>
        <w:tc>
          <w:tcPr>
            <w:tcW w:w="142" w:type="dxa"/>
            <w:tcBorders/>
            <w:shd w:fill="CCEEFF" w:val="clear"/>
            <w:vAlign w:val="center"/>
          </w:tcPr>
          <w:p>
            <w:pPr>
              <w:pStyle w:val="TableContents"/>
              <w:spacing w:before="0" w:after="0"/>
              <w:ind w:left="0" w:right="0" w:firstLine="30"/>
              <w:rPr/>
            </w:pPr>
            <w:r>
              <w:rPr/>
              <w:t> </w:t>
            </w:r>
          </w:p>
        </w:tc>
        <w:tc>
          <w:tcPr>
            <w:tcW w:w="2180" w:type="dxa"/>
            <w:gridSpan w:val="2"/>
            <w:tcBorders/>
            <w:shd w:fill="CCEEFF" w:val="clear"/>
            <w:vAlign w:val="center"/>
          </w:tcPr>
          <w:p>
            <w:pPr>
              <w:pStyle w:val="TableContents"/>
              <w:spacing w:before="0" w:after="0"/>
              <w:ind w:left="0" w:right="0" w:firstLine="420"/>
              <w:rPr/>
            </w:pPr>
            <w:r>
              <w:rPr/>
              <w:t> </w:t>
            </w:r>
          </w:p>
        </w:tc>
      </w:tr>
      <w:tr>
        <w:trPr/>
        <w:tc>
          <w:tcPr>
            <w:tcW w:w="4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9" w:type="dxa"/>
            <w:tcBorders/>
            <w:shd w:fill="auto" w:val="clear"/>
            <w:vAlign w:val="center"/>
          </w:tcPr>
          <w:p>
            <w:pPr>
              <w:pStyle w:val="TableContents"/>
              <w:spacing w:before="0" w:after="0"/>
              <w:jc w:val="right"/>
              <w:rPr>
                <w:rFonts w:ascii="inherit" w:hAnsi="inherit"/>
                <w:sz w:val="17"/>
              </w:rPr>
            </w:pPr>
            <w:r>
              <w:rPr>
                <w:rFonts w:ascii="inherit" w:hAnsi="inherit"/>
                <w:sz w:val="17"/>
              </w:rPr>
              <w:t>394,841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9" w:type="dxa"/>
            <w:tcBorders/>
            <w:shd w:fill="auto" w:val="clear"/>
            <w:vAlign w:val="center"/>
          </w:tcPr>
          <w:p>
            <w:pPr>
              <w:pStyle w:val="TableContents"/>
              <w:spacing w:before="0" w:after="0"/>
              <w:jc w:val="right"/>
              <w:rPr>
                <w:rFonts w:ascii="inherit" w:hAnsi="inherit"/>
                <w:sz w:val="17"/>
              </w:rPr>
            </w:pPr>
            <w:r>
              <w:rPr>
                <w:rFonts w:ascii="inherit" w:hAnsi="inherit"/>
                <w:sz w:val="17"/>
              </w:rPr>
              <w:t>403,337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148"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03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187,812</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4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170,880</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148" w:type="dxa"/>
            <w:tcBorders/>
            <w:shd w:fill="CCEEFF" w:val="clear"/>
            <w:vAlign w:val="center"/>
          </w:tcPr>
          <w:p>
            <w:pPr>
              <w:pStyle w:val="TableContents"/>
              <w:spacing w:before="0" w:after="0"/>
              <w:jc w:val="right"/>
              <w:rPr>
                <w:rFonts w:ascii="inherit" w:hAnsi="inherit"/>
                <w:sz w:val="17"/>
              </w:rPr>
            </w:pPr>
            <w:r>
              <w:rPr>
                <w:rFonts w:ascii="inherit" w:hAnsi="inherit"/>
                <w:sz w:val="17"/>
              </w:rPr>
              <w:t>9.9</w:t>
            </w:r>
          </w:p>
        </w:tc>
        <w:tc>
          <w:tcPr>
            <w:tcW w:w="1032" w:type="dxa"/>
            <w:tcBorders/>
            <w:shd w:fill="CCEEFF" w:val="clear"/>
            <w:vAlign w:val="center"/>
          </w:tcPr>
          <w:p>
            <w:pPr>
              <w:pStyle w:val="TableContents"/>
              <w:spacing w:before="0" w:after="0"/>
              <w:ind w:left="0" w:right="0" w:firstLine="420"/>
              <w:jc w:val="left"/>
              <w:rPr/>
            </w:pPr>
            <w:r>
              <w:rPr/>
              <w:t> </w:t>
            </w:r>
            <w:r>
              <w:rPr>
                <w:rFonts w:ascii="inherit" w:hAnsi="inherit"/>
                <w:sz w:val="17"/>
              </w:rPr>
              <w:t>%</w:t>
            </w:r>
          </w:p>
        </w:tc>
      </w:tr>
      <w:tr>
        <w:trPr/>
        <w:tc>
          <w:tcPr>
            <w:tcW w:w="4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183,119</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4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143,594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148" w:type="dxa"/>
            <w:tcBorders/>
            <w:shd w:fill="auto" w:val="clear"/>
            <w:vAlign w:val="center"/>
          </w:tcPr>
          <w:p>
            <w:pPr>
              <w:pStyle w:val="TableContents"/>
              <w:spacing w:before="0" w:after="0"/>
              <w:jc w:val="right"/>
              <w:rPr>
                <w:rFonts w:ascii="inherit" w:hAnsi="inherit"/>
                <w:sz w:val="17"/>
              </w:rPr>
            </w:pPr>
            <w:r>
              <w:rPr>
                <w:rFonts w:ascii="inherit" w:hAnsi="inherit"/>
                <w:sz w:val="17"/>
              </w:rPr>
              <w:t>27.5</w:t>
            </w:r>
          </w:p>
        </w:tc>
        <w:tc>
          <w:tcPr>
            <w:tcW w:w="1032" w:type="dxa"/>
            <w:tcBorders/>
            <w:shd w:fill="auto" w:val="clear"/>
            <w:vAlign w:val="center"/>
          </w:tcPr>
          <w:p>
            <w:pPr>
              <w:pStyle w:val="TableContents"/>
              <w:spacing w:before="0" w:after="0"/>
              <w:ind w:left="0" w:right="0" w:firstLine="420"/>
              <w:jc w:val="left"/>
              <w:rPr/>
            </w:pPr>
            <w:r>
              <w:rPr/>
              <w:t> </w:t>
            </w:r>
            <w:r>
              <w:rPr>
                <w:rFonts w:ascii="inherit" w:hAnsi="inherit"/>
                <w:sz w:val="17"/>
              </w:rPr>
              <w:t>%</w:t>
            </w:r>
          </w:p>
        </w:tc>
      </w:tr>
      <w:tr>
        <w:trPr/>
        <w:tc>
          <w:tcPr>
            <w:tcW w:w="4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10,169</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4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3,351</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14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203.5</w:t>
            </w:r>
          </w:p>
        </w:tc>
        <w:tc>
          <w:tcPr>
            <w:tcW w:w="1032" w:type="dxa"/>
            <w:tcBorders>
              <w:bottom w:val="single" w:sz="2" w:space="0" w:color="000000"/>
            </w:tcBorders>
            <w:shd w:fill="CCEEFF" w:val="clear"/>
            <w:tcMar>
              <w:bottom w:w="30" w:type="dxa"/>
            </w:tcMar>
            <w:vAlign w:val="center"/>
          </w:tcPr>
          <w:p>
            <w:pPr>
              <w:pStyle w:val="TableContents"/>
              <w:spacing w:before="0" w:after="0"/>
              <w:ind w:left="0" w:right="0" w:firstLine="780"/>
              <w:jc w:val="left"/>
              <w:rPr/>
            </w:pPr>
            <w:r>
              <w:rPr/>
              <w:t> </w:t>
            </w:r>
            <w:r>
              <w:rPr>
                <w:rFonts w:ascii="inherit" w:hAnsi="inherit"/>
                <w:sz w:val="17"/>
              </w:rPr>
              <w:t>%</w:t>
            </w:r>
          </w:p>
        </w:tc>
      </w:tr>
      <w:tr>
        <w:trPr/>
        <w:tc>
          <w:tcPr>
            <w:tcW w:w="4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775,941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4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721,162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148" w:type="dxa"/>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1032" w:type="dxa"/>
            <w:tcBorders/>
            <w:shd w:fill="auto" w:val="clear"/>
            <w:vAlign w:val="center"/>
          </w:tcPr>
          <w:p>
            <w:pPr>
              <w:pStyle w:val="TableContents"/>
              <w:spacing w:before="0" w:after="0"/>
              <w:ind w:left="0" w:right="0" w:firstLine="420"/>
              <w:jc w:val="left"/>
              <w:rPr/>
            </w:pPr>
            <w:r>
              <w:rPr/>
              <w:t> </w:t>
            </w:r>
            <w:r>
              <w:rPr>
                <w:rFonts w:ascii="inherit" w:hAnsi="inherit"/>
                <w:sz w:val="17"/>
              </w:rPr>
              <w:t>%</w:t>
            </w:r>
          </w:p>
        </w:tc>
      </w:tr>
      <w:tr>
        <w:trPr/>
        <w:tc>
          <w:tcPr>
            <w:tcW w:w="4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14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245,704</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4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240,428</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148" w:type="dxa"/>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1032" w:type="dxa"/>
            <w:tcBorders/>
            <w:shd w:fill="CCEEFF" w:val="clear"/>
            <w:vAlign w:val="center"/>
          </w:tcPr>
          <w:p>
            <w:pPr>
              <w:pStyle w:val="TableContents"/>
              <w:spacing w:before="0" w:after="0"/>
              <w:ind w:left="0" w:right="0" w:firstLine="420"/>
              <w:jc w:val="left"/>
              <w:rPr/>
            </w:pPr>
            <w:r>
              <w:rPr/>
              <w:t> </w:t>
            </w:r>
            <w:r>
              <w:rPr>
                <w:rFonts w:ascii="inherit" w:hAnsi="inherit"/>
                <w:sz w:val="17"/>
              </w:rPr>
              <w:t>%</w:t>
            </w:r>
          </w:p>
        </w:tc>
      </w:tr>
      <w:tr>
        <w:trPr/>
        <w:tc>
          <w:tcPr>
            <w:tcW w:w="44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34,496</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4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27,269</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14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26.5</w:t>
            </w:r>
          </w:p>
        </w:tc>
        <w:tc>
          <w:tcPr>
            <w:tcW w:w="1032" w:type="dxa"/>
            <w:tcBorders>
              <w:bottom w:val="single" w:sz="2" w:space="0" w:color="000000"/>
            </w:tcBorders>
            <w:shd w:fill="auto" w:val="clear"/>
            <w:tcMar>
              <w:bottom w:w="30" w:type="dxa"/>
            </w:tcMar>
            <w:vAlign w:val="center"/>
          </w:tcPr>
          <w:p>
            <w:pPr>
              <w:pStyle w:val="TableContents"/>
              <w:spacing w:before="0" w:after="0"/>
              <w:ind w:left="0" w:right="0" w:firstLine="780"/>
              <w:jc w:val="left"/>
              <w:rPr/>
            </w:pPr>
            <w:r>
              <w:rPr/>
              <w:t> </w:t>
            </w:r>
            <w:r>
              <w:rPr>
                <w:rFonts w:ascii="inherit" w:hAnsi="inherit"/>
                <w:sz w:val="17"/>
              </w:rPr>
              <w:t>%</w:t>
            </w:r>
          </w:p>
        </w:tc>
      </w:tr>
      <w:tr>
        <w:trPr/>
        <w:tc>
          <w:tcPr>
            <w:tcW w:w="44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7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495,741</w:t>
            </w:r>
          </w:p>
        </w:tc>
        <w:tc>
          <w:tcPr>
            <w:tcW w:w="16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7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453,465</w:t>
            </w:r>
          </w:p>
        </w:tc>
        <w:tc>
          <w:tcPr>
            <w:tcW w:w="16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CCEEFF" w:val="clear"/>
            <w:vAlign w:val="center"/>
          </w:tcPr>
          <w:p>
            <w:pPr>
              <w:pStyle w:val="TableContents"/>
              <w:spacing w:before="0" w:after="0"/>
              <w:ind w:left="0" w:right="0" w:firstLine="30"/>
              <w:rPr/>
            </w:pPr>
            <w:r>
              <w:rPr/>
              <w:t> </w:t>
            </w:r>
          </w:p>
        </w:tc>
        <w:tc>
          <w:tcPr>
            <w:tcW w:w="11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w:t>
            </w:r>
          </w:p>
        </w:tc>
        <w:tc>
          <w:tcPr>
            <w:tcW w:w="1032"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49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from continuing operations attributable to EZCORP, Inc. </w:t>
            </w:r>
          </w:p>
        </w:tc>
        <w:tc>
          <w:tcPr>
            <w:tcW w:w="14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83,630</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4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108,303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148"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(22.8</w:t>
            </w:r>
          </w:p>
        </w:tc>
        <w:tc>
          <w:tcPr>
            <w:tcW w:w="1032" w:type="dxa"/>
            <w:tcBorders>
              <w:top w:val="double" w:sz="6"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9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from discontinued operations</w:t>
            </w:r>
          </w:p>
        </w:tc>
        <w:tc>
          <w:tcPr>
            <w:tcW w:w="14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(24,813</w:t>
            </w:r>
          </w:p>
        </w:tc>
        <w:tc>
          <w:tcPr>
            <w:tcW w:w="1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2" w:type="dxa"/>
            <w:tcBorders/>
            <w:shd w:fill="CCEEFF" w:val="clear"/>
            <w:vAlign w:val="center"/>
          </w:tcPr>
          <w:p>
            <w:pPr>
              <w:pStyle w:val="TableContents"/>
              <w:spacing w:before="0" w:after="0"/>
              <w:ind w:left="0" w:right="0" w:firstLine="30"/>
              <w:rPr/>
            </w:pPr>
            <w:r>
              <w:rPr/>
              <w:t> </w:t>
            </w:r>
          </w:p>
        </w:tc>
        <w:tc>
          <w:tcPr>
            <w:tcW w:w="14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(3,167</w:t>
            </w:r>
          </w:p>
        </w:tc>
        <w:tc>
          <w:tcPr>
            <w:tcW w:w="1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2" w:type="dxa"/>
            <w:tcBorders/>
            <w:shd w:fill="CCEEFF" w:val="clear"/>
            <w:vAlign w:val="center"/>
          </w:tcPr>
          <w:p>
            <w:pPr>
              <w:pStyle w:val="TableContents"/>
              <w:spacing w:before="0" w:after="0"/>
              <w:ind w:left="0" w:right="0" w:firstLine="30"/>
              <w:rPr/>
            </w:pPr>
            <w:r>
              <w:rPr/>
              <w:t> </w:t>
            </w:r>
          </w:p>
        </w:tc>
        <w:tc>
          <w:tcPr>
            <w:tcW w:w="114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683.5</w:t>
            </w:r>
          </w:p>
        </w:tc>
        <w:tc>
          <w:tcPr>
            <w:tcW w:w="1032" w:type="dxa"/>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491"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 xml:space="preserve">Net income attributable to EZCORP, Inc. </w:t>
            </w:r>
          </w:p>
        </w:tc>
        <w:tc>
          <w:tcPr>
            <w:tcW w:w="17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58,817</w:t>
            </w:r>
          </w:p>
        </w:tc>
        <w:tc>
          <w:tcPr>
            <w:tcW w:w="16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16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2" w:type="dxa"/>
            <w:tcBorders/>
            <w:shd w:fill="auto" w:val="clear"/>
            <w:vAlign w:val="center"/>
          </w:tcPr>
          <w:p>
            <w:pPr>
              <w:pStyle w:val="TableContents"/>
              <w:spacing w:before="0" w:after="0"/>
              <w:ind w:left="0" w:right="0" w:firstLine="30"/>
              <w:rPr/>
            </w:pPr>
            <w:r>
              <w:rPr/>
              <w:t> </w:t>
            </w:r>
          </w:p>
        </w:tc>
        <w:tc>
          <w:tcPr>
            <w:tcW w:w="114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w:t>
            </w:r>
          </w:p>
        </w:tc>
        <w:tc>
          <w:tcPr>
            <w:tcW w:w="103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sz w:val="17"/>
        </w:rPr>
      </w:pPr>
      <w:r>
        <w:rPr>
          <w:rFonts w:ascii="inherit" w:hAnsi="inherit"/>
          <w:sz w:val="17"/>
        </w:rPr>
        <w:t xml:space="preserve">In the current nine-month period, consolidated total revenues increased </w:t>
      </w:r>
      <w:r>
        <w:rPr>
          <w:rFonts w:ascii="inherit" w:hAnsi="inherit"/>
          <w:strike w:val="false"/>
          <w:dstrike w:val="false"/>
          <w:color w:val="000000"/>
          <w:sz w:val="17"/>
          <w:u w:val="none"/>
          <w:effect w:val="none"/>
        </w:rPr>
        <w:t>8%</w:t>
      </w:r>
      <w:r>
        <w:rPr>
          <w:rFonts w:ascii="inherit" w:hAnsi="inherit"/>
          <w:sz w:val="17"/>
        </w:rPr>
        <w:t xml:space="preserve">, or </w:t>
      </w:r>
      <w:r>
        <w:rPr>
          <w:rFonts w:ascii="inherit" w:hAnsi="inherit"/>
          <w:strike w:val="false"/>
          <w:dstrike w:val="false"/>
          <w:color w:val="000000"/>
          <w:sz w:val="17"/>
          <w:u w:val="none"/>
          <w:effect w:val="none"/>
        </w:rPr>
        <w:t>$54.8 million</w:t>
      </w:r>
      <w:r>
        <w:rPr>
          <w:rFonts w:ascii="inherit" w:hAnsi="inherit"/>
          <w:sz w:val="17"/>
        </w:rPr>
        <w:t xml:space="preserve">, to </w:t>
      </w:r>
      <w:r>
        <w:rPr>
          <w:rFonts w:ascii="inherit" w:hAnsi="inherit"/>
          <w:strike w:val="false"/>
          <w:dstrike w:val="false"/>
          <w:color w:val="000000"/>
          <w:sz w:val="17"/>
          <w:u w:val="none"/>
          <w:effect w:val="none"/>
        </w:rPr>
        <w:t>$775.9 million</w:t>
      </w:r>
      <w:r>
        <w:rPr>
          <w:rFonts w:ascii="inherit" w:hAnsi="inherit"/>
          <w:sz w:val="17"/>
        </w:rPr>
        <w:t xml:space="preserve">, compared to the prior year nine-month period. The increase was primarily driven by an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increase in pawn service charges, a </w:t>
      </w:r>
      <w:r>
        <w:rPr>
          <w:rFonts w:ascii="inherit" w:hAnsi="inherit"/>
          <w:strike w:val="false"/>
          <w:dstrike w:val="false"/>
          <w:color w:val="000000"/>
          <w:sz w:val="17"/>
          <w:u w:val="none"/>
          <w:effect w:val="none"/>
        </w:rPr>
        <w:t>28%</w:t>
      </w:r>
      <w:r>
        <w:rPr>
          <w:sz w:val="17"/>
        </w:rPr>
        <w:t xml:space="preserve"> </w:t>
      </w:r>
      <w:r>
        <w:rPr>
          <w:rFonts w:ascii="inherit" w:hAnsi="inherit"/>
          <w:sz w:val="17"/>
        </w:rPr>
        <w:t xml:space="preserve">increase in consumer loan fees and an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increase in merchandise sales, partially offset by an </w:t>
      </w:r>
      <w:r>
        <w:rPr>
          <w:rFonts w:ascii="inherit" w:hAnsi="inherit"/>
          <w:strike w:val="false"/>
          <w:dstrike w:val="false"/>
          <w:color w:val="000000"/>
          <w:sz w:val="17"/>
          <w:u w:val="none"/>
          <w:effect w:val="none"/>
        </w:rPr>
        <w:t>23%</w:t>
      </w:r>
      <w:r>
        <w:rPr>
          <w:sz w:val="17"/>
        </w:rPr>
        <w:t xml:space="preserve"> </w:t>
      </w:r>
      <w:r>
        <w:rPr>
          <w:rFonts w:ascii="inherit" w:hAnsi="inherit"/>
          <w:sz w:val="17"/>
        </w:rPr>
        <w:t xml:space="preserve">decrease in jewelry scrapping sales. Other revenue increased </w:t>
      </w:r>
      <w:r>
        <w:rPr>
          <w:rFonts w:ascii="inherit" w:hAnsi="inherit"/>
          <w:strike w:val="false"/>
          <w:dstrike w:val="false"/>
          <w:color w:val="000000"/>
          <w:sz w:val="17"/>
          <w:u w:val="none"/>
          <w:effect w:val="none"/>
        </w:rPr>
        <w:t>$6.8 million</w:t>
      </w:r>
      <w:r>
        <w:rPr>
          <w:sz w:val="17"/>
        </w:rPr>
        <w:t xml:space="preserve"> </w:t>
      </w:r>
      <w:r>
        <w:rPr>
          <w:rFonts w:ascii="inherit" w:hAnsi="inherit"/>
          <w:sz w:val="17"/>
        </w:rPr>
        <w:t xml:space="preserve">in the current nine-month period compared to the prior year nine-month period. Net revenues of </w:t>
      </w:r>
      <w:r>
        <w:rPr>
          <w:rFonts w:ascii="inherit" w:hAnsi="inherit"/>
          <w:strike w:val="false"/>
          <w:dstrike w:val="false"/>
          <w:color w:val="000000"/>
          <w:sz w:val="17"/>
          <w:u w:val="none"/>
          <w:effect w:val="none"/>
        </w:rPr>
        <w:t>$495.7 million</w:t>
      </w:r>
      <w:r>
        <w:rPr>
          <w:rFonts w:ascii="inherit" w:hAnsi="inherit"/>
          <w:sz w:val="17"/>
        </w:rPr>
        <w:t xml:space="preserve">, increased </w:t>
      </w:r>
      <w:r>
        <w:rPr>
          <w:rFonts w:ascii="inherit" w:hAnsi="inherit"/>
          <w:strike w:val="false"/>
          <w:dstrike w:val="false"/>
          <w:color w:val="000000"/>
          <w:sz w:val="17"/>
          <w:u w:val="none"/>
          <w:effect w:val="none"/>
        </w:rPr>
        <w:t>$42.3 million</w:t>
      </w:r>
      <w:r>
        <w:rPr>
          <w:rFonts w:ascii="inherit" w:hAnsi="inherit"/>
          <w:sz w:val="17"/>
        </w:rPr>
        <w:t xml:space="preserve">, or </w:t>
      </w:r>
      <w:r>
        <w:rPr>
          <w:rFonts w:ascii="inherit" w:hAnsi="inherit"/>
          <w:strike w:val="false"/>
          <w:dstrike w:val="false"/>
          <w:color w:val="000000"/>
          <w:sz w:val="17"/>
          <w:u w:val="none"/>
          <w:effect w:val="none"/>
        </w:rPr>
        <w:t>9%</w:t>
      </w:r>
      <w:r>
        <w:rPr>
          <w:rFonts w:ascii="inherit" w:hAnsi="inherit"/>
          <w:sz w:val="17"/>
        </w:rPr>
        <w:t xml:space="preserve">, and operations expense increased </w:t>
      </w:r>
      <w:r>
        <w:rPr>
          <w:rFonts w:ascii="inherit" w:hAnsi="inherit"/>
          <w:strike w:val="false"/>
          <w:dstrike w:val="false"/>
          <w:color w:val="000000"/>
          <w:sz w:val="17"/>
          <w:u w:val="none"/>
          <w:effect w:val="none"/>
        </w:rPr>
        <w:t>$61.3 million</w:t>
      </w:r>
      <w:r>
        <w:rPr>
          <w:sz w:val="17"/>
        </w:rPr>
        <w:t xml:space="preserve"> </w:t>
      </w:r>
      <w:r>
        <w:rPr>
          <w:rFonts w:ascii="inherit" w:hAnsi="inherit"/>
          <w:sz w:val="17"/>
        </w:rPr>
        <w:t xml:space="preserve">or </w:t>
      </w:r>
      <w:r>
        <w:rPr>
          <w:rFonts w:ascii="inherit" w:hAnsi="inherit"/>
          <w:strike w:val="false"/>
          <w:dstrike w:val="false"/>
          <w:color w:val="000000"/>
          <w:sz w:val="17"/>
          <w:u w:val="none"/>
          <w:effect w:val="none"/>
        </w:rPr>
        <w:t>25%</w:t>
      </w:r>
      <w:r>
        <w:rPr>
          <w:rFonts w:ascii="inherit" w:hAnsi="inherit"/>
          <w:sz w:val="17"/>
        </w:rPr>
        <w:t xml:space="preserve">. Administrative expenses of </w:t>
      </w:r>
      <w:r>
        <w:rPr>
          <w:rFonts w:ascii="inherit" w:hAnsi="inherit"/>
          <w:strike w:val="false"/>
          <w:dstrike w:val="false"/>
          <w:color w:val="000000"/>
          <w:sz w:val="17"/>
          <w:u w:val="none"/>
          <w:effect w:val="none"/>
        </w:rPr>
        <w:t>$34.9 million</w:t>
      </w:r>
      <w:r>
        <w:rPr>
          <w:sz w:val="17"/>
        </w:rPr>
        <w:t xml:space="preserve"> </w:t>
      </w:r>
      <w:r>
        <w:rPr>
          <w:rFonts w:ascii="inherit" w:hAnsi="inherit"/>
          <w:sz w:val="17"/>
        </w:rPr>
        <w:t xml:space="preserve">increased </w:t>
      </w:r>
      <w:r>
        <w:rPr>
          <w:rFonts w:ascii="inherit" w:hAnsi="inherit"/>
          <w:strike w:val="false"/>
          <w:dstrike w:val="false"/>
          <w:color w:val="000000"/>
          <w:sz w:val="17"/>
          <w:u w:val="none"/>
          <w:effect w:val="none"/>
        </w:rPr>
        <w:t>$1.4 million</w:t>
      </w:r>
      <w:r>
        <w:rPr>
          <w:rFonts w:ascii="inherit" w:hAnsi="inherit"/>
          <w:sz w:val="17"/>
        </w:rPr>
        <w:t xml:space="preserve">, or </w:t>
      </w:r>
      <w:r>
        <w:rPr>
          <w:rFonts w:ascii="inherit" w:hAnsi="inherit"/>
          <w:strike w:val="false"/>
          <w:dstrike w:val="false"/>
          <w:color w:val="000000"/>
          <w:sz w:val="17"/>
          <w:u w:val="none"/>
          <w:effect w:val="none"/>
        </w:rPr>
        <w:t>4%</w:t>
      </w:r>
      <w:r>
        <w:rPr>
          <w:rFonts w:ascii="inherit" w:hAnsi="inherit"/>
          <w:sz w:val="17"/>
        </w:rPr>
        <w:t xml:space="preserve">. After a </w:t>
      </w:r>
      <w:r>
        <w:rPr>
          <w:rFonts w:ascii="inherit" w:hAnsi="inherit"/>
          <w:strike w:val="false"/>
          <w:dstrike w:val="false"/>
          <w:color w:val="000000"/>
          <w:sz w:val="17"/>
          <w:u w:val="none"/>
          <w:effect w:val="none"/>
        </w:rPr>
        <w:t>$5.7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depreciation and amortization, a </w:t>
      </w:r>
      <w:r>
        <w:rPr>
          <w:rFonts w:ascii="inherit" w:hAnsi="inherit"/>
          <w:strike w:val="false"/>
          <w:dstrike w:val="false"/>
          <w:color w:val="000000"/>
          <w:sz w:val="17"/>
          <w:u w:val="none"/>
          <w:effect w:val="none"/>
        </w:rPr>
        <w:t>$7.3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net interest expense, a </w:t>
      </w:r>
      <w:r>
        <w:rPr>
          <w:rFonts w:ascii="inherit" w:hAnsi="inherit"/>
          <w:strike w:val="false"/>
          <w:dstrike w:val="false"/>
          <w:color w:val="000000"/>
          <w:sz w:val="17"/>
          <w:u w:val="none"/>
          <w:effect w:val="none"/>
        </w:rPr>
        <w:t>$10.6 million</w:t>
      </w:r>
      <w:r>
        <w:rPr>
          <w:sz w:val="17"/>
        </w:rPr>
        <w:t xml:space="preserve"> </w:t>
      </w:r>
      <w:r>
        <w:rPr>
          <w:rFonts w:ascii="inherit" w:hAnsi="inherit"/>
          <w:sz w:val="17"/>
        </w:rPr>
        <w:t xml:space="preserve">decrease in income tax expense, the </w:t>
      </w:r>
      <w:r>
        <w:rPr>
          <w:rFonts w:ascii="inherit" w:hAnsi="inherit"/>
          <w:strike w:val="false"/>
          <w:dstrike w:val="false"/>
          <w:color w:val="000000"/>
          <w:sz w:val="17"/>
          <w:u w:val="none"/>
          <w:effect w:val="none"/>
        </w:rPr>
        <w:t>$2.1 million</w:t>
      </w:r>
      <w:r>
        <w:rPr>
          <w:sz w:val="17"/>
        </w:rPr>
        <w:t xml:space="preserve"> </w:t>
      </w:r>
      <w:r>
        <w:rPr>
          <w:rFonts w:ascii="inherit" w:hAnsi="inherit"/>
          <w:sz w:val="17"/>
        </w:rPr>
        <w:t xml:space="preserve">increase in net income attributable to the noncontrolling interest and the </w:t>
      </w:r>
      <w:r>
        <w:rPr>
          <w:rFonts w:ascii="inherit" w:hAnsi="inherit"/>
          <w:strike w:val="false"/>
          <w:dstrike w:val="false"/>
          <w:color w:val="000000"/>
          <w:sz w:val="17"/>
          <w:u w:val="none"/>
          <w:effect w:val="none"/>
        </w:rPr>
        <w:t>$21.6 million</w:t>
      </w:r>
      <w:r>
        <w:rPr>
          <w:sz w:val="17"/>
        </w:rPr>
        <w:t xml:space="preserve"> </w:t>
      </w:r>
      <w:r>
        <w:rPr>
          <w:rFonts w:ascii="inherit" w:hAnsi="inherit"/>
          <w:sz w:val="17"/>
        </w:rPr>
        <w:t xml:space="preserve">increase in loss from discontinued operations, net income attributable to EZCORP decreased </w:t>
      </w:r>
      <w:r>
        <w:rPr>
          <w:rFonts w:ascii="inherit" w:hAnsi="inherit"/>
          <w:strike w:val="false"/>
          <w:dstrike w:val="false"/>
          <w:color w:val="000000"/>
          <w:sz w:val="17"/>
          <w:u w:val="none"/>
          <w:effect w:val="none"/>
        </w:rPr>
        <w:t>$46.3 million</w:t>
      </w:r>
      <w:r>
        <w:rPr>
          <w:rFonts w:ascii="inherit" w:hAnsi="inherit"/>
          <w:sz w:val="17"/>
        </w:rPr>
        <w:t xml:space="preserve">, or </w:t>
      </w:r>
      <w:r>
        <w:rPr>
          <w:rFonts w:ascii="inherit" w:hAnsi="inherit"/>
          <w:strike w:val="false"/>
          <w:dstrike w:val="false"/>
          <w:color w:val="000000"/>
          <w:sz w:val="17"/>
          <w:u w:val="none"/>
          <w:effect w:val="none"/>
        </w:rPr>
        <w:t>44%</w:t>
      </w:r>
      <w:r>
        <w:rPr>
          <w:rFonts w:ascii="inherit" w:hAnsi="inherit"/>
          <w:sz w:val="17"/>
        </w:rPr>
        <w:t xml:space="preserve">, to </w:t>
      </w:r>
      <w:r>
        <w:rPr>
          <w:rFonts w:ascii="inherit" w:hAnsi="inherit"/>
          <w:strike w:val="false"/>
          <w:dstrike w:val="false"/>
          <w:color w:val="000000"/>
          <w:sz w:val="17"/>
          <w:u w:val="none"/>
          <w:effect w:val="none"/>
        </w:rPr>
        <w:t>$58.8 million</w:t>
      </w:r>
      <w:r>
        <w:rPr>
          <w:rFonts w:ascii="inherit" w:hAnsi="inherit"/>
          <w:sz w:val="17"/>
        </w:rPr>
        <w: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65</w:t>
      </w:r>
      <w:r>
        <w:br w:type="page"/>
      </w:r>
    </w:p>
    <w:p>
      <w:pPr>
        <w:pStyle w:val="TextBody"/>
        <w:spacing w:lineRule="auto" w:line="288" w:before="0" w:after="0"/>
        <w:rPr/>
      </w:pPr>
      <w:hyperlink w:anchor="s6341541F7667DB742175CD29235C3997">
        <w:bookmarkStart w:id="55" w:name="sE3D6C0FA3D0833AF3E9ACD2910275F81"/>
        <w:bookmarkEnd w:id="55"/>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Segment Results of Operations</w:t>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rPr>
          <w:rFonts w:ascii="inherit" w:hAnsi="inherit"/>
          <w:sz w:val="17"/>
        </w:rPr>
      </w:pPr>
      <w:r>
        <w:rPr>
          <w:rFonts w:ascii="inherit" w:hAnsi="inherit"/>
          <w:sz w:val="17"/>
        </w:rPr>
        <w:t>The following table presents selected financial data for the U.S. &amp; Canada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009"/>
        <w:gridCol w:w="181"/>
        <w:gridCol w:w="1377"/>
        <w:gridCol w:w="249"/>
        <w:gridCol w:w="149"/>
        <w:gridCol w:w="181"/>
        <w:gridCol w:w="1377"/>
        <w:gridCol w:w="68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09" w:type="dxa"/>
            <w:tcBorders/>
            <w:shd w:fill="auto" w:val="clear"/>
            <w:vAlign w:val="center"/>
          </w:tcPr>
          <w:p>
            <w:pPr>
              <w:pStyle w:val="TableContents"/>
              <w:spacing w:before="0" w:after="0"/>
              <w:ind w:left="0" w:right="0" w:firstLine="30"/>
              <w:jc w:val="left"/>
              <w:rPr/>
            </w:pPr>
            <w:r>
              <w:rPr/>
              <w:t> </w:t>
            </w:r>
          </w:p>
        </w:tc>
        <w:tc>
          <w:tcPr>
            <w:tcW w:w="419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009" w:type="dxa"/>
            <w:tcBorders/>
            <w:shd w:fill="auto" w:val="clear"/>
            <w:vAlign w:val="center"/>
          </w:tcPr>
          <w:p>
            <w:pPr>
              <w:pStyle w:val="TableContents"/>
              <w:spacing w:before="0" w:after="0"/>
              <w:ind w:left="0" w:right="0" w:firstLine="30"/>
              <w:jc w:val="left"/>
              <w:rPr/>
            </w:pPr>
            <w:r>
              <w:rPr/>
              <w:t> </w:t>
            </w:r>
          </w:p>
        </w:tc>
        <w:tc>
          <w:tcPr>
            <w:tcW w:w="18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9" w:type="dxa"/>
            <w:tcBorders/>
            <w:shd w:fill="auto" w:val="clear"/>
            <w:vAlign w:val="center"/>
          </w:tcPr>
          <w:p>
            <w:pPr>
              <w:pStyle w:val="TableContents"/>
              <w:spacing w:before="0" w:after="0"/>
              <w:ind w:left="0" w:right="0" w:firstLine="30"/>
              <w:rPr/>
            </w:pPr>
            <w:r>
              <w:rPr/>
              <w:t> </w:t>
            </w:r>
          </w:p>
        </w:tc>
        <w:tc>
          <w:tcPr>
            <w:tcW w:w="22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09" w:type="dxa"/>
            <w:tcBorders/>
            <w:shd w:fill="auto" w:val="clear"/>
            <w:vAlign w:val="center"/>
          </w:tcPr>
          <w:p>
            <w:pPr>
              <w:pStyle w:val="TableContents"/>
              <w:spacing w:before="0" w:after="0"/>
              <w:ind w:left="0" w:right="0" w:firstLine="30"/>
              <w:jc w:val="left"/>
              <w:rPr/>
            </w:pPr>
            <w:r>
              <w:rPr/>
              <w:t> </w:t>
            </w:r>
          </w:p>
        </w:tc>
        <w:tc>
          <w:tcPr>
            <w:tcW w:w="419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07"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240" w:type="dxa"/>
            <w:gridSpan w:val="3"/>
            <w:tcBorders/>
            <w:shd w:fill="CCEEFF" w:val="clear"/>
            <w:vAlign w:val="center"/>
          </w:tcPr>
          <w:p>
            <w:pPr>
              <w:pStyle w:val="TableContents"/>
              <w:spacing w:before="0" w:after="0"/>
              <w:ind w:left="0" w:right="0" w:firstLine="420"/>
              <w:rPr/>
            </w:pPr>
            <w:r>
              <w:rPr/>
              <w:t> </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shd w:fill="auto" w:val="clear"/>
            <w:vAlign w:val="center"/>
          </w:tcPr>
          <w:p>
            <w:pPr>
              <w:pStyle w:val="TableContents"/>
              <w:spacing w:before="0" w:after="0"/>
              <w:jc w:val="right"/>
              <w:rPr>
                <w:rFonts w:ascii="inherit" w:hAnsi="inherit"/>
                <w:sz w:val="17"/>
              </w:rPr>
            </w:pPr>
            <w:r>
              <w:rPr>
                <w:rFonts w:ascii="inherit" w:hAnsi="inherit"/>
                <w:sz w:val="17"/>
              </w:rPr>
              <w:t>237,577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shd w:fill="auto" w:val="clear"/>
            <w:vAlign w:val="center"/>
          </w:tcPr>
          <w:p>
            <w:pPr>
              <w:pStyle w:val="TableContents"/>
              <w:spacing w:before="0" w:after="0"/>
              <w:jc w:val="right"/>
              <w:rPr>
                <w:rFonts w:ascii="inherit" w:hAnsi="inherit"/>
                <w:sz w:val="17"/>
              </w:rPr>
            </w:pPr>
            <w:r>
              <w:rPr>
                <w:rFonts w:ascii="inherit" w:hAnsi="inherit"/>
                <w:sz w:val="17"/>
              </w:rPr>
              <w:t>226,507</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108,777</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139,252</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165,202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154,823</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126,873</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121,744</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5,469</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2,430</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643,898</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644,756</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138,936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131,682</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76,922</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86,848</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27,363</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24,663</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400,677</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401,563</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807"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240" w:type="dxa"/>
            <w:gridSpan w:val="3"/>
            <w:tcBorders/>
            <w:shd w:fill="auto" w:val="clear"/>
            <w:vAlign w:val="center"/>
          </w:tcPr>
          <w:p>
            <w:pPr>
              <w:pStyle w:val="TableContents"/>
              <w:spacing w:before="0" w:after="0"/>
              <w:ind w:left="0" w:right="0" w:firstLine="420"/>
              <w:rPr/>
            </w:pPr>
            <w:r>
              <w:rPr/>
              <w:t> </w:t>
            </w:r>
          </w:p>
        </w:tc>
      </w:tr>
      <w:tr>
        <w:trPr/>
        <w:tc>
          <w:tcPr>
            <w:tcW w:w="600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251,593</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216,653</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13,395</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9,862</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loss on sale or disposal of assets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5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346</w:t>
            </w:r>
          </w:p>
        </w:tc>
        <w:tc>
          <w:tcPr>
            <w:tcW w:w="6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135,485</w:t>
            </w:r>
          </w:p>
        </w:tc>
        <w:tc>
          <w:tcPr>
            <w:tcW w:w="24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174,795</w:t>
            </w:r>
          </w:p>
        </w:tc>
        <w:tc>
          <w:tcPr>
            <w:tcW w:w="6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07"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240" w:type="dxa"/>
            <w:gridSpan w:val="3"/>
            <w:tcBorders/>
            <w:shd w:fill="CCEEFF" w:val="clear"/>
            <w:vAlign w:val="center"/>
          </w:tcPr>
          <w:p>
            <w:pPr>
              <w:pStyle w:val="TableContents"/>
              <w:spacing w:before="0" w:after="0"/>
              <w:ind w:left="0" w:right="0" w:firstLine="420"/>
              <w:rPr/>
            </w:pPr>
            <w:r>
              <w:rPr/>
              <w:t> </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41.5</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41.9</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29.3</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37.6</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40.3</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shd w:fill="CCEEFF" w:val="clear"/>
            <w:vAlign w:val="center"/>
          </w:tcPr>
          <w:p>
            <w:pPr>
              <w:pStyle w:val="TableContents"/>
              <w:spacing w:before="0" w:after="0"/>
              <w:jc w:val="right"/>
              <w:rPr>
                <w:rFonts w:ascii="inherit" w:hAnsi="inherit"/>
                <w:sz w:val="17"/>
              </w:rPr>
            </w:pPr>
            <w:r>
              <w:rPr>
                <w:rFonts w:ascii="inherit" w:hAnsi="inherit"/>
                <w:sz w:val="17"/>
              </w:rPr>
              <w:t>275</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shd w:fill="CCEEFF" w:val="clear"/>
            <w:vAlign w:val="center"/>
          </w:tcPr>
          <w:p>
            <w:pPr>
              <w:pStyle w:val="TableContents"/>
              <w:spacing w:before="0" w:after="0"/>
              <w:jc w:val="right"/>
              <w:rPr>
                <w:rFonts w:ascii="inherit" w:hAnsi="inherit"/>
                <w:sz w:val="17"/>
              </w:rPr>
            </w:pPr>
            <w:r>
              <w:rPr>
                <w:rFonts w:ascii="inherit" w:hAnsi="inherit"/>
                <w:sz w:val="17"/>
              </w:rPr>
              <w:t>285</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w:t>
            </w:r>
          </w:p>
        </w:tc>
        <w:tc>
          <w:tcPr>
            <w:tcW w:w="6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7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U.S. &amp; Canada segment total revenues decreased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 xml:space="preserve">compared to the prior year nine-month period to </w:t>
      </w:r>
      <w:r>
        <w:rPr>
          <w:rFonts w:ascii="inherit" w:hAnsi="inherit"/>
          <w:strike w:val="false"/>
          <w:dstrike w:val="false"/>
          <w:color w:val="000000"/>
          <w:sz w:val="17"/>
          <w:u w:val="none"/>
          <w:effect w:val="none"/>
        </w:rPr>
        <w:t>$643.9 million</w:t>
      </w:r>
      <w:r>
        <w:rPr>
          <w:rFonts w:ascii="inherit" w:hAnsi="inherit"/>
          <w:sz w:val="17"/>
        </w:rPr>
        <w:t xml:space="preserve">. Same store total revenues decreased $43.7 million, or 7%, and new and acquired stores net of closed stores contributed $42.8 million. In the current nine-month period, we acquired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pawn stores in the U.S. for $23.1 million and Go Cash, a U.S. online lender, for </w:t>
      </w:r>
      <w:r>
        <w:rPr>
          <w:rFonts w:ascii="inherit" w:hAnsi="inherit"/>
          <w:strike w:val="false"/>
          <w:dstrike w:val="false"/>
          <w:color w:val="000000"/>
          <w:sz w:val="17"/>
          <w:u w:val="none"/>
          <w:effect w:val="none"/>
        </w:rPr>
        <w:t>$50.8 million</w:t>
      </w:r>
      <w:r>
        <w:rPr>
          <w:rFonts w:ascii="inherit" w:hAnsi="inherit"/>
          <w:sz w:val="17"/>
        </w:rPr>
        <w:t xml:space="preserve">. As part of these acquisitions, we began store operations in the state of Arizona and online operations in five states, bringing the total number of states in which we operate to 27 at </w:t>
      </w:r>
      <w:r>
        <w:rPr>
          <w:rFonts w:ascii="inherit" w:hAnsi="inherit"/>
          <w:strike w:val="false"/>
          <w:dstrike w:val="false"/>
          <w:color w:val="000000"/>
          <w:sz w:val="17"/>
          <w:u w:val="none"/>
          <w:effect w:val="none"/>
        </w:rPr>
        <w:t>June 30, 2013</w:t>
      </w:r>
      <w:r>
        <w:rPr>
          <w:rFonts w:ascii="inherit" w:hAnsi="inherit"/>
          <w:sz w:val="17"/>
        </w:rPr>
        <w:t xml:space="preserve">. In the current nine-month period we opened </w:t>
      </w:r>
      <w:r>
        <w:rPr>
          <w:rFonts w:ascii="inherit" w:hAnsi="inherit"/>
          <w:strike w:val="false"/>
          <w:dstrike w:val="false"/>
          <w:color w:val="000000"/>
          <w:sz w:val="17"/>
          <w:u w:val="none"/>
          <w:effect w:val="none"/>
        </w:rPr>
        <w:t>68</w:t>
      </w:r>
      <w:r>
        <w:rPr>
          <w:sz w:val="17"/>
        </w:rPr>
        <w:t xml:space="preserve"> </w:t>
      </w:r>
      <w:r>
        <w:rPr>
          <w:rFonts w:ascii="inherit" w:hAnsi="inherit"/>
          <w:sz w:val="17"/>
        </w:rPr>
        <w:t xml:space="preserve">de novo locations bringing our total number of stores in the U.S. &amp; Canada to </w:t>
      </w:r>
      <w:r>
        <w:rPr>
          <w:rFonts w:ascii="inherit" w:hAnsi="inherit"/>
          <w:strike w:val="false"/>
          <w:dstrike w:val="false"/>
          <w:color w:val="000000"/>
          <w:sz w:val="17"/>
          <w:u w:val="none"/>
          <w:effect w:val="none"/>
        </w:rPr>
        <w:t>1,061</w:t>
      </w:r>
      <w:r>
        <w:rPr>
          <w:rFonts w:ascii="inherit" w:hAnsi="inherit"/>
          <w:sz w:val="17"/>
        </w:rPr>
        <w:t xml:space="preserve">, an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increase over the prior year nine-month period. As part of the Reorganization, we expect to close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stores in the U.S. &amp; Canada segment, bringing our stores in continuing operations to </w:t>
      </w:r>
      <w:r>
        <w:rPr>
          <w:rFonts w:ascii="inherit" w:hAnsi="inherit"/>
          <w:strike w:val="false"/>
          <w:dstrike w:val="false"/>
          <w:color w:val="000000"/>
          <w:sz w:val="17"/>
          <w:u w:val="none"/>
          <w:effect w:val="none"/>
        </w:rPr>
        <w:t>1,011</w:t>
      </w:r>
      <w:r>
        <w:rPr>
          <w:rFonts w:ascii="inherit" w:hAnsi="inherit"/>
          <w:sz w:val="17"/>
        </w:rPr>
        <w:t>.</w:t>
      </w:r>
    </w:p>
    <w:p>
      <w:pPr>
        <w:pStyle w:val="TextBody"/>
        <w:spacing w:lineRule="auto" w:line="288" w:before="0" w:after="0"/>
        <w:rPr>
          <w:sz w:val="17"/>
        </w:rPr>
      </w:pPr>
      <w:r>
        <w:rPr>
          <w:rFonts w:ascii="inherit" w:hAnsi="inherit"/>
          <w:sz w:val="17"/>
        </w:rPr>
        <w:t xml:space="preserve">In the current nine-month period, pawn service charge revenues increased </w:t>
      </w:r>
      <w:r>
        <w:rPr>
          <w:rFonts w:ascii="inherit" w:hAnsi="inherit"/>
          <w:strike w:val="false"/>
          <w:dstrike w:val="false"/>
          <w:color w:val="000000"/>
          <w:sz w:val="17"/>
          <w:u w:val="none"/>
          <w:effect w:val="none"/>
        </w:rPr>
        <w:t>$10.4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xml:space="preserve">, from the prior year nine-month period to </w:t>
      </w:r>
      <w:r>
        <w:rPr>
          <w:rFonts w:ascii="inherit" w:hAnsi="inherit"/>
          <w:strike w:val="false"/>
          <w:dstrike w:val="false"/>
          <w:color w:val="000000"/>
          <w:sz w:val="17"/>
          <w:u w:val="none"/>
          <w:effect w:val="none"/>
        </w:rPr>
        <w:t>$165.2 million</w:t>
      </w:r>
      <w:r>
        <w:rPr>
          <w:rFonts w:ascii="inherit" w:hAnsi="inherit"/>
          <w:sz w:val="17"/>
        </w:rPr>
        <w:t xml:space="preserve">. The overall increase was due to a higher average loan balance during the period of $136.0 million, a 6% increase in total while the same store average pawn loan balance remained practically constant at $129.0 million. Same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66</w:t>
      </w:r>
      <w:r>
        <w:br w:type="page"/>
      </w:r>
    </w:p>
    <w:p>
      <w:pPr>
        <w:pStyle w:val="TextBody"/>
        <w:spacing w:lineRule="auto" w:line="288" w:before="0" w:after="0"/>
        <w:rPr/>
      </w:pPr>
      <w:hyperlink w:anchor="s6341541F7667DB742175CD29235C3997">
        <w:bookmarkStart w:id="56" w:name="sE3D6C0FA3D0833AF3E9ACD2910275F811"/>
        <w:bookmarkEnd w:id="5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store pawn service charges increased $5.0 million, or 3%, with new and acquired stores net of closed stores contributing $5.4 million. The same store improvement was due to a 2 percentage point improvement in yield, driven primarily by rate increases in Nevada and operational improvements in Texas.</w:t>
      </w:r>
    </w:p>
    <w:p>
      <w:pPr>
        <w:pStyle w:val="TextBody"/>
        <w:spacing w:lineRule="auto" w:line="288" w:before="0" w:after="0"/>
        <w:rPr>
          <w:sz w:val="17"/>
        </w:rPr>
      </w:pPr>
      <w:r>
        <w:rPr>
          <w:rFonts w:ascii="inherit" w:hAnsi="inherit"/>
          <w:sz w:val="17"/>
        </w:rPr>
        <w:t xml:space="preserve">The current nine-month period merchandise sales gross profit increased </w:t>
      </w:r>
      <w:r>
        <w:rPr>
          <w:rFonts w:ascii="inherit" w:hAnsi="inherit"/>
          <w:strike w:val="false"/>
          <w:dstrike w:val="false"/>
          <w:color w:val="000000"/>
          <w:sz w:val="17"/>
          <w:u w:val="none"/>
          <w:effect w:val="none"/>
        </w:rPr>
        <w:t>$3.8 million</w:t>
      </w:r>
      <w:r>
        <w:rPr>
          <w:rFonts w:ascii="inherit" w:hAnsi="inherit"/>
          <w:sz w:val="17"/>
        </w:rPr>
        <w:t xml:space="preserve">, or </w:t>
      </w:r>
      <w:r>
        <w:rPr>
          <w:rFonts w:ascii="inherit" w:hAnsi="inherit"/>
          <w:strike w:val="false"/>
          <w:dstrike w:val="false"/>
          <w:color w:val="000000"/>
          <w:sz w:val="17"/>
          <w:u w:val="none"/>
          <w:effect w:val="none"/>
        </w:rPr>
        <w:t>4%</w:t>
      </w:r>
      <w:r>
        <w:rPr>
          <w:rFonts w:ascii="inherit" w:hAnsi="inherit"/>
          <w:sz w:val="17"/>
        </w:rPr>
        <w:t xml:space="preserve">, from the prior year nine-month period to </w:t>
      </w:r>
      <w:r>
        <w:rPr>
          <w:rFonts w:ascii="inherit" w:hAnsi="inherit"/>
          <w:strike w:val="false"/>
          <w:dstrike w:val="false"/>
          <w:color w:val="000000"/>
          <w:sz w:val="17"/>
          <w:u w:val="none"/>
          <w:effect w:val="none"/>
        </w:rPr>
        <w:t>$98.6 million</w:t>
      </w:r>
      <w:r>
        <w:rPr>
          <w:rFonts w:ascii="inherit" w:hAnsi="inherit"/>
          <w:sz w:val="17"/>
        </w:rPr>
        <w:t xml:space="preserve">. Same store merchandise sales decreased $1.4 million and new and acquired stores net of closed stores contributed $12.5 million. Gross margin on merchandise sales was </w:t>
      </w:r>
      <w:r>
        <w:rPr>
          <w:rFonts w:ascii="inherit" w:hAnsi="inherit"/>
          <w:strike w:val="false"/>
          <w:dstrike w:val="false"/>
          <w:color w:val="000000"/>
          <w:sz w:val="17"/>
          <w:u w:val="none"/>
          <w:effect w:val="none"/>
        </w:rPr>
        <w:t>41.5%</w:t>
      </w:r>
      <w:r>
        <w:rPr>
          <w:rFonts w:ascii="inherit" w:hAnsi="inherit"/>
          <w:sz w:val="17"/>
        </w:rPr>
        <w:t xml:space="preserve">, slightly lower than the prior year nine-month period. </w:t>
      </w:r>
    </w:p>
    <w:p>
      <w:pPr>
        <w:pStyle w:val="TextBody"/>
        <w:spacing w:lineRule="auto" w:line="288" w:before="0" w:after="0"/>
        <w:rPr>
          <w:sz w:val="17"/>
        </w:rPr>
      </w:pPr>
      <w:r>
        <w:rPr>
          <w:rFonts w:ascii="inherit" w:hAnsi="inherit"/>
          <w:sz w:val="17"/>
        </w:rPr>
        <w:t xml:space="preserve">Gross profit on jewelry scrapping sales decreased </w:t>
      </w:r>
      <w:r>
        <w:rPr>
          <w:rFonts w:ascii="inherit" w:hAnsi="inherit"/>
          <w:strike w:val="false"/>
          <w:dstrike w:val="false"/>
          <w:color w:val="000000"/>
          <w:sz w:val="17"/>
          <w:u w:val="none"/>
          <w:effect w:val="none"/>
        </w:rPr>
        <w:t>$20.5 million</w:t>
      </w:r>
      <w:r>
        <w:rPr>
          <w:rFonts w:ascii="inherit" w:hAnsi="inherit"/>
          <w:sz w:val="17"/>
        </w:rPr>
        <w:t xml:space="preserve">, or </w:t>
      </w:r>
      <w:r>
        <w:rPr>
          <w:rFonts w:ascii="inherit" w:hAnsi="inherit"/>
          <w:strike w:val="false"/>
          <w:dstrike w:val="false"/>
          <w:color w:val="000000"/>
          <w:sz w:val="17"/>
          <w:u w:val="none"/>
          <w:effect w:val="none"/>
        </w:rPr>
        <w:t>39%</w:t>
      </w:r>
      <w:r>
        <w:rPr>
          <w:rFonts w:ascii="inherit" w:hAnsi="inherit"/>
          <w:sz w:val="17"/>
        </w:rPr>
        <w:t xml:space="preserve">, from the prior year nine-month period to </w:t>
      </w:r>
      <w:r>
        <w:rPr>
          <w:rFonts w:ascii="inherit" w:hAnsi="inherit"/>
          <w:strike w:val="false"/>
          <w:dstrike w:val="false"/>
          <w:color w:val="000000"/>
          <w:sz w:val="17"/>
          <w:u w:val="none"/>
          <w:effect w:val="none"/>
        </w:rPr>
        <w:t>$31.9 million</w:t>
      </w:r>
      <w:r>
        <w:rPr>
          <w:rFonts w:ascii="inherit" w:hAnsi="inherit"/>
          <w:sz w:val="17"/>
        </w:rPr>
        <w:t xml:space="preserve">. Jewelry scrapping revenues decreased </w:t>
      </w:r>
      <w:r>
        <w:rPr>
          <w:rFonts w:ascii="inherit" w:hAnsi="inherit"/>
          <w:strike w:val="false"/>
          <w:dstrike w:val="false"/>
          <w:color w:val="000000"/>
          <w:sz w:val="17"/>
          <w:u w:val="none"/>
          <w:effect w:val="none"/>
        </w:rPr>
        <w:t>$30.5 million</w:t>
      </w:r>
      <w:r>
        <w:rPr>
          <w:rFonts w:ascii="inherit" w:hAnsi="inherit"/>
          <w:sz w:val="17"/>
        </w:rPr>
        <w:t xml:space="preserve">, or </w:t>
      </w:r>
      <w:r>
        <w:rPr>
          <w:rFonts w:ascii="inherit" w:hAnsi="inherit"/>
          <w:strike w:val="false"/>
          <w:dstrike w:val="false"/>
          <w:color w:val="000000"/>
          <w:sz w:val="17"/>
          <w:u w:val="none"/>
          <w:effect w:val="none"/>
        </w:rPr>
        <w:t>22%</w:t>
      </w:r>
      <w:r>
        <w:rPr>
          <w:rFonts w:ascii="inherit" w:hAnsi="inherit"/>
          <w:sz w:val="17"/>
        </w:rPr>
        <w:t xml:space="preserve">, mostly due to a 25% decrease in gold volume. Same store jewelry scrapping sales decreased $41.4 million, or 30%, and new and acquired stores contributed $10.9 million. Jewelry scrapping sales include the sale of approximately $11.3 million of loose diamonds removed from scrap jewelry in the current nine-month period and $7.8 million in the prior year nine-month period. Scrap cost of goods decreased </w:t>
      </w:r>
      <w:r>
        <w:rPr>
          <w:rFonts w:ascii="inherit" w:hAnsi="inherit"/>
          <w:strike w:val="false"/>
          <w:dstrike w:val="false"/>
          <w:color w:val="000000"/>
          <w:sz w:val="17"/>
          <w:u w:val="none"/>
          <w:effect w:val="none"/>
        </w:rPr>
        <w:t>$9.9 million</w:t>
      </w:r>
      <w:r>
        <w:rPr>
          <w:rFonts w:ascii="inherit" w:hAnsi="inherit"/>
          <w:sz w:val="17"/>
        </w:rPr>
        <w:t xml:space="preserve">, or </w:t>
      </w:r>
      <w:r>
        <w:rPr>
          <w:rFonts w:ascii="inherit" w:hAnsi="inherit"/>
          <w:strike w:val="false"/>
          <w:dstrike w:val="false"/>
          <w:color w:val="000000"/>
          <w:sz w:val="17"/>
          <w:u w:val="none"/>
          <w:effect w:val="none"/>
        </w:rPr>
        <w:t>11%</w:t>
      </w:r>
      <w:r>
        <w:rPr>
          <w:rFonts w:ascii="inherit" w:hAnsi="inherit"/>
          <w:sz w:val="17"/>
        </w:rPr>
        <w:t xml:space="preserve">, as a result of the decrease in volume, partially offset by a 13% increase average cost per gram of jewelry scrapped. The decrease in scrap sales and increase in cost is a function of a very competitive marketplace and our efforts to gain market share. </w:t>
      </w:r>
    </w:p>
    <w:p>
      <w:pPr>
        <w:pStyle w:val="TextBody"/>
        <w:spacing w:lineRule="auto" w:line="288" w:before="0" w:after="0"/>
        <w:rPr>
          <w:sz w:val="17"/>
        </w:rPr>
      </w:pPr>
      <w:r>
        <w:rPr>
          <w:rFonts w:ascii="inherit" w:hAnsi="inherit"/>
          <w:sz w:val="17"/>
        </w:rPr>
        <w:t xml:space="preserve">The current nine-month period's consumer loan fees increased </w:t>
      </w:r>
      <w:r>
        <w:rPr>
          <w:rFonts w:ascii="inherit" w:hAnsi="inherit"/>
          <w:strike w:val="false"/>
          <w:dstrike w:val="false"/>
          <w:color w:val="000000"/>
          <w:sz w:val="17"/>
          <w:u w:val="none"/>
          <w:effect w:val="none"/>
        </w:rPr>
        <w:t>$5.1 million</w:t>
      </w:r>
      <w:r>
        <w:rPr>
          <w:rFonts w:ascii="inherit" w:hAnsi="inherit"/>
          <w:sz w:val="17"/>
        </w:rPr>
        <w:t xml:space="preserve">, or </w:t>
      </w:r>
      <w:r>
        <w:rPr>
          <w:rFonts w:ascii="inherit" w:hAnsi="inherit"/>
          <w:strike w:val="false"/>
          <w:dstrike w:val="false"/>
          <w:color w:val="000000"/>
          <w:sz w:val="17"/>
          <w:u w:val="none"/>
          <w:effect w:val="none"/>
        </w:rPr>
        <w:t>4%</w:t>
      </w:r>
      <w:r>
        <w:rPr>
          <w:rFonts w:ascii="inherit" w:hAnsi="inherit"/>
          <w:sz w:val="17"/>
        </w:rPr>
        <w:t xml:space="preserve">, to </w:t>
      </w:r>
      <w:r>
        <w:rPr>
          <w:rFonts w:ascii="inherit" w:hAnsi="inherit"/>
          <w:strike w:val="false"/>
          <w:dstrike w:val="false"/>
          <w:color w:val="000000"/>
          <w:sz w:val="17"/>
          <w:u w:val="none"/>
          <w:effect w:val="none"/>
        </w:rPr>
        <w:t>$126.9 million</w:t>
      </w:r>
      <w:r>
        <w:rPr>
          <w:rFonts w:ascii="inherit" w:hAnsi="inherit"/>
          <w:sz w:val="17"/>
        </w:rPr>
        <w:t xml:space="preserve">, over the prior year nine-month period. Consumer loan bad debt as a percentage of fees was </w:t>
      </w:r>
      <w:r>
        <w:rPr>
          <w:rFonts w:ascii="inherit" w:hAnsi="inherit"/>
          <w:strike w:val="false"/>
          <w:dstrike w:val="false"/>
          <w:color w:val="000000"/>
          <w:sz w:val="17"/>
          <w:u w:val="none"/>
          <w:effect w:val="none"/>
        </w:rPr>
        <w:t>22%</w:t>
      </w:r>
      <w:r>
        <w:rPr>
          <w:sz w:val="17"/>
        </w:rPr>
        <w:t xml:space="preserve">  </w:t>
      </w:r>
      <w:r>
        <w:rPr>
          <w:rFonts w:ascii="inherit" w:hAnsi="inherit"/>
          <w:sz w:val="17"/>
        </w:rPr>
        <w:t xml:space="preserve">in the current nine-month period compared to </w:t>
      </w:r>
      <w:r>
        <w:rPr>
          <w:rFonts w:ascii="inherit" w:hAnsi="inherit"/>
          <w:strike w:val="false"/>
          <w:dstrike w:val="false"/>
          <w:color w:val="000000"/>
          <w:sz w:val="17"/>
          <w:u w:val="none"/>
          <w:effect w:val="none"/>
        </w:rPr>
        <w:t>20%</w:t>
      </w:r>
      <w:r>
        <w:rPr>
          <w:sz w:val="17"/>
        </w:rPr>
        <w:t xml:space="preserve"> </w:t>
      </w:r>
      <w:r>
        <w:rPr>
          <w:rFonts w:ascii="inherit" w:hAnsi="inherit"/>
          <w:sz w:val="17"/>
        </w:rPr>
        <w:t>in the prior year nine-month period, mostly due to the higher mix of new stores, new products and online generated loans. In the current nine-month period, the profitability of the financial services business was negatively impacted as a result of ordinances enacted in Dallas, Austin and San Antonio. The profitability of the financial services business continued to be negatively impacted as a result of ordinances enacted in Austin and San Antonio. Local regulatory changes negatively impacted the profitability of the financial services business by approximately $3.0 million during the current nine-month period.</w:t>
      </w:r>
    </w:p>
    <w:p>
      <w:pPr>
        <w:pStyle w:val="TextBody"/>
        <w:spacing w:lineRule="auto" w:line="288" w:before="0" w:after="0"/>
        <w:rPr>
          <w:sz w:val="17"/>
        </w:rPr>
      </w:pPr>
      <w:r>
        <w:rPr>
          <w:rFonts w:ascii="inherit" w:hAnsi="inherit"/>
          <w:sz w:val="17"/>
        </w:rPr>
        <w:t xml:space="preserve">The current nine-month period's other revenues increased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over the prior year nine-month period to </w:t>
      </w:r>
      <w:r>
        <w:rPr>
          <w:rFonts w:ascii="inherit" w:hAnsi="inherit"/>
          <w:strike w:val="false"/>
          <w:dstrike w:val="false"/>
          <w:color w:val="000000"/>
          <w:sz w:val="17"/>
          <w:u w:val="none"/>
          <w:effect w:val="none"/>
        </w:rPr>
        <w:t>$5.5 million</w:t>
      </w:r>
      <w:r>
        <w:rPr>
          <w:rFonts w:ascii="inherit" w:hAnsi="inherit"/>
          <w:sz w:val="17"/>
        </w:rPr>
        <w:t xml:space="preserve">. The increase is mainly due to fees related to the Western Union agreement. In fiscal 2013 we began offering Western Union money transfer, money order and consumer bill payment services at some of our U.S. &amp; Canada locations and expect to expand to the majority of stores in the U.S. and Canada during the remainder of fiscal 2013. </w:t>
      </w:r>
    </w:p>
    <w:p>
      <w:pPr>
        <w:pStyle w:val="TextBody"/>
        <w:spacing w:lineRule="auto" w:line="288" w:before="0" w:after="0"/>
        <w:rPr>
          <w:sz w:val="17"/>
        </w:rPr>
      </w:pPr>
      <w:r>
        <w:rPr>
          <w:rFonts w:ascii="inherit" w:hAnsi="inherit"/>
          <w:sz w:val="17"/>
        </w:rPr>
        <w:t xml:space="preserve">Operations expense increased to </w:t>
      </w:r>
      <w:r>
        <w:rPr>
          <w:rFonts w:ascii="inherit" w:hAnsi="inherit"/>
          <w:strike w:val="false"/>
          <w:dstrike w:val="false"/>
          <w:color w:val="000000"/>
          <w:sz w:val="17"/>
          <w:u w:val="none"/>
          <w:effect w:val="none"/>
        </w:rPr>
        <w:t>$251.6 million</w:t>
      </w:r>
      <w:r>
        <w:rPr>
          <w:sz w:val="17"/>
        </w:rPr>
        <w:t xml:space="preserve"> </w:t>
      </w:r>
      <w:r>
        <w:rPr>
          <w:rFonts w:ascii="inherit" w:hAnsi="inherit"/>
          <w:sz w:val="17"/>
        </w:rPr>
        <w:t>(</w:t>
      </w:r>
      <w:r>
        <w:rPr>
          <w:rFonts w:ascii="inherit" w:hAnsi="inherit"/>
          <w:strike w:val="false"/>
          <w:dstrike w:val="false"/>
          <w:color w:val="000000"/>
          <w:sz w:val="17"/>
          <w:u w:val="none"/>
          <w:effect w:val="none"/>
        </w:rPr>
        <w:t>39%</w:t>
      </w:r>
      <w:r>
        <w:rPr>
          <w:sz w:val="17"/>
        </w:rPr>
        <w:t xml:space="preserve"> </w:t>
      </w:r>
      <w:r>
        <w:rPr>
          <w:rFonts w:ascii="inherit" w:hAnsi="inherit"/>
          <w:sz w:val="17"/>
        </w:rPr>
        <w:t xml:space="preserve">of revenues) in the current nine-month period from </w:t>
      </w:r>
      <w:r>
        <w:rPr>
          <w:rFonts w:ascii="inherit" w:hAnsi="inherit"/>
          <w:strike w:val="false"/>
          <w:dstrike w:val="false"/>
          <w:color w:val="000000"/>
          <w:sz w:val="17"/>
          <w:u w:val="none"/>
          <w:effect w:val="none"/>
        </w:rPr>
        <w:t>$216.7 million</w:t>
      </w:r>
      <w:r>
        <w:rPr>
          <w:sz w:val="17"/>
        </w:rPr>
        <w:t xml:space="preserve"> </w:t>
      </w:r>
      <w:r>
        <w:rPr>
          <w:rFonts w:ascii="inherit" w:hAnsi="inherit"/>
          <w:sz w:val="17"/>
        </w:rPr>
        <w:t>(</w:t>
      </w:r>
      <w:r>
        <w:rPr>
          <w:rFonts w:ascii="inherit" w:hAnsi="inherit"/>
          <w:strike w:val="false"/>
          <w:dstrike w:val="false"/>
          <w:color w:val="000000"/>
          <w:sz w:val="17"/>
          <w:u w:val="none"/>
          <w:effect w:val="none"/>
        </w:rPr>
        <w:t>34%</w:t>
      </w:r>
      <w:r>
        <w:rPr>
          <w:sz w:val="17"/>
        </w:rPr>
        <w:t xml:space="preserve"> </w:t>
      </w:r>
      <w:r>
        <w:rPr>
          <w:rFonts w:ascii="inherit" w:hAnsi="inherit"/>
          <w:sz w:val="17"/>
        </w:rPr>
        <w:t xml:space="preserve">of revenues) in the prior year nine-month period. The increase is due to higher operating costs resulting from new and acquired stores, decentralization, and costs associated with various business unit growth initiatives, such as EZOnline which were recorded as operations expense. Depreciation and amortization increased </w:t>
      </w:r>
      <w:r>
        <w:rPr>
          <w:rFonts w:ascii="inherit" w:hAnsi="inherit"/>
          <w:strike w:val="false"/>
          <w:dstrike w:val="false"/>
          <w:color w:val="000000"/>
          <w:sz w:val="17"/>
          <w:u w:val="none"/>
          <w:effect w:val="none"/>
        </w:rPr>
        <w:t>36%</w:t>
      </w:r>
      <w:r>
        <w:rPr>
          <w:rFonts w:ascii="inherit" w:hAnsi="inherit"/>
          <w:sz w:val="17"/>
        </w:rPr>
        <w:t xml:space="preserve">, or </w:t>
      </w:r>
      <w:r>
        <w:rPr>
          <w:rFonts w:ascii="inherit" w:hAnsi="inherit"/>
          <w:strike w:val="false"/>
          <w:dstrike w:val="false"/>
          <w:color w:val="000000"/>
          <w:sz w:val="17"/>
          <w:u w:val="none"/>
          <w:effect w:val="none"/>
        </w:rPr>
        <w:t>$3.5 million</w:t>
      </w:r>
      <w:r>
        <w:rPr>
          <w:rFonts w:ascii="inherit" w:hAnsi="inherit"/>
          <w:sz w:val="17"/>
        </w:rPr>
        <w:t xml:space="preserve">, from the prior year nine-month period to </w:t>
      </w:r>
      <w:r>
        <w:rPr>
          <w:rFonts w:ascii="inherit" w:hAnsi="inherit"/>
          <w:strike w:val="false"/>
          <w:dstrike w:val="false"/>
          <w:color w:val="000000"/>
          <w:sz w:val="17"/>
          <w:u w:val="none"/>
          <w:effect w:val="none"/>
        </w:rPr>
        <w:t>$13.4 million</w:t>
      </w:r>
      <w:r>
        <w:rPr>
          <w:rFonts w:ascii="inherit" w:hAnsi="inherit"/>
          <w:sz w:val="17"/>
        </w:rPr>
        <w:t xml:space="preserve">, mainly due to assets placed in service at new and acquired stores. </w:t>
      </w:r>
    </w:p>
    <w:p>
      <w:pPr>
        <w:pStyle w:val="TextBody"/>
        <w:spacing w:lineRule="auto" w:line="288" w:before="0" w:after="0"/>
        <w:rPr>
          <w:sz w:val="17"/>
        </w:rPr>
      </w:pPr>
      <w:r>
        <w:rPr>
          <w:rFonts w:ascii="inherit" w:hAnsi="inherit"/>
          <w:sz w:val="17"/>
        </w:rPr>
        <w:t xml:space="preserve">In the current nine-month period, U.S. &amp; Canada delivered a segment contribution of </w:t>
      </w:r>
      <w:r>
        <w:rPr>
          <w:rFonts w:ascii="inherit" w:hAnsi="inherit"/>
          <w:strike w:val="false"/>
          <w:dstrike w:val="false"/>
          <w:color w:val="000000"/>
          <w:sz w:val="17"/>
          <w:u w:val="none"/>
          <w:effect w:val="none"/>
        </w:rPr>
        <w:t>$135.5 million</w:t>
      </w:r>
      <w:r>
        <w:rPr>
          <w:rFonts w:ascii="inherit" w:hAnsi="inherit"/>
          <w:sz w:val="17"/>
        </w:rPr>
        <w:t xml:space="preserve">, a </w:t>
      </w:r>
      <w:r>
        <w:rPr>
          <w:rFonts w:ascii="inherit" w:hAnsi="inherit"/>
          <w:strike w:val="false"/>
          <w:dstrike w:val="false"/>
          <w:color w:val="000000"/>
          <w:sz w:val="17"/>
          <w:u w:val="none"/>
          <w:effect w:val="none"/>
        </w:rPr>
        <w:t>22%</w:t>
      </w:r>
      <w:r>
        <w:rPr>
          <w:sz w:val="17"/>
        </w:rPr>
        <w:t xml:space="preserve"> </w:t>
      </w:r>
      <w:r>
        <w:rPr>
          <w:rFonts w:ascii="inherit" w:hAnsi="inherit"/>
          <w:sz w:val="17"/>
        </w:rPr>
        <w:t xml:space="preserve">decrease compared to the prior year nine-month period, driven by the challenges related to jewelry merchandise sales and gold scrap sales. In the current nine-month period, the U.S. &amp; Canada segment's contribution represented </w:t>
      </w:r>
      <w:r>
        <w:rPr>
          <w:rFonts w:ascii="inherit" w:hAnsi="inherit"/>
          <w:strike w:val="false"/>
          <w:dstrike w:val="false"/>
          <w:color w:val="000000"/>
          <w:sz w:val="17"/>
          <w:u w:val="none"/>
          <w:effect w:val="none"/>
        </w:rPr>
        <w:t>78%</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87%</w:t>
      </w:r>
      <w:r>
        <w:rPr>
          <w:sz w:val="17"/>
        </w:rPr>
        <w:t xml:space="preserve"> </w:t>
      </w:r>
      <w:r>
        <w:rPr>
          <w:rFonts w:ascii="inherit" w:hAnsi="inherit"/>
          <w:sz w:val="17"/>
        </w:rPr>
        <w:t xml:space="preserve">in the prior year nine-month period. Our expansion outside of the U.S. and Canada, both through de novo and acquisitions, continues to diversify our revenues and earnings composition. While the U.S. &amp; Canada segment has experienced some challenges related to jewelry merchandise sales and gold scrap sales, the core elements of our business have continued to show strength.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67</w:t>
      </w:r>
      <w:r>
        <w:br w:type="page"/>
      </w:r>
    </w:p>
    <w:p>
      <w:pPr>
        <w:pStyle w:val="TextBody"/>
        <w:spacing w:lineRule="auto" w:line="288" w:before="0" w:after="0"/>
        <w:rPr/>
      </w:pPr>
      <w:hyperlink w:anchor="s6341541F7667DB742175CD29235C3997">
        <w:bookmarkStart w:id="57" w:name="sAC8AEF5FC7588F0808A1CD290D7E1C8B"/>
        <w:bookmarkEnd w:id="5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rPr>
          <w:rFonts w:ascii="inherit" w:hAnsi="inherit"/>
          <w:sz w:val="17"/>
        </w:rPr>
      </w:pPr>
      <w:r>
        <w:rPr>
          <w:rFonts w:ascii="inherit" w:hAnsi="inherit"/>
          <w:sz w:val="17"/>
        </w:rPr>
        <w:t>The following table presents selected financial data for the Latin America segment after translation to U.S. dollars from its functional currency of the Mexican peso:</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016"/>
        <w:gridCol w:w="182"/>
        <w:gridCol w:w="1286"/>
        <w:gridCol w:w="305"/>
        <w:gridCol w:w="150"/>
        <w:gridCol w:w="182"/>
        <w:gridCol w:w="1286"/>
        <w:gridCol w:w="79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16" w:type="dxa"/>
            <w:tcBorders/>
            <w:shd w:fill="auto" w:val="clear"/>
            <w:vAlign w:val="center"/>
          </w:tcPr>
          <w:p>
            <w:pPr>
              <w:pStyle w:val="TableContents"/>
              <w:spacing w:before="0" w:after="0"/>
              <w:ind w:left="0" w:right="0" w:firstLine="30"/>
              <w:jc w:val="left"/>
              <w:rPr/>
            </w:pPr>
            <w:r>
              <w:rPr/>
              <w:t> </w:t>
            </w:r>
          </w:p>
        </w:tc>
        <w:tc>
          <w:tcPr>
            <w:tcW w:w="418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016" w:type="dxa"/>
            <w:tcBorders/>
            <w:shd w:fill="auto" w:val="clear"/>
            <w:vAlign w:val="center"/>
          </w:tcPr>
          <w:p>
            <w:pPr>
              <w:pStyle w:val="TableContents"/>
              <w:spacing w:before="0" w:after="0"/>
              <w:ind w:left="0" w:right="0" w:firstLine="30"/>
              <w:jc w:val="left"/>
              <w:rPr/>
            </w:pPr>
            <w:r>
              <w:rPr/>
              <w:t> </w:t>
            </w:r>
          </w:p>
        </w:tc>
        <w:tc>
          <w:tcPr>
            <w:tcW w:w="17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0" w:type="dxa"/>
            <w:tcBorders/>
            <w:shd w:fill="auto" w:val="clear"/>
            <w:vAlign w:val="center"/>
          </w:tcPr>
          <w:p>
            <w:pPr>
              <w:pStyle w:val="TableContents"/>
              <w:spacing w:before="0" w:after="0"/>
              <w:ind w:left="0" w:right="0" w:firstLine="30"/>
              <w:rPr/>
            </w:pPr>
            <w:r>
              <w:rPr/>
              <w:t> </w:t>
            </w:r>
          </w:p>
        </w:tc>
        <w:tc>
          <w:tcPr>
            <w:tcW w:w="2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16" w:type="dxa"/>
            <w:tcBorders/>
            <w:shd w:fill="auto" w:val="clear"/>
            <w:vAlign w:val="center"/>
          </w:tcPr>
          <w:p>
            <w:pPr>
              <w:pStyle w:val="TableContents"/>
              <w:spacing w:before="0" w:after="0"/>
              <w:ind w:left="0" w:right="0" w:firstLine="30"/>
              <w:jc w:val="left"/>
              <w:rPr/>
            </w:pPr>
            <w:r>
              <w:rPr/>
              <w:t> </w:t>
            </w:r>
          </w:p>
        </w:tc>
        <w:tc>
          <w:tcPr>
            <w:tcW w:w="418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73"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266" w:type="dxa"/>
            <w:gridSpan w:val="3"/>
            <w:tcBorders/>
            <w:shd w:fill="CCEEFF" w:val="clear"/>
            <w:vAlign w:val="center"/>
          </w:tcPr>
          <w:p>
            <w:pPr>
              <w:pStyle w:val="TableContents"/>
              <w:spacing w:before="0" w:after="0"/>
              <w:ind w:left="0" w:right="0" w:firstLine="420"/>
              <w:rPr/>
            </w:pPr>
            <w:r>
              <w:rPr/>
              <w:t> </w:t>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shd w:fill="auto" w:val="clear"/>
            <w:vAlign w:val="center"/>
          </w:tcPr>
          <w:p>
            <w:pPr>
              <w:pStyle w:val="TableContents"/>
              <w:spacing w:before="0" w:after="0"/>
              <w:jc w:val="right"/>
              <w:rPr>
                <w:rFonts w:ascii="inherit" w:hAnsi="inherit"/>
                <w:sz w:val="17"/>
              </w:rPr>
            </w:pPr>
            <w:r>
              <w:rPr>
                <w:rFonts w:ascii="inherit" w:hAnsi="inherit"/>
                <w:sz w:val="17"/>
              </w:rPr>
              <w:t>43,685</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shd w:fill="auto" w:val="clear"/>
            <w:vAlign w:val="center"/>
          </w:tcPr>
          <w:p>
            <w:pPr>
              <w:pStyle w:val="TableContents"/>
              <w:spacing w:before="0" w:after="0"/>
              <w:jc w:val="right"/>
              <w:rPr>
                <w:rFonts w:ascii="inherit" w:hAnsi="inherit"/>
                <w:sz w:val="17"/>
              </w:rPr>
            </w:pPr>
            <w:r>
              <w:rPr>
                <w:rFonts w:ascii="inherit" w:hAnsi="inherit"/>
                <w:sz w:val="17"/>
              </w:rPr>
              <w:t>29,764</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4,802</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7,814</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22,610</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16,057</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36,583</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17,764</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2,880</w:t>
            </w:r>
          </w:p>
        </w:tc>
        <w:tc>
          <w:tcPr>
            <w:tcW w:w="3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763</w:t>
            </w:r>
          </w:p>
        </w:tc>
        <w:tc>
          <w:tcPr>
            <w:tcW w:w="798"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110,560</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72,162</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25,775</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15,939</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4,071</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5,959</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(1,024</w:t>
            </w:r>
          </w:p>
        </w:tc>
        <w:tc>
          <w:tcPr>
            <w:tcW w:w="3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1,140</w:t>
            </w:r>
          </w:p>
        </w:tc>
        <w:tc>
          <w:tcPr>
            <w:tcW w:w="798"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81,738</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49,124</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773"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46,483</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27,781</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Depreciation and amortization</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5,067</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4,907</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(gain) on sale or disposal of assets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net</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8,205</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1,755</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4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(238</w:t>
            </w:r>
          </w:p>
        </w:tc>
        <w:tc>
          <w:tcPr>
            <w:tcW w:w="3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7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22,203</w:t>
            </w:r>
          </w:p>
        </w:tc>
        <w:tc>
          <w:tcPr>
            <w:tcW w:w="30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14,681</w:t>
            </w:r>
          </w:p>
        </w:tc>
        <w:tc>
          <w:tcPr>
            <w:tcW w:w="7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73"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266" w:type="dxa"/>
            <w:gridSpan w:val="3"/>
            <w:tcBorders/>
            <w:shd w:fill="CCEEFF" w:val="clear"/>
            <w:vAlign w:val="center"/>
          </w:tcPr>
          <w:p>
            <w:pPr>
              <w:pStyle w:val="TableContents"/>
              <w:spacing w:before="0" w:after="0"/>
              <w:ind w:left="0" w:right="0" w:firstLine="420"/>
              <w:rPr/>
            </w:pPr>
            <w:r>
              <w:rPr/>
              <w:t> </w:t>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41.0</w:t>
            </w:r>
          </w:p>
        </w:tc>
        <w:tc>
          <w:tcPr>
            <w:tcW w:w="30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46.4</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w:t>
            </w:r>
          </w:p>
        </w:tc>
        <w:tc>
          <w:tcPr>
            <w:tcW w:w="305"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w:t>
            </w:r>
          </w:p>
        </w:tc>
        <w:tc>
          <w:tcPr>
            <w:tcW w:w="30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41.7</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shd w:fill="CCEEFF" w:val="clear"/>
            <w:vAlign w:val="center"/>
          </w:tcPr>
          <w:p>
            <w:pPr>
              <w:pStyle w:val="TableContents"/>
              <w:spacing w:before="0" w:after="0"/>
              <w:jc w:val="right"/>
              <w:rPr>
                <w:rFonts w:ascii="inherit" w:hAnsi="inherit"/>
                <w:sz w:val="17"/>
              </w:rPr>
            </w:pPr>
            <w:r>
              <w:rPr>
                <w:rFonts w:ascii="inherit" w:hAnsi="inherit"/>
                <w:sz w:val="17"/>
              </w:rPr>
              <w:t>67</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w:t>
            </w:r>
          </w:p>
        </w:tc>
        <w:tc>
          <w:tcPr>
            <w:tcW w:w="30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w:t>
            </w:r>
          </w:p>
        </w:tc>
        <w:tc>
          <w:tcPr>
            <w:tcW w:w="305"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w:t>
            </w:r>
          </w:p>
        </w:tc>
        <w:tc>
          <w:tcPr>
            <w:tcW w:w="7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7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rPr>
          <w:sz w:val="17"/>
        </w:rPr>
      </w:pPr>
      <w:r>
        <w:rPr>
          <w:rFonts w:ascii="inherit" w:hAnsi="inherit"/>
          <w:sz w:val="17"/>
        </w:rPr>
        <w:t xml:space="preserve">The average exchange rate used to translate Latin America’s current nine-month period results from Mexican pesos to U.S. dollars was 12.7 to 1, 5% weaker than the prior year nine-month period's rate of 13.4 to 1. Total revenues increased </w:t>
      </w:r>
      <w:r>
        <w:rPr>
          <w:rFonts w:ascii="inherit" w:hAnsi="inherit"/>
          <w:strike w:val="false"/>
          <w:dstrike w:val="false"/>
          <w:color w:val="000000"/>
          <w:sz w:val="17"/>
          <w:u w:val="none"/>
          <w:effect w:val="none"/>
        </w:rPr>
        <w:t>53%</w:t>
      </w:r>
      <w:r>
        <w:rPr>
          <w:sz w:val="17"/>
        </w:rPr>
        <w:t xml:space="preserve"> </w:t>
      </w:r>
      <w:r>
        <w:rPr>
          <w:rFonts w:ascii="inherit" w:hAnsi="inherit"/>
          <w:sz w:val="17"/>
        </w:rPr>
        <w:t xml:space="preserve">in U.S. dollars and 46% in peso terms. Total segment expenses increased </w:t>
      </w:r>
      <w:r>
        <w:rPr>
          <w:rFonts w:ascii="inherit" w:hAnsi="inherit"/>
          <w:strike w:val="false"/>
          <w:dstrike w:val="false"/>
          <w:color w:val="000000"/>
          <w:sz w:val="17"/>
          <w:u w:val="none"/>
          <w:effect w:val="none"/>
        </w:rPr>
        <w:t>73%</w:t>
      </w:r>
      <w:r>
        <w:rPr>
          <w:sz w:val="17"/>
        </w:rPr>
        <w:t xml:space="preserve"> </w:t>
      </w:r>
      <w:r>
        <w:rPr>
          <w:rFonts w:ascii="inherit" w:hAnsi="inherit"/>
          <w:sz w:val="17"/>
        </w:rPr>
        <w:t xml:space="preserve">in U.S. dollars and 67% increase in peso terms. </w:t>
      </w:r>
    </w:p>
    <w:p>
      <w:pPr>
        <w:pStyle w:val="TextBody"/>
        <w:spacing w:lineRule="auto" w:line="288" w:before="0" w:after="0"/>
        <w:rPr>
          <w:sz w:val="17"/>
        </w:rPr>
      </w:pPr>
      <w:r>
        <w:rPr>
          <w:rFonts w:ascii="inherit" w:hAnsi="inherit"/>
          <w:sz w:val="17"/>
        </w:rPr>
        <w:t xml:space="preserve">In the current nine-month period, we opened </w:t>
      </w:r>
      <w:r>
        <w:rPr>
          <w:rFonts w:ascii="inherit" w:hAnsi="inherit"/>
          <w:strike w:val="false"/>
          <w:dstrike w:val="false"/>
          <w:color w:val="000000"/>
          <w:sz w:val="17"/>
          <w:u w:val="none"/>
          <w:effect w:val="none"/>
        </w:rPr>
        <w:t>66</w:t>
      </w:r>
      <w:r>
        <w:rPr>
          <w:sz w:val="17"/>
        </w:rPr>
        <w:t xml:space="preserve"> </w:t>
      </w:r>
      <w:r>
        <w:rPr>
          <w:rFonts w:ascii="inherit" w:hAnsi="inherit"/>
          <w:sz w:val="17"/>
        </w:rPr>
        <w:t xml:space="preserve">de novo stores, and on November 1, 2012, we acquired a 51% interest in Renueva Comercial S.A. de C.V., a company headquartered in Mexico City and doing business under the name “TUYO.” TUYO owns and operates 19 buy/sell stores in Mexico City and the surrounding metropolitan area and is included in our current year to date results, bringing the total number of stores in the Latin America segment to </w:t>
      </w:r>
      <w:r>
        <w:rPr>
          <w:rFonts w:ascii="inherit" w:hAnsi="inherit"/>
          <w:strike w:val="false"/>
          <w:dstrike w:val="false"/>
          <w:color w:val="000000"/>
          <w:sz w:val="17"/>
          <w:u w:val="none"/>
          <w:effect w:val="none"/>
        </w:rPr>
        <w:t>363</w:t>
      </w:r>
      <w:r>
        <w:rPr>
          <w:rFonts w:ascii="inherit" w:hAnsi="inherit"/>
          <w:sz w:val="17"/>
        </w:rPr>
        <w:t xml:space="preserve">. As part of the Reorganization, we expect to close </w:t>
      </w:r>
      <w:r>
        <w:rPr>
          <w:rFonts w:ascii="inherit" w:hAnsi="inherit"/>
          <w:strike w:val="false"/>
          <w:dstrike w:val="false"/>
          <w:color w:val="000000"/>
          <w:sz w:val="17"/>
          <w:u w:val="none"/>
          <w:effect w:val="none"/>
        </w:rPr>
        <w:t>57</w:t>
      </w:r>
      <w:r>
        <w:rPr>
          <w:sz w:val="17"/>
        </w:rPr>
        <w:t xml:space="preserve"> </w:t>
      </w:r>
      <w:r>
        <w:rPr>
          <w:rFonts w:ascii="inherit" w:hAnsi="inherit"/>
          <w:sz w:val="17"/>
        </w:rPr>
        <w:t xml:space="preserve">pawn stores in the Latin America segment, bringing our stores in continuing operations to </w:t>
      </w:r>
      <w:r>
        <w:rPr>
          <w:rFonts w:ascii="inherit" w:hAnsi="inherit"/>
          <w:strike w:val="false"/>
          <w:dstrike w:val="false"/>
          <w:color w:val="000000"/>
          <w:sz w:val="17"/>
          <w:u w:val="none"/>
          <w:effect w:val="none"/>
        </w:rPr>
        <w:t>306</w:t>
      </w:r>
      <w:r>
        <w:rPr>
          <w:rFonts w:ascii="inherit" w:hAnsi="inherit"/>
          <w:sz w:val="17"/>
        </w:rPr>
        <w:t>.</w:t>
      </w:r>
    </w:p>
    <w:p>
      <w:pPr>
        <w:pStyle w:val="TextBody"/>
        <w:spacing w:lineRule="auto" w:line="288" w:before="0" w:after="0"/>
        <w:rPr>
          <w:rFonts w:ascii="inherit" w:hAnsi="inherit"/>
          <w:sz w:val="17"/>
        </w:rPr>
      </w:pPr>
      <w:r>
        <w:rPr>
          <w:rFonts w:ascii="inherit" w:hAnsi="inherit"/>
          <w:sz w:val="17"/>
        </w:rPr>
        <w:t xml:space="preserve">In the current nine-month period, Grupo Finmart, our 60% owned subsidiary, purchased 100% of the outstanding shares of Fondo ACH, S.A. de C.V., a specialty consumer finance company, for $3.5 million and a consumer loan portfolio for total consideration of approximately $1.3 million.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68</w:t>
      </w:r>
      <w:r>
        <w:br w:type="page"/>
      </w:r>
    </w:p>
    <w:p>
      <w:pPr>
        <w:pStyle w:val="TextBody"/>
        <w:spacing w:lineRule="auto" w:line="288" w:before="0" w:after="0"/>
        <w:rPr/>
      </w:pPr>
      <w:hyperlink w:anchor="s6341541F7667DB742175CD29235C3997">
        <w:bookmarkStart w:id="58" w:name="sAC8AEF5FC7588F0808A1CD290D7E1C8B1"/>
        <w:bookmarkEnd w:id="5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The Latin America segment's total revenues increased </w:t>
      </w:r>
      <w:r>
        <w:rPr>
          <w:rFonts w:ascii="inherit" w:hAnsi="inherit"/>
          <w:strike w:val="false"/>
          <w:dstrike w:val="false"/>
          <w:color w:val="000000"/>
          <w:sz w:val="17"/>
          <w:u w:val="none"/>
          <w:effect w:val="none"/>
        </w:rPr>
        <w:t>$38.4 million</w:t>
      </w:r>
      <w:r>
        <w:rPr>
          <w:rFonts w:ascii="inherit" w:hAnsi="inherit"/>
          <w:sz w:val="17"/>
        </w:rPr>
        <w:t xml:space="preserve">, or </w:t>
      </w:r>
      <w:r>
        <w:rPr>
          <w:rFonts w:ascii="inherit" w:hAnsi="inherit"/>
          <w:strike w:val="false"/>
          <w:dstrike w:val="false"/>
          <w:color w:val="000000"/>
          <w:sz w:val="17"/>
          <w:u w:val="none"/>
          <w:effect w:val="none"/>
        </w:rPr>
        <w:t>53%</w:t>
      </w:r>
      <w:r>
        <w:rPr>
          <w:rFonts w:ascii="inherit" w:hAnsi="inherit"/>
          <w:sz w:val="17"/>
        </w:rPr>
        <w:t xml:space="preserve">, in the current nine-month period to </w:t>
      </w:r>
      <w:r>
        <w:rPr>
          <w:rFonts w:ascii="inherit" w:hAnsi="inherit"/>
          <w:strike w:val="false"/>
          <w:dstrike w:val="false"/>
          <w:color w:val="000000"/>
          <w:sz w:val="17"/>
          <w:u w:val="none"/>
          <w:effect w:val="none"/>
        </w:rPr>
        <w:t>$110.6 million</w:t>
      </w:r>
      <w:r>
        <w:rPr>
          <w:rFonts w:ascii="inherit" w:hAnsi="inherit"/>
          <w:sz w:val="17"/>
        </w:rPr>
        <w:t xml:space="preserve">. Same store total revenues increased 11%, or $7.7 million, to $79.9 million, and new and acquired stores contributed $30.7 million. The overall increase in total revenues was partly due to the full period inclusion of revenues from our majority owned subsidiaries. Grupo Finmart's $38.3 million in total revenues in the current nine-month period compared to $18.2 million in the prior year nine-month period. Excluding Grupo Finmart and TUYO, total revenues increased $16.9 million due to a $9.5 million increase in merchandise and jewelry scrapping sales, a </w:t>
      </w:r>
      <w:r>
        <w:rPr>
          <w:rFonts w:ascii="inherit" w:hAnsi="inherit"/>
          <w:strike w:val="false"/>
          <w:dstrike w:val="false"/>
          <w:color w:val="000000"/>
          <w:sz w:val="17"/>
          <w:u w:val="none"/>
          <w:effect w:val="none"/>
        </w:rPr>
        <w:t>$6.6 million</w:t>
      </w:r>
      <w:r>
        <w:rPr>
          <w:sz w:val="17"/>
        </w:rPr>
        <w:t xml:space="preserve"> </w:t>
      </w:r>
      <w:r>
        <w:rPr>
          <w:rFonts w:ascii="inherit" w:hAnsi="inherit"/>
          <w:sz w:val="17"/>
        </w:rPr>
        <w:t>increase in pawn service charges and a $0.8 million increase in other revenues.</w:t>
      </w:r>
    </w:p>
    <w:p>
      <w:pPr>
        <w:pStyle w:val="TextBody"/>
        <w:spacing w:lineRule="auto" w:line="288" w:before="0" w:after="0"/>
        <w:rPr>
          <w:sz w:val="17"/>
        </w:rPr>
      </w:pPr>
      <w:r>
        <w:rPr>
          <w:rFonts w:ascii="inherit" w:hAnsi="inherit"/>
          <w:sz w:val="17"/>
        </w:rPr>
        <w:t xml:space="preserve">Latin America’s pawn service charge revenues increased </w:t>
      </w:r>
      <w:r>
        <w:rPr>
          <w:rFonts w:ascii="inherit" w:hAnsi="inherit"/>
          <w:strike w:val="false"/>
          <w:dstrike w:val="false"/>
          <w:color w:val="000000"/>
          <w:sz w:val="17"/>
          <w:u w:val="none"/>
          <w:effect w:val="none"/>
        </w:rPr>
        <w:t>$6.6 million</w:t>
      </w:r>
      <w:r>
        <w:rPr>
          <w:rFonts w:ascii="inherit" w:hAnsi="inherit"/>
          <w:sz w:val="17"/>
        </w:rPr>
        <w:t xml:space="preserve">, or </w:t>
      </w:r>
      <w:r>
        <w:rPr>
          <w:rFonts w:ascii="inherit" w:hAnsi="inherit"/>
          <w:strike w:val="false"/>
          <w:dstrike w:val="false"/>
          <w:color w:val="000000"/>
          <w:sz w:val="17"/>
          <w:u w:val="none"/>
          <w:effect w:val="none"/>
        </w:rPr>
        <w:t>41%</w:t>
      </w:r>
      <w:r>
        <w:rPr>
          <w:rFonts w:ascii="inherit" w:hAnsi="inherit"/>
          <w:sz w:val="17"/>
        </w:rPr>
        <w:t xml:space="preserve">, in the current nine-month period to </w:t>
      </w:r>
      <w:r>
        <w:rPr>
          <w:rFonts w:ascii="inherit" w:hAnsi="inherit"/>
          <w:strike w:val="false"/>
          <w:dstrike w:val="false"/>
          <w:color w:val="000000"/>
          <w:sz w:val="17"/>
          <w:u w:val="none"/>
          <w:effect w:val="none"/>
        </w:rPr>
        <w:t>$22.6 million</w:t>
      </w:r>
      <w:r>
        <w:rPr>
          <w:rFonts w:ascii="inherit" w:hAnsi="inherit"/>
          <w:sz w:val="17"/>
        </w:rPr>
        <w:t>. Same store pawn service charges increased 20%, or $3.2 million, to $19.3 million and new and acquired stores contributed $3.4 million. The increase was due to a 44% total and 22% same store increase in the average outstanding pawn loan balance during the period.</w:t>
      </w:r>
    </w:p>
    <w:p>
      <w:pPr>
        <w:pStyle w:val="TextBody"/>
        <w:spacing w:lineRule="auto" w:line="288" w:before="0" w:after="0"/>
        <w:rPr>
          <w:sz w:val="17"/>
        </w:rPr>
      </w:pPr>
      <w:r>
        <w:rPr>
          <w:rFonts w:ascii="inherit" w:hAnsi="inherit"/>
          <w:sz w:val="17"/>
        </w:rPr>
        <w:t xml:space="preserve">Merchandise gross profit increased </w:t>
      </w:r>
      <w:r>
        <w:rPr>
          <w:rFonts w:ascii="inherit" w:hAnsi="inherit"/>
          <w:strike w:val="false"/>
          <w:dstrike w:val="false"/>
          <w:color w:val="000000"/>
          <w:sz w:val="17"/>
          <w:u w:val="none"/>
          <w:effect w:val="none"/>
        </w:rPr>
        <w:t>$4.1 million</w:t>
      </w:r>
      <w:r>
        <w:rPr>
          <w:rFonts w:ascii="inherit" w:hAnsi="inherit"/>
          <w:sz w:val="17"/>
        </w:rPr>
        <w:t xml:space="preserve">, or </w:t>
      </w:r>
      <w:r>
        <w:rPr>
          <w:rFonts w:ascii="inherit" w:hAnsi="inherit"/>
          <w:strike w:val="false"/>
          <w:dstrike w:val="false"/>
          <w:color w:val="000000"/>
          <w:sz w:val="17"/>
          <w:u w:val="none"/>
          <w:effect w:val="none"/>
        </w:rPr>
        <w:t>30%</w:t>
      </w:r>
      <w:r>
        <w:rPr>
          <w:rFonts w:ascii="inherit" w:hAnsi="inherit"/>
          <w:sz w:val="17"/>
        </w:rPr>
        <w:t xml:space="preserve">, from the prior year nine-month period to </w:t>
      </w:r>
      <w:r>
        <w:rPr>
          <w:rFonts w:ascii="inherit" w:hAnsi="inherit"/>
          <w:strike w:val="false"/>
          <w:dstrike w:val="false"/>
          <w:color w:val="000000"/>
          <w:sz w:val="17"/>
          <w:u w:val="none"/>
          <w:effect w:val="none"/>
        </w:rPr>
        <w:t>$17.9 million</w:t>
      </w:r>
      <w:r>
        <w:rPr>
          <w:rFonts w:ascii="inherit" w:hAnsi="inherit"/>
          <w:sz w:val="17"/>
        </w:rPr>
        <w:t xml:space="preserve">. The increase was due to a $4.8 million, or 16%, same store sales increase and a $9.1 million increase in sales from new and acquired stores partially offset by a 5.4 percentage point decrease in gross margin to </w:t>
      </w:r>
      <w:r>
        <w:rPr>
          <w:rFonts w:ascii="inherit" w:hAnsi="inherit"/>
          <w:strike w:val="false"/>
          <w:dstrike w:val="false"/>
          <w:color w:val="000000"/>
          <w:sz w:val="17"/>
          <w:u w:val="none"/>
          <w:effect w:val="none"/>
        </w:rPr>
        <w:t>41%</w:t>
      </w:r>
      <w:r>
        <w:rPr>
          <w:rFonts w:ascii="inherit" w:hAnsi="inherit"/>
          <w:sz w:val="17"/>
        </w:rPr>
        <w:t xml:space="preserve">. The decrease in margin was due to a one-time inventory reserve adjustment in the prior year nine-month period and more aggressive pricing to move aged merchandise. </w:t>
      </w:r>
    </w:p>
    <w:p>
      <w:pPr>
        <w:pStyle w:val="TextBody"/>
        <w:spacing w:lineRule="auto" w:line="288" w:before="0" w:after="0"/>
        <w:rPr>
          <w:sz w:val="17"/>
        </w:rPr>
      </w:pPr>
      <w:r>
        <w:rPr>
          <w:rFonts w:ascii="inherit" w:hAnsi="inherit"/>
          <w:sz w:val="17"/>
        </w:rPr>
        <w:t xml:space="preserve">Gross profit on jewelry scrapping sales decreased </w:t>
      </w:r>
      <w:r>
        <w:rPr>
          <w:rFonts w:ascii="inherit" w:hAnsi="inherit"/>
          <w:strike w:val="false"/>
          <w:dstrike w:val="false"/>
          <w:color w:val="000000"/>
          <w:sz w:val="17"/>
          <w:u w:val="none"/>
          <w:effect w:val="none"/>
        </w:rPr>
        <w:t>$1.1 million</w:t>
      </w:r>
      <w:r>
        <w:rPr>
          <w:rFonts w:ascii="inherit" w:hAnsi="inherit"/>
          <w:sz w:val="17"/>
        </w:rPr>
        <w:t xml:space="preserve">, or </w:t>
      </w:r>
      <w:r>
        <w:rPr>
          <w:rFonts w:ascii="inherit" w:hAnsi="inherit"/>
          <w:strike w:val="false"/>
          <w:dstrike w:val="false"/>
          <w:color w:val="000000"/>
          <w:sz w:val="17"/>
          <w:u w:val="none"/>
          <w:effect w:val="none"/>
        </w:rPr>
        <w:t>61%</w:t>
      </w:r>
      <w:r>
        <w:rPr>
          <w:rFonts w:ascii="inherit" w:hAnsi="inherit"/>
          <w:sz w:val="17"/>
        </w:rPr>
        <w:t xml:space="preserve">, to </w:t>
      </w:r>
      <w:r>
        <w:rPr>
          <w:rFonts w:ascii="inherit" w:hAnsi="inherit"/>
          <w:strike w:val="false"/>
          <w:dstrike w:val="false"/>
          <w:color w:val="000000"/>
          <w:sz w:val="17"/>
          <w:u w:val="none"/>
          <w:effect w:val="none"/>
        </w:rPr>
        <w:t>$0.7 million</w:t>
      </w:r>
      <w:r>
        <w:rPr>
          <w:rFonts w:ascii="inherit" w:hAnsi="inherit"/>
          <w:sz w:val="17"/>
        </w:rPr>
        <w:t xml:space="preserve">. Jewelry scrapping revenues decreased </w:t>
      </w:r>
      <w:r>
        <w:rPr>
          <w:rFonts w:ascii="inherit" w:hAnsi="inherit"/>
          <w:strike w:val="false"/>
          <w:dstrike w:val="false"/>
          <w:color w:val="000000"/>
          <w:sz w:val="17"/>
          <w:u w:val="none"/>
          <w:effect w:val="none"/>
        </w:rPr>
        <w:t>$3.0 million</w:t>
      </w:r>
      <w:r>
        <w:rPr>
          <w:rFonts w:ascii="inherit" w:hAnsi="inherit"/>
          <w:sz w:val="17"/>
        </w:rPr>
        <w:t xml:space="preserve">, or </w:t>
      </w:r>
      <w:r>
        <w:rPr>
          <w:rFonts w:ascii="inherit" w:hAnsi="inherit"/>
          <w:strike w:val="false"/>
          <w:dstrike w:val="false"/>
          <w:color w:val="000000"/>
          <w:sz w:val="17"/>
          <w:u w:val="none"/>
          <w:effect w:val="none"/>
        </w:rPr>
        <w:t>39%</w:t>
      </w:r>
      <w:r>
        <w:rPr>
          <w:rFonts w:ascii="inherit" w:hAnsi="inherit"/>
          <w:sz w:val="17"/>
        </w:rPr>
        <w:t xml:space="preserve">, and jewelry scrapping cost of goods decreased </w:t>
      </w:r>
      <w:r>
        <w:rPr>
          <w:rFonts w:ascii="inherit" w:hAnsi="inherit"/>
          <w:strike w:val="false"/>
          <w:dstrike w:val="false"/>
          <w:color w:val="000000"/>
          <w:sz w:val="17"/>
          <w:u w:val="none"/>
          <w:effect w:val="none"/>
        </w:rPr>
        <w:t>$1.9 million</w:t>
      </w:r>
      <w:r>
        <w:rPr>
          <w:rFonts w:ascii="inherit" w:hAnsi="inherit"/>
          <w:sz w:val="17"/>
        </w:rPr>
        <w:t xml:space="preserve">, or </w:t>
      </w:r>
      <w:r>
        <w:rPr>
          <w:rFonts w:ascii="inherit" w:hAnsi="inherit"/>
          <w:strike w:val="false"/>
          <w:dstrike w:val="false"/>
          <w:color w:val="000000"/>
          <w:sz w:val="17"/>
          <w:u w:val="none"/>
          <w:effect w:val="none"/>
        </w:rPr>
        <w:t>32%</w:t>
      </w:r>
      <w:r>
        <w:rPr>
          <w:rFonts w:ascii="inherit" w:hAnsi="inherit"/>
          <w:sz w:val="17"/>
        </w:rPr>
        <w:t xml:space="preserve">. Both decreases were due to the strategic decision to not scrap jewelry in Latin America during the three months ended </w:t>
      </w:r>
      <w:r>
        <w:rPr>
          <w:rFonts w:ascii="inherit" w:hAnsi="inherit"/>
          <w:strike w:val="false"/>
          <w:dstrike w:val="false"/>
          <w:color w:val="000000"/>
          <w:sz w:val="17"/>
          <w:u w:val="none"/>
          <w:effect w:val="none"/>
        </w:rPr>
        <w:t>June 30, 2013</w:t>
      </w:r>
      <w:r>
        <w:rPr>
          <w:rFonts w:ascii="inherit" w:hAnsi="inherit"/>
          <w:sz w:val="17"/>
        </w:rPr>
        <w:t xml:space="preserve">. </w:t>
      </w:r>
    </w:p>
    <w:p>
      <w:pPr>
        <w:pStyle w:val="TextBody"/>
        <w:spacing w:lineRule="auto" w:line="288" w:before="0" w:after="0"/>
        <w:rPr>
          <w:sz w:val="17"/>
        </w:rPr>
      </w:pPr>
      <w:r>
        <w:rPr>
          <w:rFonts w:ascii="inherit" w:hAnsi="inherit"/>
          <w:sz w:val="17"/>
        </w:rPr>
        <w:t xml:space="preserve">The Grupo Finmart acquisition in the second quarter of fiscal 2012 marked our initial entry into the non-secured loan business in Mexico. In the current nine-month period, Grupo Finmart contributed consumer loan fees of </w:t>
      </w:r>
      <w:r>
        <w:rPr>
          <w:rFonts w:ascii="inherit" w:hAnsi="inherit"/>
          <w:strike w:val="false"/>
          <w:dstrike w:val="false"/>
          <w:color w:val="000000"/>
          <w:sz w:val="17"/>
          <w:u w:val="none"/>
          <w:effect w:val="none"/>
        </w:rPr>
        <w:t>$36.6 million</w:t>
      </w:r>
      <w:r>
        <w:rPr>
          <w:sz w:val="17"/>
        </w:rPr>
        <w:t xml:space="preserve"> </w:t>
      </w:r>
      <w:r>
        <w:rPr>
          <w:rFonts w:ascii="inherit" w:hAnsi="inherit"/>
          <w:sz w:val="17"/>
        </w:rPr>
        <w:t xml:space="preserve">and other revenues of $1.7 million, with a benefit in bad debt, due to the sale of past due loans and recoveries of loans previously written off to bad debt expense. </w:t>
      </w:r>
    </w:p>
    <w:p>
      <w:pPr>
        <w:pStyle w:val="TextBody"/>
        <w:spacing w:lineRule="auto" w:line="288" w:before="0" w:after="0"/>
        <w:rPr>
          <w:sz w:val="17"/>
        </w:rPr>
      </w:pPr>
      <w:r>
        <w:rPr>
          <w:rFonts w:ascii="inherit" w:hAnsi="inherit"/>
          <w:sz w:val="17"/>
        </w:rPr>
        <w:t xml:space="preserve">Operations expense increased to </w:t>
      </w:r>
      <w:r>
        <w:rPr>
          <w:rFonts w:ascii="inherit" w:hAnsi="inherit"/>
          <w:strike w:val="false"/>
          <w:dstrike w:val="false"/>
          <w:color w:val="000000"/>
          <w:sz w:val="17"/>
          <w:u w:val="none"/>
          <w:effect w:val="none"/>
        </w:rPr>
        <w:t>$46.5 million</w:t>
      </w:r>
      <w:r>
        <w:rPr>
          <w:sz w:val="17"/>
        </w:rPr>
        <w:t xml:space="preserve">  </w:t>
      </w:r>
      <w:r>
        <w:rPr>
          <w:rFonts w:ascii="inherit" w:hAnsi="inherit"/>
          <w:sz w:val="17"/>
        </w:rPr>
        <w:t>(</w:t>
      </w:r>
      <w:r>
        <w:rPr>
          <w:rFonts w:ascii="inherit" w:hAnsi="inherit"/>
          <w:strike w:val="false"/>
          <w:dstrike w:val="false"/>
          <w:color w:val="000000"/>
          <w:sz w:val="17"/>
          <w:u w:val="none"/>
          <w:effect w:val="none"/>
        </w:rPr>
        <w:t>42%</w:t>
      </w:r>
      <w:r>
        <w:rPr>
          <w:sz w:val="17"/>
        </w:rPr>
        <w:t xml:space="preserve"> </w:t>
      </w:r>
      <w:r>
        <w:rPr>
          <w:rFonts w:ascii="inherit" w:hAnsi="inherit"/>
          <w:sz w:val="17"/>
        </w:rPr>
        <w:t xml:space="preserve">of revenues) in the current nine-month period from </w:t>
      </w:r>
      <w:r>
        <w:rPr>
          <w:rFonts w:ascii="inherit" w:hAnsi="inherit"/>
          <w:strike w:val="false"/>
          <w:dstrike w:val="false"/>
          <w:color w:val="000000"/>
          <w:sz w:val="17"/>
          <w:u w:val="none"/>
          <w:effect w:val="none"/>
        </w:rPr>
        <w:t>$27.8 million</w:t>
      </w:r>
      <w:r>
        <w:rPr>
          <w:sz w:val="17"/>
        </w:rPr>
        <w:t xml:space="preserve"> </w:t>
      </w:r>
      <w:r>
        <w:rPr>
          <w:rFonts w:ascii="inherit" w:hAnsi="inherit"/>
          <w:sz w:val="17"/>
        </w:rPr>
        <w:t>(</w:t>
      </w:r>
      <w:r>
        <w:rPr>
          <w:rFonts w:ascii="inherit" w:hAnsi="inherit"/>
          <w:strike w:val="false"/>
          <w:dstrike w:val="false"/>
          <w:color w:val="000000"/>
          <w:sz w:val="17"/>
          <w:u w:val="none"/>
          <w:effect w:val="none"/>
        </w:rPr>
        <w:t>38%</w:t>
      </w:r>
      <w:r>
        <w:rPr>
          <w:sz w:val="17"/>
        </w:rPr>
        <w:t xml:space="preserve"> </w:t>
      </w:r>
      <w:r>
        <w:rPr>
          <w:rFonts w:ascii="inherit" w:hAnsi="inherit"/>
          <w:sz w:val="17"/>
        </w:rPr>
        <w:t>of revenues) in the prior year nine-month period. The increase is due to higher operating costs resulting from the addition of 69 Empeño Fácil stores since the prior year nine-month period and other growth initiatives. Depreciation and amortization increased</w:t>
      </w:r>
      <w:r>
        <w:rPr>
          <w:sz w:val="17"/>
        </w:rPr>
        <w:t xml:space="preserve"> </w:t>
      </w:r>
      <w:r>
        <w:rPr>
          <w:rFonts w:ascii="inherit" w:hAnsi="inherit"/>
          <w:b w:val="false"/>
          <w:strike w:val="false"/>
          <w:dstrike w:val="false"/>
          <w:color w:val="000000"/>
          <w:sz w:val="17"/>
          <w:u w:val="none"/>
          <w:effect w:val="none"/>
        </w:rPr>
        <w:t>3%</w:t>
      </w:r>
      <w:r>
        <w:rPr>
          <w:rFonts w:ascii="inherit" w:hAnsi="inherit"/>
          <w:sz w:val="17"/>
        </w:rPr>
        <w:t xml:space="preserve">, or </w:t>
      </w:r>
      <w:r>
        <w:rPr>
          <w:rFonts w:ascii="inherit" w:hAnsi="inherit"/>
          <w:strike w:val="false"/>
          <w:dstrike w:val="false"/>
          <w:color w:val="000000"/>
          <w:sz w:val="17"/>
          <w:u w:val="none"/>
          <w:effect w:val="none"/>
        </w:rPr>
        <w:t>$0.2 million</w:t>
      </w:r>
      <w:r>
        <w:rPr>
          <w:rFonts w:ascii="inherit" w:hAnsi="inherit"/>
          <w:sz w:val="17"/>
        </w:rPr>
        <w:t xml:space="preserve">, from the prior year nine-month period to </w:t>
      </w:r>
      <w:r>
        <w:rPr>
          <w:rFonts w:ascii="inherit" w:hAnsi="inherit"/>
          <w:strike w:val="false"/>
          <w:dstrike w:val="false"/>
          <w:color w:val="000000"/>
          <w:sz w:val="17"/>
          <w:u w:val="none"/>
          <w:effect w:val="none"/>
        </w:rPr>
        <w:t>$5.1 million</w:t>
      </w:r>
      <w:r>
        <w:rPr>
          <w:rFonts w:ascii="inherit" w:hAnsi="inherit"/>
          <w:sz w:val="17"/>
        </w:rPr>
        <w:t>, mainly due to new assets placed in service at new stores and acquisition related assets.</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$6.5 million</w:t>
      </w:r>
      <w:r>
        <w:rPr>
          <w:sz w:val="17"/>
        </w:rPr>
        <w:t xml:space="preserve"> </w:t>
      </w:r>
      <w:r>
        <w:rPr>
          <w:rFonts w:ascii="inherit" w:hAnsi="inherit"/>
          <w:sz w:val="17"/>
        </w:rPr>
        <w:t xml:space="preserve">increase in interest expense is due to debt acquired as part of the Grupo Finmart acquisition. 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Grupo Finmart had </w:t>
      </w:r>
      <w:r>
        <w:rPr>
          <w:rFonts w:ascii="inherit" w:hAnsi="inherit"/>
          <w:strike w:val="false"/>
          <w:dstrike w:val="false"/>
          <w:color w:val="000000"/>
          <w:sz w:val="17"/>
          <w:u w:val="none"/>
          <w:effect w:val="none"/>
        </w:rPr>
        <w:t>$109.4 million</w:t>
      </w:r>
      <w:r>
        <w:rPr>
          <w:sz w:val="17"/>
        </w:rPr>
        <w:t xml:space="preserve"> </w:t>
      </w:r>
      <w:r>
        <w:rPr>
          <w:rFonts w:ascii="inherit" w:hAnsi="inherit"/>
          <w:sz w:val="17"/>
        </w:rPr>
        <w:t xml:space="preserve">of third-party debt outstanding, which is non-recourse to EZCORP, at a weighted average interest rate of 11%, compared to </w:t>
      </w:r>
      <w:r>
        <w:rPr>
          <w:rFonts w:ascii="inherit" w:hAnsi="inherit"/>
          <w:strike w:val="false"/>
          <w:dstrike w:val="false"/>
          <w:color w:val="000000"/>
          <w:sz w:val="17"/>
          <w:u w:val="none"/>
          <w:effect w:val="none"/>
        </w:rPr>
        <w:t>$92.2 million</w:t>
      </w:r>
      <w:r>
        <w:rPr>
          <w:sz w:val="17"/>
        </w:rPr>
        <w:t xml:space="preserve"> </w:t>
      </w:r>
      <w:r>
        <w:rPr>
          <w:rFonts w:ascii="inherit" w:hAnsi="inherit"/>
          <w:sz w:val="17"/>
        </w:rPr>
        <w:t xml:space="preserve">of outstanding debt at a 17% weighted average interest rate at </w:t>
      </w:r>
      <w:r>
        <w:rPr>
          <w:rFonts w:ascii="inherit" w:hAnsi="inherit"/>
          <w:strike w:val="false"/>
          <w:dstrike w:val="false"/>
          <w:color w:val="000000"/>
          <w:sz w:val="17"/>
          <w:u w:val="none"/>
          <w:effect w:val="none"/>
        </w:rPr>
        <w:t>June 30, 2012</w:t>
      </w:r>
      <w:r>
        <w:rPr>
          <w:rFonts w:ascii="inherit" w:hAnsi="inherit"/>
          <w:sz w:val="17"/>
        </w:rPr>
        <w:t xml:space="preserve">. The decrease in interest rate is due to the refinancing of various debt instruments at lower interest rates. </w:t>
      </w:r>
    </w:p>
    <w:p>
      <w:pPr>
        <w:pStyle w:val="TextBody"/>
        <w:spacing w:lineRule="auto" w:line="288" w:before="0" w:after="0"/>
        <w:rPr>
          <w:sz w:val="17"/>
        </w:rPr>
      </w:pPr>
      <w:r>
        <w:rPr>
          <w:rFonts w:ascii="inherit" w:hAnsi="inherit"/>
          <w:sz w:val="17"/>
        </w:rPr>
        <w:t xml:space="preserve">In the current nine-month period, the </w:t>
      </w:r>
      <w:r>
        <w:rPr>
          <w:rFonts w:ascii="inherit" w:hAnsi="inherit"/>
          <w:strike w:val="false"/>
          <w:dstrike w:val="false"/>
          <w:color w:val="000000"/>
          <w:sz w:val="17"/>
          <w:u w:val="none"/>
          <w:effect w:val="none"/>
        </w:rPr>
        <w:t>$32.6 million</w:t>
      </w:r>
      <w:r>
        <w:rPr>
          <w:sz w:val="17"/>
        </w:rPr>
        <w:t xml:space="preserve"> </w:t>
      </w:r>
      <w:r>
        <w:rPr>
          <w:rFonts w:ascii="inherit" w:hAnsi="inherit"/>
          <w:sz w:val="17"/>
        </w:rPr>
        <w:t xml:space="preserve">increase in net revenues was partially offset by the $25.1 million higher expenses, resulting in a </w:t>
      </w:r>
      <w:r>
        <w:rPr>
          <w:rFonts w:ascii="inherit" w:hAnsi="inherit"/>
          <w:strike w:val="false"/>
          <w:dstrike w:val="false"/>
          <w:color w:val="000000"/>
          <w:sz w:val="17"/>
          <w:u w:val="none"/>
          <w:effect w:val="none"/>
        </w:rPr>
        <w:t>$7.5 million</w:t>
      </w:r>
      <w:r>
        <w:rPr>
          <w:sz w:val="17"/>
        </w:rPr>
        <w:t xml:space="preserve"> </w:t>
      </w:r>
      <w:r>
        <w:rPr>
          <w:rFonts w:ascii="inherit" w:hAnsi="inherit"/>
          <w:sz w:val="17"/>
        </w:rPr>
        <w:t xml:space="preserve">increase in contribution for the Latin America segment. For the current nine-month period, Latin America's segment contribution represented </w:t>
      </w:r>
      <w:r>
        <w:rPr>
          <w:rFonts w:ascii="inherit" w:hAnsi="inherit"/>
          <w:strike w:val="false"/>
          <w:dstrike w:val="false"/>
          <w:color w:val="000000"/>
          <w:sz w:val="17"/>
          <w:u w:val="none"/>
          <w:effect w:val="none"/>
        </w:rPr>
        <w:t>13%</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7%</w:t>
      </w:r>
      <w:r>
        <w:rPr>
          <w:sz w:val="17"/>
        </w:rPr>
        <w:t xml:space="preserve"> </w:t>
      </w:r>
      <w:r>
        <w:rPr>
          <w:rFonts w:ascii="inherit" w:hAnsi="inherit"/>
          <w:sz w:val="17"/>
        </w:rPr>
        <w:t xml:space="preserve">a year ago, making Latin America our fastest growing segment.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69</w:t>
      </w:r>
      <w:r>
        <w:br w:type="page"/>
      </w:r>
    </w:p>
    <w:p>
      <w:pPr>
        <w:pStyle w:val="TextBody"/>
        <w:spacing w:lineRule="auto" w:line="288" w:before="0" w:after="0"/>
        <w:rPr/>
      </w:pPr>
      <w:hyperlink w:anchor="s6341541F7667DB742175CD29235C3997">
        <w:bookmarkStart w:id="59" w:name="sBBC1792B65C292DD2334CD290D1BFC39"/>
        <w:bookmarkEnd w:id="5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for the Other International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352"/>
        <w:gridCol w:w="179"/>
        <w:gridCol w:w="1292"/>
        <w:gridCol w:w="243"/>
        <w:gridCol w:w="148"/>
        <w:gridCol w:w="179"/>
        <w:gridCol w:w="1292"/>
        <w:gridCol w:w="52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35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52" w:type="dxa"/>
            <w:tcBorders/>
            <w:shd w:fill="auto" w:val="clear"/>
            <w:vAlign w:val="center"/>
          </w:tcPr>
          <w:p>
            <w:pPr>
              <w:pStyle w:val="TableContents"/>
              <w:spacing w:before="0" w:after="0"/>
              <w:ind w:left="0" w:right="0" w:firstLine="30"/>
              <w:jc w:val="left"/>
              <w:rPr/>
            </w:pPr>
            <w:r>
              <w:rPr/>
              <w:t> </w:t>
            </w:r>
          </w:p>
        </w:tc>
        <w:tc>
          <w:tcPr>
            <w:tcW w:w="385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352" w:type="dxa"/>
            <w:tcBorders/>
            <w:shd w:fill="auto" w:val="clear"/>
            <w:vAlign w:val="center"/>
          </w:tcPr>
          <w:p>
            <w:pPr>
              <w:pStyle w:val="TableContents"/>
              <w:spacing w:before="0" w:after="0"/>
              <w:ind w:left="0" w:right="0" w:firstLine="30"/>
              <w:jc w:val="left"/>
              <w:rPr/>
            </w:pPr>
            <w:r>
              <w:rPr/>
              <w:t> </w:t>
            </w:r>
          </w:p>
        </w:tc>
        <w:tc>
          <w:tcPr>
            <w:tcW w:w="17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8" w:type="dxa"/>
            <w:tcBorders/>
            <w:shd w:fill="auto" w:val="clear"/>
            <w:vAlign w:val="center"/>
          </w:tcPr>
          <w:p>
            <w:pPr>
              <w:pStyle w:val="TableContents"/>
              <w:spacing w:before="0" w:after="0"/>
              <w:ind w:left="0" w:right="0" w:firstLine="30"/>
              <w:rPr/>
            </w:pPr>
            <w:r>
              <w:rPr/>
              <w:t> </w:t>
            </w:r>
          </w:p>
        </w:tc>
        <w:tc>
          <w:tcPr>
            <w:tcW w:w="19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352" w:type="dxa"/>
            <w:tcBorders/>
            <w:shd w:fill="auto" w:val="clear"/>
            <w:vAlign w:val="center"/>
          </w:tcPr>
          <w:p>
            <w:pPr>
              <w:pStyle w:val="TableContents"/>
              <w:spacing w:before="0" w:after="0"/>
              <w:ind w:left="0" w:right="0" w:firstLine="30"/>
              <w:jc w:val="left"/>
              <w:rPr/>
            </w:pPr>
            <w:r>
              <w:rPr/>
              <w:t> </w:t>
            </w:r>
          </w:p>
        </w:tc>
        <w:tc>
          <w:tcPr>
            <w:tcW w:w="3853"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2" w:type="dxa"/>
            <w:tcBorders/>
            <w:shd w:fill="CCEEFF" w:val="clear"/>
            <w:vAlign w:val="center"/>
          </w:tcPr>
          <w:p>
            <w:pPr>
              <w:pStyle w:val="TableContents"/>
              <w:spacing w:before="0" w:after="0"/>
              <w:jc w:val="right"/>
              <w:rPr>
                <w:rFonts w:ascii="inherit" w:hAnsi="inherit"/>
                <w:sz w:val="17"/>
              </w:rPr>
            </w:pPr>
            <w:r>
              <w:rPr>
                <w:rFonts w:ascii="inherit" w:hAnsi="inherit"/>
                <w:sz w:val="17"/>
              </w:rPr>
              <w:t>19,663</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2" w:type="dxa"/>
            <w:tcBorders/>
            <w:shd w:fill="CCEEFF" w:val="clear"/>
            <w:vAlign w:val="center"/>
          </w:tcPr>
          <w:p>
            <w:pPr>
              <w:pStyle w:val="TableContents"/>
              <w:spacing w:before="0" w:after="0"/>
              <w:jc w:val="right"/>
              <w:rPr>
                <w:rFonts w:ascii="inherit" w:hAnsi="inherit"/>
                <w:sz w:val="17"/>
              </w:rPr>
            </w:pPr>
            <w:r>
              <w:rPr>
                <w:rFonts w:ascii="inherit" w:hAnsi="inherit"/>
                <w:sz w:val="17"/>
              </w:rPr>
              <w:t>4,086</w:t>
            </w:r>
          </w:p>
        </w:tc>
        <w:tc>
          <w:tcPr>
            <w:tcW w:w="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1,820</w:t>
            </w:r>
          </w:p>
        </w:tc>
        <w:tc>
          <w:tcPr>
            <w:tcW w:w="2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520"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21,483</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4,244</w:t>
            </w:r>
          </w:p>
        </w:tc>
        <w:tc>
          <w:tcPr>
            <w:tcW w:w="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8,157</w:t>
            </w:r>
          </w:p>
        </w:tc>
        <w:tc>
          <w:tcPr>
            <w:tcW w:w="2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1,466</w:t>
            </w:r>
          </w:p>
        </w:tc>
        <w:tc>
          <w:tcPr>
            <w:tcW w:w="520"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13,326</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w:t>
            </w:r>
          </w:p>
        </w:tc>
        <w:tc>
          <w:tcPr>
            <w:tcW w:w="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714"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1991" w:type="dxa"/>
            <w:gridSpan w:val="3"/>
            <w:tcBorders/>
            <w:shd w:fill="auto" w:val="clear"/>
            <w:vAlign w:val="center"/>
          </w:tcPr>
          <w:p>
            <w:pPr>
              <w:pStyle w:val="TableContents"/>
              <w:spacing w:before="0" w:after="0"/>
              <w:ind w:left="0" w:right="0" w:firstLine="420"/>
              <w:rPr/>
            </w:pPr>
            <w:r>
              <w:rPr/>
              <w:t> </w:t>
            </w:r>
          </w:p>
        </w:tc>
      </w:tr>
      <w:tr>
        <w:trPr/>
        <w:tc>
          <w:tcPr>
            <w:tcW w:w="6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11,270</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3,580</w:t>
            </w:r>
          </w:p>
        </w:tc>
        <w:tc>
          <w:tcPr>
            <w:tcW w:w="52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w:t>
            </w:r>
          </w:p>
        </w:tc>
        <w:tc>
          <w:tcPr>
            <w:tcW w:w="52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5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471" w:type="dxa"/>
            <w:gridSpan w:val="2"/>
            <w:tcBorders/>
            <w:shd w:fill="CCEEFF" w:val="clear"/>
            <w:vAlign w:val="center"/>
          </w:tcPr>
          <w:p>
            <w:pPr>
              <w:pStyle w:val="TableContents"/>
              <w:spacing w:before="0" w:after="0"/>
              <w:jc w:val="right"/>
              <w:rPr/>
            </w:pPr>
            <w:r>
              <w:rPr/>
              <w:t>—</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52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52"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net</w:t>
            </w:r>
          </w:p>
        </w:tc>
        <w:tc>
          <w:tcPr>
            <w:tcW w:w="14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4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52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(13,491</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CCEEFF" w:val="clear"/>
            <w:vAlign w:val="center"/>
          </w:tcPr>
          <w:p>
            <w:pPr>
              <w:pStyle w:val="TableContents"/>
              <w:spacing w:before="0" w:after="0"/>
              <w:ind w:left="0" w:right="0" w:firstLine="30"/>
              <w:rPr/>
            </w:pPr>
            <w:r>
              <w:rPr/>
              <w:t> </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52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352"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w:t>
            </w:r>
          </w:p>
        </w:tc>
        <w:tc>
          <w:tcPr>
            <w:tcW w:w="14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w:t>
            </w:r>
          </w:p>
        </w:tc>
        <w:tc>
          <w:tcPr>
            <w:tcW w:w="2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4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w:t>
            </w:r>
          </w:p>
        </w:tc>
        <w:tc>
          <w:tcPr>
            <w:tcW w:w="5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7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15,280</w:t>
            </w:r>
          </w:p>
        </w:tc>
        <w:tc>
          <w:tcPr>
            <w:tcW w:w="2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12,286</w:t>
            </w:r>
          </w:p>
        </w:tc>
        <w:tc>
          <w:tcPr>
            <w:tcW w:w="5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14"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1991" w:type="dxa"/>
            <w:gridSpan w:val="3"/>
            <w:tcBorders/>
            <w:shd w:fill="auto" w:val="clear"/>
            <w:vAlign w:val="center"/>
          </w:tcPr>
          <w:p>
            <w:pPr>
              <w:pStyle w:val="TableContents"/>
              <w:spacing w:before="0" w:after="0"/>
              <w:ind w:left="0" w:right="0" w:firstLine="420"/>
              <w:rPr/>
            </w:pPr>
            <w:r>
              <w:rPr/>
              <w:t> </w:t>
            </w:r>
          </w:p>
        </w:tc>
      </w:tr>
      <w:tr>
        <w:trPr/>
        <w:tc>
          <w:tcPr>
            <w:tcW w:w="6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 of consumer loan fees</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CCEEFF" w:val="clear"/>
            <w:vAlign w:val="center"/>
          </w:tcPr>
          <w:p>
            <w:pPr>
              <w:pStyle w:val="TableContents"/>
              <w:spacing w:before="0" w:after="0"/>
              <w:ind w:left="0" w:right="0" w:firstLine="30"/>
              <w:rPr/>
            </w:pPr>
            <w:r>
              <w:rPr/>
              <w:t> </w:t>
            </w:r>
          </w:p>
        </w:tc>
        <w:tc>
          <w:tcPr>
            <w:tcW w:w="14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w:t>
            </w:r>
          </w:p>
        </w:tc>
        <w:tc>
          <w:tcPr>
            <w:tcW w:w="52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sz w:val="17"/>
        </w:rPr>
      </w:pPr>
      <w:r>
        <w:rPr>
          <w:rFonts w:ascii="inherit" w:hAnsi="inherit"/>
          <w:sz w:val="17"/>
        </w:rPr>
        <w:t xml:space="preserve">On April 14, 2012, we acquired a 72% interest in Cash Genie, an online lending business in the U.K., and on November 14, 2012, we acquired an additional 23% interest, increasing our ownership percentage to 95%, with the remaining 5% held by local management. On August 1, 2013, we acquired the remaining ordinary shares that were held by local management for </w:t>
      </w:r>
      <w:r>
        <w:rPr>
          <w:rFonts w:ascii="inherit" w:hAnsi="inherit"/>
          <w:strike w:val="false"/>
          <w:dstrike w:val="false"/>
          <w:color w:val="000000"/>
          <w:sz w:val="17"/>
          <w:u w:val="none"/>
          <w:effect w:val="none"/>
        </w:rPr>
        <w:t>$0.6 million</w:t>
      </w:r>
      <w:r>
        <w:rPr>
          <w:rFonts w:ascii="inherit" w:hAnsi="inherit"/>
          <w:sz w:val="17"/>
        </w:rPr>
        <w:t xml:space="preserve">, and we now own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Cash Genie's ordinary shares. </w:t>
      </w:r>
    </w:p>
    <w:p>
      <w:pPr>
        <w:pStyle w:val="TextBody"/>
        <w:spacing w:lineRule="auto" w:line="288" w:before="0" w:after="0"/>
        <w:rPr>
          <w:sz w:val="17"/>
        </w:rPr>
      </w:pPr>
      <w:r>
        <w:rPr>
          <w:rFonts w:ascii="inherit" w:hAnsi="inherit"/>
          <w:sz w:val="17"/>
        </w:rPr>
        <w:t xml:space="preserve">In the current nine-month period, Cash Genie's consumer loan fees were </w:t>
      </w:r>
      <w:r>
        <w:rPr>
          <w:rFonts w:ascii="inherit" w:hAnsi="inherit"/>
          <w:strike w:val="false"/>
          <w:dstrike w:val="false"/>
          <w:color w:val="000000"/>
          <w:sz w:val="17"/>
          <w:u w:val="none"/>
          <w:effect w:val="none"/>
        </w:rPr>
        <w:t>$19.7 million</w:t>
      </w:r>
      <w:r>
        <w:rPr>
          <w:sz w:val="17"/>
        </w:rPr>
        <w:t xml:space="preserve"> </w:t>
      </w:r>
      <w:r>
        <w:rPr>
          <w:rFonts w:ascii="inherit" w:hAnsi="inherit"/>
          <w:sz w:val="17"/>
        </w:rPr>
        <w:t xml:space="preserve">with bad debt as a percentage of fees at </w:t>
      </w:r>
      <w:r>
        <w:rPr>
          <w:rFonts w:ascii="inherit" w:hAnsi="inherit"/>
          <w:strike w:val="false"/>
          <w:dstrike w:val="false"/>
          <w:color w:val="000000"/>
          <w:sz w:val="17"/>
          <w:u w:val="none"/>
          <w:effect w:val="none"/>
        </w:rPr>
        <w:t>41%</w:t>
      </w:r>
      <w:r>
        <w:rPr>
          <w:rFonts w:ascii="inherit" w:hAnsi="inherit"/>
          <w:sz w:val="17"/>
        </w:rPr>
        <w:t xml:space="preserve">. The segment's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in other revenues represent fees from a consulting agreement with Albermarle &amp; Bond. Under the terms of the agreement we were engaged to assess, identify and implement improvements in their gold and diamond supply chains and labor optimization. </w:t>
      </w:r>
    </w:p>
    <w:p>
      <w:pPr>
        <w:pStyle w:val="TextBody"/>
        <w:spacing w:lineRule="auto" w:line="288" w:before="0" w:after="0"/>
        <w:rPr>
          <w:sz w:val="17"/>
        </w:rPr>
      </w:pPr>
      <w:r>
        <w:rPr>
          <w:rFonts w:ascii="inherit" w:hAnsi="inherit"/>
          <w:sz w:val="17"/>
        </w:rPr>
        <w:t xml:space="preserve">Operations expense during the current quarter was </w:t>
      </w:r>
      <w:r>
        <w:rPr>
          <w:rFonts w:ascii="inherit" w:hAnsi="inherit"/>
          <w:strike w:val="false"/>
          <w:dstrike w:val="false"/>
          <w:color w:val="000000"/>
          <w:sz w:val="17"/>
          <w:u w:val="none"/>
          <w:effect w:val="none"/>
        </w:rPr>
        <w:t>$11.3 million</w:t>
      </w:r>
      <w:r>
        <w:rPr>
          <w:sz w:val="17"/>
        </w:rPr>
        <w:t xml:space="preserve"> </w:t>
      </w:r>
      <w:r>
        <w:rPr>
          <w:rFonts w:ascii="inherit" w:hAnsi="inherit"/>
          <w:sz w:val="17"/>
        </w:rPr>
        <w:t xml:space="preserve">with depreciation and amortization at </w:t>
      </w:r>
      <w:r>
        <w:rPr>
          <w:rFonts w:ascii="inherit" w:hAnsi="inherit"/>
          <w:strike w:val="false"/>
          <w:dstrike w:val="false"/>
          <w:color w:val="000000"/>
          <w:sz w:val="17"/>
          <w:u w:val="none"/>
          <w:effect w:val="none"/>
        </w:rPr>
        <w:t>$0.3 million</w:t>
      </w:r>
      <w:r>
        <w:rPr>
          <w:rFonts w:ascii="inherit" w:hAnsi="inherit"/>
          <w:sz w:val="17"/>
        </w:rPr>
        <w:t xml:space="preserve">. </w:t>
      </w:r>
    </w:p>
    <w:p>
      <w:pPr>
        <w:pStyle w:val="TextBody"/>
        <w:spacing w:lineRule="auto" w:line="288" w:before="0" w:after="0"/>
        <w:rPr>
          <w:sz w:val="17"/>
        </w:rPr>
      </w:pPr>
      <w:r>
        <w:rPr>
          <w:rFonts w:ascii="inherit" w:hAnsi="inherit"/>
          <w:sz w:val="17"/>
        </w:rPr>
        <w:t xml:space="preserve">Our equity in the net income of unconsolidated affiliates increased </w:t>
      </w:r>
      <w:r>
        <w:rPr>
          <w:rFonts w:ascii="inherit" w:hAnsi="inherit"/>
          <w:strike w:val="false"/>
          <w:dstrike w:val="false"/>
          <w:color w:val="000000"/>
          <w:sz w:val="17"/>
          <w:u w:val="none"/>
          <w:effect w:val="none"/>
        </w:rPr>
        <w:t>$0.6 million</w:t>
      </w:r>
      <w:r>
        <w:rPr>
          <w:rFonts w:ascii="inherit" w:hAnsi="inherit"/>
          <w:sz w:val="17"/>
        </w:rPr>
        <w:t xml:space="preserve">, or </w:t>
      </w:r>
      <w:r>
        <w:rPr>
          <w:rFonts w:ascii="inherit" w:hAnsi="inherit"/>
          <w:strike w:val="false"/>
          <w:dstrike w:val="false"/>
          <w:color w:val="000000"/>
          <w:sz w:val="17"/>
          <w:u w:val="none"/>
          <w:effect w:val="none"/>
        </w:rPr>
        <w:t>4%</w:t>
      </w:r>
      <w:r>
        <w:rPr>
          <w:rFonts w:ascii="inherit" w:hAnsi="inherit"/>
          <w:sz w:val="17"/>
        </w:rPr>
        <w:t xml:space="preserve">, from the prior year to </w:t>
      </w:r>
      <w:r>
        <w:rPr>
          <w:rFonts w:ascii="inherit" w:hAnsi="inherit"/>
          <w:strike w:val="false"/>
          <w:dstrike w:val="false"/>
          <w:color w:val="000000"/>
          <w:sz w:val="17"/>
          <w:u w:val="none"/>
          <w:effect w:val="none"/>
        </w:rPr>
        <w:t>$13.5 million</w:t>
      </w:r>
      <w:r>
        <w:rPr>
          <w:rFonts w:ascii="inherit" w:hAnsi="inherit"/>
          <w:sz w:val="17"/>
        </w:rPr>
        <w:t xml:space="preserve">. This increase is due to strong performance by Cash Converters International and partially offset by Albemarle &amp; Bond. In the current nine-month period, we acquired an additional </w:t>
      </w:r>
      <w:r>
        <w:rPr>
          <w:rFonts w:ascii="inherit" w:hAnsi="inherit"/>
          <w:strike w:val="false"/>
          <w:dstrike w:val="false"/>
          <w:color w:val="000000"/>
          <w:sz w:val="17"/>
          <w:u w:val="none"/>
          <w:effect w:val="none"/>
        </w:rPr>
        <w:t>12,430,000</w:t>
      </w:r>
      <w:r>
        <w:rPr>
          <w:sz w:val="17"/>
        </w:rPr>
        <w:t xml:space="preserve"> </w:t>
      </w:r>
      <w:r>
        <w:rPr>
          <w:rFonts w:ascii="inherit" w:hAnsi="inherit"/>
          <w:sz w:val="17"/>
        </w:rPr>
        <w:t xml:space="preserve">ordinary shares of Cash Converters International as part of a share placement, maintaining our ownership percentage of approximately </w:t>
      </w:r>
      <w:r>
        <w:rPr>
          <w:rFonts w:ascii="inherit" w:hAnsi="inherit"/>
          <w:strike w:val="false"/>
          <w:dstrike w:val="false"/>
          <w:color w:val="000000"/>
          <w:sz w:val="17"/>
          <w:u w:val="none"/>
          <w:effect w:val="none"/>
        </w:rPr>
        <w:t>33%</w:t>
      </w:r>
      <w:r>
        <w:rPr>
          <w:rFonts w:ascii="inherit" w:hAnsi="inherit"/>
          <w:sz w:val="17"/>
        </w:rPr>
        <w:t xml:space="preserve">. We expect the new funds to be used to finance expansion and drive future earnings growth. </w:t>
      </w:r>
    </w:p>
    <w:p>
      <w:pPr>
        <w:pStyle w:val="TextBody"/>
        <w:spacing w:lineRule="auto" w:line="288" w:before="0" w:after="0"/>
        <w:rPr>
          <w:sz w:val="17"/>
        </w:rPr>
      </w:pPr>
      <w:r>
        <w:rPr>
          <w:rFonts w:ascii="inherit" w:hAnsi="inherit"/>
          <w:sz w:val="17"/>
        </w:rPr>
        <w:t xml:space="preserve">In the current nine-month period, the </w:t>
      </w:r>
      <w:r>
        <w:rPr>
          <w:rFonts w:ascii="inherit" w:hAnsi="inherit"/>
          <w:strike w:val="false"/>
          <w:dstrike w:val="false"/>
          <w:color w:val="000000"/>
          <w:sz w:val="17"/>
          <w:u w:val="none"/>
          <w:effect w:val="none"/>
        </w:rPr>
        <w:t>$10.5 million</w:t>
      </w:r>
      <w:r>
        <w:rPr>
          <w:sz w:val="17"/>
        </w:rPr>
        <w:t xml:space="preserve"> </w:t>
      </w:r>
      <w:r>
        <w:rPr>
          <w:rFonts w:ascii="inherit" w:hAnsi="inherit"/>
          <w:sz w:val="17"/>
        </w:rPr>
        <w:t xml:space="preserve">increase in net revenues and the </w:t>
      </w:r>
      <w:r>
        <w:rPr>
          <w:rFonts w:ascii="inherit" w:hAnsi="inherit"/>
          <w:strike w:val="false"/>
          <w:dstrike w:val="false"/>
          <w:color w:val="000000"/>
          <w:sz w:val="17"/>
          <w:u w:val="none"/>
          <w:effect w:val="none"/>
        </w:rPr>
        <w:t>$0.6 million</w:t>
      </w:r>
      <w:r>
        <w:rPr>
          <w:sz w:val="17"/>
        </w:rPr>
        <w:t xml:space="preserve"> </w:t>
      </w:r>
      <w:r>
        <w:rPr>
          <w:rFonts w:ascii="inherit" w:hAnsi="inherit"/>
          <w:sz w:val="17"/>
        </w:rPr>
        <w:t xml:space="preserve">million increase in our equity in the net income of unconsolidated affiliates were partially offset by a </w:t>
      </w:r>
      <w:r>
        <w:rPr>
          <w:rFonts w:ascii="inherit" w:hAnsi="inherit"/>
          <w:strike w:val="false"/>
          <w:dstrike w:val="false"/>
          <w:color w:val="000000"/>
          <w:sz w:val="17"/>
          <w:u w:val="none"/>
          <w:effect w:val="none"/>
        </w:rPr>
        <w:t>$7.7 million</w:t>
      </w:r>
      <w:r>
        <w:rPr>
          <w:sz w:val="17"/>
        </w:rPr>
        <w:t xml:space="preserve"> </w:t>
      </w:r>
      <w:r>
        <w:rPr>
          <w:rFonts w:ascii="inherit" w:hAnsi="inherit"/>
          <w:sz w:val="17"/>
        </w:rPr>
        <w:t xml:space="preserve">increase in operations expense and a $0.4 million other smaller items. Segment contribution from the Other International segment increased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$15.3 million</w:t>
      </w:r>
      <w:r>
        <w:rPr>
          <w:rFonts w:ascii="inherit" w:hAnsi="inherit"/>
          <w:sz w:val="17"/>
        </w:rPr>
        <w:t xml:space="preserve">. For the current nine-month period, the segment's contribution represents </w:t>
      </w:r>
      <w:r>
        <w:rPr>
          <w:rFonts w:ascii="inherit" w:hAnsi="inherit"/>
          <w:strike w:val="false"/>
          <w:dstrike w:val="false"/>
          <w:color w:val="000000"/>
          <w:sz w:val="17"/>
          <w:u w:val="none"/>
          <w:effect w:val="none"/>
        </w:rPr>
        <w:t>9%</w:t>
      </w:r>
      <w:r>
        <w:rPr>
          <w:sz w:val="17"/>
        </w:rPr>
        <w:t xml:space="preserve"> </w:t>
      </w:r>
      <w:r>
        <w:rPr>
          <w:rFonts w:ascii="inherit" w:hAnsi="inherit"/>
          <w:sz w:val="17"/>
        </w:rPr>
        <w:t xml:space="preserve">of total contribution compared to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in the prior year nine-month period.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70</w:t>
      </w:r>
      <w:r>
        <w:br w:type="page"/>
      </w:r>
    </w:p>
    <w:p>
      <w:pPr>
        <w:pStyle w:val="TextBody"/>
        <w:spacing w:lineRule="auto" w:line="288" w:before="0" w:after="0"/>
        <w:rPr/>
      </w:pPr>
      <w:hyperlink w:anchor="s6341541F7667DB742175CD29235C3997">
        <w:bookmarkStart w:id="60" w:name="s0B3AE7B6145C497351CCCD290EA0EEDB"/>
        <w:bookmarkEnd w:id="60"/>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Consolidated Items</w:t>
      </w:r>
    </w:p>
    <w:p>
      <w:pPr>
        <w:pStyle w:val="TextBody"/>
        <w:spacing w:lineRule="auto" w:line="288" w:before="0" w:after="0"/>
        <w:rPr>
          <w:rFonts w:ascii="inherit" w:hAnsi="inherit"/>
          <w:sz w:val="17"/>
        </w:rPr>
      </w:pPr>
      <w:r>
        <w:rPr>
          <w:rFonts w:ascii="inherit" w:hAnsi="inherit"/>
          <w:sz w:val="17"/>
        </w:rPr>
        <w:t>The following table reconciles our consolidated segment contribution discussed above to net income, including items that affect our consolidated financial results but are not allocated among segments: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265"/>
        <w:gridCol w:w="178"/>
        <w:gridCol w:w="1376"/>
        <w:gridCol w:w="165"/>
        <w:gridCol w:w="148"/>
        <w:gridCol w:w="178"/>
        <w:gridCol w:w="1376"/>
        <w:gridCol w:w="51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26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65" w:type="dxa"/>
            <w:tcBorders/>
            <w:shd w:fill="auto" w:val="clear"/>
            <w:vAlign w:val="center"/>
          </w:tcPr>
          <w:p>
            <w:pPr>
              <w:pStyle w:val="TableContents"/>
              <w:spacing w:before="0" w:after="0"/>
              <w:ind w:left="0" w:right="0" w:firstLine="30"/>
              <w:jc w:val="left"/>
              <w:rPr/>
            </w:pPr>
            <w:r>
              <w:rPr/>
              <w:t> </w:t>
            </w:r>
          </w:p>
        </w:tc>
        <w:tc>
          <w:tcPr>
            <w:tcW w:w="394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265" w:type="dxa"/>
            <w:tcBorders/>
            <w:shd w:fill="auto" w:val="clear"/>
            <w:vAlign w:val="center"/>
          </w:tcPr>
          <w:p>
            <w:pPr>
              <w:pStyle w:val="TableContents"/>
              <w:spacing w:before="0" w:after="0"/>
              <w:ind w:left="0" w:right="0" w:firstLine="30"/>
              <w:jc w:val="left"/>
              <w:rPr/>
            </w:pPr>
            <w:r>
              <w:rPr/>
              <w:t> </w:t>
            </w:r>
          </w:p>
        </w:tc>
        <w:tc>
          <w:tcPr>
            <w:tcW w:w="17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8" w:type="dxa"/>
            <w:tcBorders/>
            <w:shd w:fill="auto" w:val="clear"/>
            <w:vAlign w:val="center"/>
          </w:tcPr>
          <w:p>
            <w:pPr>
              <w:pStyle w:val="TableContents"/>
              <w:spacing w:before="0" w:after="0"/>
              <w:ind w:left="0" w:right="0" w:firstLine="30"/>
              <w:rPr/>
            </w:pPr>
            <w:r>
              <w:rPr/>
              <w:t> </w:t>
            </w:r>
          </w:p>
        </w:tc>
        <w:tc>
          <w:tcPr>
            <w:tcW w:w="20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265" w:type="dxa"/>
            <w:tcBorders/>
            <w:shd w:fill="auto" w:val="clear"/>
            <w:vAlign w:val="center"/>
          </w:tcPr>
          <w:p>
            <w:pPr>
              <w:pStyle w:val="TableContents"/>
              <w:spacing w:before="0" w:after="0"/>
              <w:ind w:left="0" w:right="0" w:firstLine="30"/>
              <w:jc w:val="left"/>
              <w:rPr/>
            </w:pPr>
            <w:r>
              <w:rPr/>
              <w:t> </w:t>
            </w:r>
          </w:p>
        </w:tc>
        <w:tc>
          <w:tcPr>
            <w:tcW w:w="394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2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76" w:type="dxa"/>
            <w:tcBorders/>
            <w:shd w:fill="CCEEFF" w:val="clear"/>
            <w:vAlign w:val="center"/>
          </w:tcPr>
          <w:p>
            <w:pPr>
              <w:pStyle w:val="TableContents"/>
              <w:spacing w:before="0" w:after="0"/>
              <w:jc w:val="right"/>
              <w:rPr>
                <w:rFonts w:ascii="inherit" w:hAnsi="inherit"/>
                <w:sz w:val="17"/>
              </w:rPr>
            </w:pPr>
            <w:r>
              <w:rPr>
                <w:rFonts w:ascii="inherit" w:hAnsi="inherit"/>
                <w:sz w:val="17"/>
              </w:rPr>
              <w:t>172,968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76" w:type="dxa"/>
            <w:tcBorders/>
            <w:shd w:fill="CCEEFF" w:val="clear"/>
            <w:vAlign w:val="center"/>
          </w:tcPr>
          <w:p>
            <w:pPr>
              <w:pStyle w:val="TableContents"/>
              <w:spacing w:before="0" w:after="0"/>
              <w:jc w:val="right"/>
              <w:rPr>
                <w:rFonts w:ascii="inherit" w:hAnsi="inherit"/>
                <w:sz w:val="17"/>
              </w:rPr>
            </w:pPr>
            <w:r>
              <w:rPr>
                <w:rFonts w:ascii="inherit" w:hAnsi="inherit"/>
                <w:sz w:val="17"/>
              </w:rPr>
              <w:t>201,762</w:t>
            </w:r>
          </w:p>
        </w:tc>
        <w:tc>
          <w:tcPr>
            <w:tcW w:w="5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719"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073" w:type="dxa"/>
            <w:gridSpan w:val="3"/>
            <w:tcBorders/>
            <w:shd w:fill="auto" w:val="clear"/>
            <w:vAlign w:val="center"/>
          </w:tcPr>
          <w:p>
            <w:pPr>
              <w:pStyle w:val="TableContents"/>
              <w:spacing w:before="0" w:after="0"/>
              <w:ind w:left="0" w:right="0" w:firstLine="180"/>
              <w:rPr/>
            </w:pPr>
            <w:r>
              <w:rPr/>
              <w:t> </w:t>
            </w:r>
          </w:p>
        </w:tc>
      </w:tr>
      <w:tr>
        <w:trPr/>
        <w:tc>
          <w:tcPr>
            <w:tcW w:w="62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34,918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33,509</w:t>
            </w:r>
          </w:p>
        </w:tc>
        <w:tc>
          <w:tcPr>
            <w:tcW w:w="51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5,830</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4,066</w:t>
            </w:r>
          </w:p>
        </w:tc>
        <w:tc>
          <w:tcPr>
            <w:tcW w:w="51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2,816</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1,920</w:t>
            </w:r>
          </w:p>
        </w:tc>
        <w:tc>
          <w:tcPr>
            <w:tcW w:w="51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19"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income from continuing operations before income taxes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129,092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162,267</w:t>
            </w:r>
          </w:p>
        </w:tc>
        <w:tc>
          <w:tcPr>
            <w:tcW w:w="51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42,084</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52,664</w:t>
            </w:r>
          </w:p>
        </w:tc>
        <w:tc>
          <w:tcPr>
            <w:tcW w:w="519"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6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from continuing operations, net of tax</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87,008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109,603</w:t>
            </w:r>
          </w:p>
        </w:tc>
        <w:tc>
          <w:tcPr>
            <w:tcW w:w="5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(24,813</w:t>
            </w:r>
          </w:p>
        </w:tc>
        <w:tc>
          <w:tcPr>
            <w:tcW w:w="16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(3,167</w:t>
            </w:r>
          </w:p>
        </w:tc>
        <w:tc>
          <w:tcPr>
            <w:tcW w:w="519"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26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w:t>
            </w:r>
          </w:p>
        </w:tc>
        <w:tc>
          <w:tcPr>
            <w:tcW w:w="15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62,195</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106,436</w:t>
            </w:r>
          </w:p>
        </w:tc>
        <w:tc>
          <w:tcPr>
            <w:tcW w:w="519"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noncontrolling interest</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3,378</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519"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6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58,817</w:t>
            </w:r>
          </w:p>
        </w:tc>
        <w:tc>
          <w:tcPr>
            <w:tcW w:w="16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51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Administrative expenses increased </w:t>
      </w:r>
      <w:r>
        <w:rPr>
          <w:rFonts w:ascii="Times New Roman" w:hAnsi="Times New Roman"/>
          <w:b w:val="false"/>
          <w:i w:val="false"/>
          <w:caps w:val="false"/>
          <w:smallCaps w:val="false"/>
          <w:strike w:val="false"/>
          <w:dstrike w:val="false"/>
          <w:color w:val="000000"/>
          <w:sz w:val="17"/>
          <w:u w:val="none"/>
          <w:effect w:val="none"/>
        </w:rPr>
        <w:t>$1.4 million</w:t>
      </w:r>
      <w:r>
        <w:rPr>
          <w:rFonts w:ascii="inherit" w:hAnsi="inherit"/>
          <w:sz w:val="17"/>
        </w:rPr>
        <w:t xml:space="preserve">, or </w:t>
      </w:r>
      <w:r>
        <w:rPr>
          <w:rFonts w:ascii="Times New Roman" w:hAnsi="Times New Roman"/>
          <w:b w:val="false"/>
          <w:i w:val="false"/>
          <w:caps w:val="false"/>
          <w:smallCaps w:val="false"/>
          <w:strike w:val="false"/>
          <w:dstrike w:val="false"/>
          <w:color w:val="000000"/>
          <w:sz w:val="17"/>
          <w:u w:val="none"/>
          <w:effect w:val="none"/>
        </w:rPr>
        <w:t>4%</w:t>
      </w:r>
      <w:r>
        <w:rPr>
          <w:sz w:val="17"/>
        </w:rPr>
        <w:t xml:space="preserve"> </w:t>
      </w:r>
      <w:r>
        <w:rPr>
          <w:rFonts w:ascii="inherit" w:hAnsi="inherit"/>
          <w:sz w:val="17"/>
        </w:rPr>
        <w:t xml:space="preserve">mainly due to continued investments in growth and profitability initiatives. Interest expense increased </w:t>
      </w:r>
      <w:r>
        <w:rPr>
          <w:rFonts w:ascii="inherit" w:hAnsi="inherit"/>
          <w:strike w:val="false"/>
          <w:dstrike w:val="false"/>
          <w:color w:val="000000"/>
          <w:sz w:val="17"/>
          <w:u w:val="none"/>
          <w:effect w:val="none"/>
        </w:rPr>
        <w:t>$0.9 million</w:t>
      </w:r>
      <w:r>
        <w:rPr>
          <w:rFonts w:ascii="inherit" w:hAnsi="inherit"/>
          <w:sz w:val="17"/>
        </w:rPr>
        <w:t xml:space="preserve">, or </w:t>
      </w:r>
      <w:r>
        <w:rPr>
          <w:rFonts w:ascii="inherit" w:hAnsi="inherit"/>
          <w:strike w:val="false"/>
          <w:dstrike w:val="false"/>
          <w:color w:val="000000"/>
          <w:sz w:val="17"/>
          <w:u w:val="none"/>
          <w:effect w:val="none"/>
        </w:rPr>
        <w:t>47%</w:t>
      </w:r>
      <w:r>
        <w:rPr>
          <w:rFonts w:ascii="inherit" w:hAnsi="inherit"/>
          <w:sz w:val="17"/>
        </w:rPr>
        <w:t xml:space="preserve">, due to greater utilization of our revolver. Depreciation and amortization increased </w:t>
      </w:r>
      <w:r>
        <w:rPr>
          <w:rFonts w:ascii="inherit" w:hAnsi="inherit"/>
          <w:strike w:val="false"/>
          <w:dstrike w:val="false"/>
          <w:color w:val="000000"/>
          <w:sz w:val="17"/>
          <w:u w:val="none"/>
          <w:effect w:val="none"/>
        </w:rPr>
        <w:t>$1.8 million</w:t>
      </w:r>
      <w:r>
        <w:rPr>
          <w:rFonts w:ascii="inherit" w:hAnsi="inherit"/>
          <w:sz w:val="17"/>
        </w:rPr>
        <w:t xml:space="preserve">, or </w:t>
      </w:r>
      <w:r>
        <w:rPr>
          <w:rFonts w:ascii="inherit" w:hAnsi="inherit"/>
          <w:strike w:val="false"/>
          <w:dstrike w:val="false"/>
          <w:color w:val="000000"/>
          <w:sz w:val="17"/>
          <w:u w:val="none"/>
          <w:effect w:val="none"/>
        </w:rPr>
        <w:t>43%</w:t>
      </w:r>
      <w:r>
        <w:rPr>
          <w:rFonts w:ascii="inherit" w:hAnsi="inherit"/>
          <w:sz w:val="17"/>
        </w:rPr>
        <w:t xml:space="preserve">, due to new assets placed in service as a result of investment in infrastructure to support our globalization strategy. The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change in other income or expense was due to foreign currency transaction losses in the current nine-month period.</w:t>
      </w:r>
    </w:p>
    <w:p>
      <w:pPr>
        <w:pStyle w:val="TextBody"/>
        <w:spacing w:lineRule="auto" w:line="288" w:before="0" w:after="0"/>
        <w:rPr>
          <w:sz w:val="17"/>
        </w:rPr>
      </w:pPr>
      <w:r>
        <w:rPr>
          <w:rFonts w:ascii="inherit" w:hAnsi="inherit"/>
          <w:sz w:val="17"/>
        </w:rPr>
        <w:t xml:space="preserve">Consolidated income from continuing operations before income taxes decreased </w:t>
      </w:r>
      <w:r>
        <w:rPr>
          <w:rFonts w:ascii="inherit" w:hAnsi="inherit"/>
          <w:strike w:val="false"/>
          <w:dstrike w:val="false"/>
          <w:color w:val="000000"/>
          <w:sz w:val="17"/>
          <w:u w:val="none"/>
          <w:effect w:val="none"/>
        </w:rPr>
        <w:t>$33.2 million</w:t>
      </w:r>
      <w:r>
        <w:rPr>
          <w:rFonts w:ascii="inherit" w:hAnsi="inherit"/>
          <w:sz w:val="17"/>
        </w:rPr>
        <w:t xml:space="preserve">, or </w:t>
      </w:r>
      <w:r>
        <w:rPr>
          <w:rFonts w:ascii="inherit" w:hAnsi="inherit"/>
          <w:strike w:val="false"/>
          <w:dstrike w:val="false"/>
          <w:color w:val="000000"/>
          <w:sz w:val="17"/>
          <w:u w:val="none"/>
          <w:effect w:val="none"/>
        </w:rPr>
        <w:t>20%</w:t>
      </w:r>
      <w:r>
        <w:rPr>
          <w:rFonts w:ascii="inherit" w:hAnsi="inherit"/>
          <w:sz w:val="17"/>
        </w:rPr>
        <w:t xml:space="preserve">, to </w:t>
      </w:r>
      <w:r>
        <w:rPr>
          <w:rFonts w:ascii="inherit" w:hAnsi="inherit"/>
          <w:strike w:val="false"/>
          <w:dstrike w:val="false"/>
          <w:color w:val="000000"/>
          <w:sz w:val="17"/>
          <w:u w:val="none"/>
          <w:effect w:val="none"/>
        </w:rPr>
        <w:t>$129.1 million</w:t>
      </w:r>
      <w:r>
        <w:rPr>
          <w:sz w:val="17"/>
        </w:rPr>
        <w:t xml:space="preserve"> </w:t>
      </w:r>
      <w:r>
        <w:rPr>
          <w:rFonts w:ascii="inherit" w:hAnsi="inherit"/>
          <w:sz w:val="17"/>
        </w:rPr>
        <w:t xml:space="preserve">due to a </w:t>
      </w:r>
      <w:r>
        <w:rPr>
          <w:rFonts w:ascii="inherit" w:hAnsi="inherit"/>
          <w:strike w:val="false"/>
          <w:dstrike w:val="false"/>
          <w:color w:val="000000"/>
          <w:sz w:val="17"/>
          <w:u w:val="none"/>
          <w:effect w:val="none"/>
        </w:rPr>
        <w:t>$39.3 million</w:t>
      </w:r>
      <w:r>
        <w:rPr>
          <w:sz w:val="17"/>
        </w:rPr>
        <w:t xml:space="preserve"> </w:t>
      </w:r>
      <w:r>
        <w:rPr>
          <w:rFonts w:ascii="inherit" w:hAnsi="inherit"/>
          <w:sz w:val="17"/>
        </w:rPr>
        <w:t xml:space="preserve">decrease in contribution from the U.S. &amp; Canada segment, a </w:t>
      </w:r>
      <w:r>
        <w:rPr>
          <w:rFonts w:ascii="inherit" w:hAnsi="inherit"/>
          <w:strike w:val="false"/>
          <w:dstrike w:val="false"/>
          <w:color w:val="000000"/>
          <w:sz w:val="17"/>
          <w:u w:val="none"/>
          <w:effect w:val="none"/>
        </w:rPr>
        <w:t>$4.4 million</w:t>
      </w:r>
      <w:r>
        <w:rPr>
          <w:sz w:val="17"/>
        </w:rPr>
        <w:t xml:space="preserve"> </w:t>
      </w:r>
      <w:r>
        <w:rPr>
          <w:rFonts w:ascii="inherit" w:hAnsi="inherit"/>
          <w:sz w:val="17"/>
        </w:rPr>
        <w:t xml:space="preserve">increase in corporate expenses, partially offset by a </w:t>
      </w:r>
      <w:r>
        <w:rPr>
          <w:rFonts w:ascii="inherit" w:hAnsi="inherit"/>
          <w:strike w:val="false"/>
          <w:dstrike w:val="false"/>
          <w:color w:val="000000"/>
          <w:sz w:val="17"/>
          <w:u w:val="none"/>
          <w:effect w:val="none"/>
        </w:rPr>
        <w:t>$7.5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increase in contribution from the Latin America and Other International. The </w:t>
      </w:r>
      <w:r>
        <w:rPr>
          <w:rFonts w:ascii="inherit" w:hAnsi="inherit"/>
          <w:strike w:val="false"/>
          <w:dstrike w:val="false"/>
          <w:color w:val="000000"/>
          <w:sz w:val="17"/>
          <w:u w:val="none"/>
          <w:effect w:val="none"/>
        </w:rPr>
        <w:t>$39.3 million</w:t>
      </w:r>
      <w:r>
        <w:rPr>
          <w:sz w:val="17"/>
        </w:rPr>
        <w:t xml:space="preserve"> </w:t>
      </w:r>
      <w:r>
        <w:rPr>
          <w:rFonts w:ascii="inherit" w:hAnsi="inherit"/>
          <w:sz w:val="17"/>
        </w:rPr>
        <w:t xml:space="preserve">decrease in contribution from the U.S. &amp; Canada segment was due to a combination of reduced gross profit on jewelry scrapped and an increase in operating costs to support a rapidly growing store base. </w:t>
      </w:r>
    </w:p>
    <w:p>
      <w:pPr>
        <w:pStyle w:val="TextBody"/>
        <w:spacing w:lineRule="auto" w:line="288" w:before="0" w:after="0"/>
        <w:rPr>
          <w:sz w:val="17"/>
        </w:rPr>
      </w:pPr>
      <w:r>
        <w:rPr>
          <w:rFonts w:ascii="inherit" w:hAnsi="inherit"/>
          <w:sz w:val="17"/>
        </w:rPr>
        <w:t xml:space="preserve">Income tax expense was </w:t>
      </w:r>
      <w:r>
        <w:rPr>
          <w:rFonts w:ascii="inherit" w:hAnsi="inherit"/>
          <w:strike w:val="false"/>
          <w:dstrike w:val="false"/>
          <w:color w:val="000000"/>
          <w:sz w:val="17"/>
          <w:u w:val="none"/>
          <w:effect w:val="none"/>
        </w:rPr>
        <w:t>$42.1 million</w:t>
      </w:r>
      <w:r>
        <w:rPr>
          <w:rFonts w:ascii="inherit" w:hAnsi="inherit"/>
          <w:sz w:val="17"/>
        </w:rPr>
        <w:t xml:space="preserve">, </w:t>
      </w:r>
      <w:r>
        <w:rPr>
          <w:rFonts w:ascii="inherit" w:hAnsi="inherit"/>
          <w:strike w:val="false"/>
          <w:dstrike w:val="false"/>
          <w:color w:val="000000"/>
          <w:sz w:val="17"/>
          <w:u w:val="none"/>
          <w:effect w:val="none"/>
        </w:rPr>
        <w:t>32.6%</w:t>
      </w:r>
      <w:r>
        <w:rPr>
          <w:sz w:val="17"/>
        </w:rPr>
        <w:t xml:space="preserve"> </w:t>
      </w:r>
      <w:r>
        <w:rPr>
          <w:rFonts w:ascii="inherit" w:hAnsi="inherit"/>
          <w:sz w:val="17"/>
        </w:rPr>
        <w:t xml:space="preserve">of pre-tax income compared to </w:t>
      </w:r>
      <w:r>
        <w:rPr>
          <w:rFonts w:ascii="inherit" w:hAnsi="inherit"/>
          <w:strike w:val="false"/>
          <w:dstrike w:val="false"/>
          <w:color w:val="000000"/>
          <w:sz w:val="17"/>
          <w:u w:val="none"/>
          <w:effect w:val="none"/>
        </w:rPr>
        <w:t>32.5%</w:t>
      </w:r>
      <w:r>
        <w:rPr>
          <w:sz w:val="17"/>
        </w:rPr>
        <w:t xml:space="preserve"> </w:t>
      </w:r>
      <w:r>
        <w:rPr>
          <w:rFonts w:ascii="inherit" w:hAnsi="inherit"/>
          <w:sz w:val="17"/>
        </w:rPr>
        <w:t xml:space="preserve">in the prior year nine-month period. </w:t>
      </w:r>
    </w:p>
    <w:p>
      <w:pPr>
        <w:pStyle w:val="TextBody"/>
        <w:spacing w:lineRule="auto" w:line="288" w:before="0" w:after="0"/>
        <w:rPr>
          <w:sz w:val="17"/>
        </w:rPr>
      </w:pPr>
      <w:r>
        <w:rPr>
          <w:rFonts w:ascii="inherit" w:hAnsi="inherit"/>
          <w:sz w:val="17"/>
        </w:rPr>
        <w:t xml:space="preserve">In the current nine-month period we incurred a </w:t>
      </w:r>
      <w:r>
        <w:rPr>
          <w:rFonts w:ascii="inherit" w:hAnsi="inherit"/>
          <w:strike w:val="false"/>
          <w:dstrike w:val="false"/>
          <w:color w:val="000000"/>
          <w:sz w:val="17"/>
          <w:u w:val="none"/>
          <w:effect w:val="none"/>
        </w:rPr>
        <w:t>$24.8 million</w:t>
      </w:r>
      <w:r>
        <w:rPr>
          <w:sz w:val="17"/>
        </w:rPr>
        <w:t xml:space="preserve"> </w:t>
      </w:r>
      <w:r>
        <w:rPr>
          <w:rFonts w:ascii="inherit" w:hAnsi="inherit"/>
          <w:sz w:val="17"/>
        </w:rPr>
        <w:t xml:space="preserve">net loss from discontinued operations. This amount includes </w:t>
      </w:r>
      <w:r>
        <w:rPr>
          <w:rFonts w:ascii="inherit" w:hAnsi="inherit"/>
          <w:strike w:val="false"/>
          <w:dstrike w:val="false"/>
          <w:color w:val="000000"/>
          <w:sz w:val="17"/>
          <w:u w:val="none"/>
          <w:effect w:val="none"/>
        </w:rPr>
        <w:t>$23.8 million</w:t>
      </w:r>
      <w:r>
        <w:rPr>
          <w:sz w:val="17"/>
        </w:rPr>
        <w:t xml:space="preserve"> </w:t>
      </w:r>
      <w:r>
        <w:rPr>
          <w:rFonts w:ascii="inherit" w:hAnsi="inherit"/>
          <w:sz w:val="17"/>
        </w:rPr>
        <w:t xml:space="preserve">pre-tax termination costs due to the future closure of </w:t>
      </w:r>
      <w:r>
        <w:rPr>
          <w:rFonts w:ascii="inherit" w:hAnsi="inherit"/>
          <w:strike w:val="false"/>
          <w:dstrike w:val="false"/>
          <w:color w:val="000000"/>
          <w:sz w:val="17"/>
          <w:u w:val="none"/>
          <w:effect w:val="none"/>
        </w:rPr>
        <w:t>107</w:t>
      </w:r>
      <w:r>
        <w:rPr>
          <w:sz w:val="17"/>
        </w:rPr>
        <w:t xml:space="preserve"> </w:t>
      </w:r>
      <w:r>
        <w:rPr>
          <w:rFonts w:ascii="inherit" w:hAnsi="inherit"/>
          <w:sz w:val="17"/>
        </w:rPr>
        <w:t xml:space="preserve">legacy stores in a variety of locations and </w:t>
      </w:r>
      <w:r>
        <w:rPr>
          <w:rFonts w:ascii="inherit" w:hAnsi="inherit"/>
          <w:strike w:val="false"/>
          <w:dstrike w:val="false"/>
          <w:color w:val="000000"/>
          <w:sz w:val="17"/>
          <w:u w:val="none"/>
          <w:effect w:val="none"/>
        </w:rPr>
        <w:t>$5.5 million</w:t>
      </w:r>
      <w:r>
        <w:rPr>
          <w:sz w:val="17"/>
        </w:rPr>
        <w:t xml:space="preserve"> </w:t>
      </w:r>
      <w:r>
        <w:rPr>
          <w:rFonts w:ascii="inherit" w:hAnsi="inherit"/>
          <w:sz w:val="17"/>
        </w:rPr>
        <w:t>in pre-tax operating losses from stores being closed.</w:t>
      </w:r>
    </w:p>
    <w:p>
      <w:pPr>
        <w:pStyle w:val="TextBody"/>
        <w:spacing w:lineRule="auto" w:line="288" w:before="0" w:after="0"/>
        <w:rPr>
          <w:sz w:val="17"/>
        </w:rPr>
      </w:pPr>
      <w:r>
        <w:rPr>
          <w:rFonts w:ascii="inherit" w:hAnsi="inherit"/>
          <w:sz w:val="17"/>
        </w:rPr>
        <w:t xml:space="preserve">In the current nine-month period, net income attributable to EZCORP decreased </w:t>
      </w:r>
      <w:r>
        <w:rPr>
          <w:rFonts w:ascii="inherit" w:hAnsi="inherit"/>
          <w:strike w:val="false"/>
          <w:dstrike w:val="false"/>
          <w:color w:val="000000"/>
          <w:sz w:val="17"/>
          <w:u w:val="none"/>
          <w:effect w:val="none"/>
        </w:rPr>
        <w:t>$46.3 million</w:t>
      </w:r>
      <w:r>
        <w:rPr>
          <w:rFonts w:ascii="inherit" w:hAnsi="inherit"/>
          <w:sz w:val="17"/>
        </w:rPr>
        <w:t xml:space="preserve">, or </w:t>
      </w:r>
      <w:r>
        <w:rPr>
          <w:rFonts w:ascii="inherit" w:hAnsi="inherit"/>
          <w:strike w:val="false"/>
          <w:dstrike w:val="false"/>
          <w:color w:val="000000"/>
          <w:sz w:val="17"/>
          <w:u w:val="none"/>
          <w:effect w:val="none"/>
        </w:rPr>
        <w:t>44%</w:t>
      </w:r>
      <w:r>
        <w:rPr>
          <w:rFonts w:ascii="inherit" w:hAnsi="inherit"/>
          <w:sz w:val="17"/>
        </w:rPr>
        <w:t xml:space="preserve">, to </w:t>
      </w:r>
      <w:r>
        <w:rPr>
          <w:rFonts w:ascii="inherit" w:hAnsi="inherit"/>
          <w:strike w:val="false"/>
          <w:dstrike w:val="false"/>
          <w:color w:val="000000"/>
          <w:sz w:val="17"/>
          <w:u w:val="none"/>
          <w:effect w:val="none"/>
        </w:rPr>
        <w:t>$58.8 million</w:t>
      </w:r>
      <w:r>
        <w:rPr>
          <w:rFonts w:ascii="inherit" w:hAnsi="inherit"/>
          <w:sz w:val="17"/>
        </w:rPr>
        <w:t xml:space="preserve">, after the </w:t>
      </w:r>
      <w:r>
        <w:rPr>
          <w:rFonts w:ascii="inherit" w:hAnsi="inherit"/>
          <w:strike w:val="false"/>
          <w:dstrike w:val="false"/>
          <w:color w:val="000000"/>
          <w:sz w:val="17"/>
          <w:u w:val="none"/>
          <w:effect w:val="none"/>
        </w:rPr>
        <w:t>$3.4 million</w:t>
      </w:r>
      <w:r>
        <w:rPr>
          <w:sz w:val="17"/>
        </w:rPr>
        <w:t xml:space="preserve"> </w:t>
      </w:r>
      <w:r>
        <w:rPr>
          <w:rFonts w:ascii="inherit" w:hAnsi="inherit"/>
          <w:sz w:val="17"/>
        </w:rPr>
        <w:t>of net income attributable to the noncontrolling interest.</w:t>
      </w:r>
    </w:p>
    <w:p>
      <w:pPr>
        <w:pStyle w:val="TextBody"/>
        <w:spacing w:lineRule="auto" w:line="288" w:before="0" w:after="0"/>
        <w:rPr>
          <w:rFonts w:ascii="inherit" w:hAnsi="inherit"/>
          <w:b/>
          <w:sz w:val="17"/>
        </w:rPr>
      </w:pPr>
      <w:bookmarkStart w:id="61" w:name="s4DDBC1225794045B15F9CD290BDA9161"/>
      <w:bookmarkEnd w:id="61"/>
      <w:r>
        <w:rPr>
          <w:rFonts w:ascii="inherit" w:hAnsi="inherit"/>
          <w:b/>
          <w:sz w:val="17"/>
        </w:rPr>
        <w:t>LIQUIDITY AND CAPITAL RESOURCES</w:t>
      </w:r>
    </w:p>
    <w:p>
      <w:pPr>
        <w:pStyle w:val="TextBody"/>
        <w:spacing w:lineRule="auto" w:line="288" w:before="0" w:after="0"/>
        <w:rPr>
          <w:sz w:val="17"/>
        </w:rPr>
      </w:pPr>
      <w:r>
        <w:rPr>
          <w:rFonts w:ascii="inherit" w:hAnsi="inherit"/>
          <w:sz w:val="17"/>
        </w:rPr>
        <w:t xml:space="preserve">In the current nine-month period, our </w:t>
      </w:r>
      <w:r>
        <w:rPr>
          <w:rFonts w:ascii="inherit" w:hAnsi="inherit"/>
          <w:strike w:val="false"/>
          <w:dstrike w:val="false"/>
          <w:color w:val="000000"/>
          <w:sz w:val="17"/>
          <w:u w:val="none"/>
          <w:effect w:val="none"/>
        </w:rPr>
        <w:t>$99.4 million</w:t>
      </w:r>
      <w:r>
        <w:rPr>
          <w:sz w:val="17"/>
        </w:rPr>
        <w:t xml:space="preserve"> </w:t>
      </w:r>
      <w:r>
        <w:rPr>
          <w:rFonts w:ascii="inherit" w:hAnsi="inherit"/>
          <w:sz w:val="17"/>
        </w:rPr>
        <w:t xml:space="preserve">cash flow from operations consisted of (i) net income plus several non-cash items, aggregating to </w:t>
      </w:r>
      <w:r>
        <w:rPr>
          <w:rFonts w:ascii="inherit" w:hAnsi="inherit"/>
          <w:strike w:val="false"/>
          <w:dstrike w:val="false"/>
          <w:color w:val="000000"/>
          <w:sz w:val="17"/>
          <w:u w:val="none"/>
          <w:effect w:val="none"/>
        </w:rPr>
        <w:t>$106.0 million</w:t>
      </w:r>
      <w:r>
        <w:rPr>
          <w:rFonts w:ascii="inherit" w:hAnsi="inherit"/>
          <w:sz w:val="17"/>
        </w:rPr>
        <w:t>, $3.3 million in dividends from Albemarle &amp; Bond, $5.1 million in dividends from Cash Converters International, net of (ii) </w:t>
      </w:r>
      <w:r>
        <w:rPr>
          <w:rFonts w:ascii="inherit" w:hAnsi="inherit"/>
          <w:strike w:val="false"/>
          <w:dstrike w:val="false"/>
          <w:color w:val="000000"/>
          <w:sz w:val="17"/>
          <w:u w:val="none"/>
          <w:effect w:val="none"/>
        </w:rPr>
        <w:t>$15.0 million</w:t>
      </w:r>
      <w:r>
        <w:rPr>
          <w:sz w:val="17"/>
        </w:rPr>
        <w:t xml:space="preserve"> </w:t>
      </w:r>
      <w:r>
        <w:rPr>
          <w:rFonts w:ascii="inherit" w:hAnsi="inherit"/>
          <w:sz w:val="17"/>
        </w:rPr>
        <w:t xml:space="preserve">of normal, recurring changes in operating assets and liabilities. In the prior year nine-month period, our </w:t>
      </w:r>
      <w:r>
        <w:rPr>
          <w:rFonts w:ascii="inherit" w:hAnsi="inherit"/>
          <w:strike w:val="false"/>
          <w:dstrike w:val="false"/>
          <w:color w:val="000000"/>
          <w:sz w:val="17"/>
          <w:u w:val="none"/>
          <w:effect w:val="none"/>
        </w:rPr>
        <w:t>$109.7 million</w:t>
      </w:r>
      <w:r>
        <w:rPr>
          <w:sz w:val="17"/>
        </w:rPr>
        <w:t xml:space="preserve"> </w:t>
      </w:r>
      <w:r>
        <w:rPr>
          <w:rFonts w:ascii="inherit" w:hAnsi="inherit"/>
          <w:sz w:val="17"/>
        </w:rPr>
        <w:t xml:space="preserve">cash flow from operations consisted of (i) net income plus several non-cash items, aggregating to </w:t>
      </w:r>
      <w:r>
        <w:rPr>
          <w:rFonts w:ascii="inherit" w:hAnsi="inherit"/>
          <w:strike w:val="false"/>
          <w:dstrike w:val="false"/>
          <w:color w:val="000000"/>
          <w:sz w:val="17"/>
          <w:u w:val="none"/>
          <w:effect w:val="none"/>
        </w:rPr>
        <w:t>$130.2 million</w:t>
      </w:r>
      <w:r>
        <w:rPr>
          <w:rFonts w:ascii="inherit" w:hAnsi="inherit"/>
          <w:sz w:val="17"/>
        </w:rPr>
        <w:t>, $3.3 million in dividends from Albemarle &amp; Bond, $2.2 million in dividends from Cash Converters International, net of (ii) </w:t>
      </w:r>
      <w:r>
        <w:rPr>
          <w:rFonts w:ascii="inherit" w:hAnsi="inherit"/>
          <w:strike w:val="false"/>
          <w:dstrike w:val="false"/>
          <w:color w:val="000000"/>
          <w:sz w:val="17"/>
          <w:u w:val="none"/>
          <w:effect w:val="none"/>
        </w:rPr>
        <w:t>$26.1 million</w:t>
      </w:r>
      <w:r>
        <w:rPr>
          <w:sz w:val="17"/>
        </w:rPr>
        <w:t xml:space="preserve"> </w:t>
      </w:r>
      <w:r>
        <w:rPr>
          <w:rFonts w:ascii="inherit" w:hAnsi="inherit"/>
          <w:sz w:val="17"/>
        </w:rPr>
        <w:t xml:space="preserve">of normal, recurring changes in operating assets and liabilities. The primary differences in cash flows from operations between the current and prior year period are due to the increase in non-cash items offset by the decrease in net income and changes in operating assets and liabilities. </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$108.9 million</w:t>
      </w:r>
      <w:r>
        <w:rPr>
          <w:sz w:val="17"/>
        </w:rPr>
        <w:t xml:space="preserve"> </w:t>
      </w:r>
      <w:r>
        <w:rPr>
          <w:rFonts w:ascii="inherit" w:hAnsi="inherit"/>
          <w:sz w:val="17"/>
        </w:rPr>
        <w:t xml:space="preserve">of net cash used in investing activities during the current nine-month period was funded by cash flow from operations, cash on hand and borrowings on our line of credit facility. We invested </w:t>
      </w:r>
      <w:r>
        <w:rPr>
          <w:rFonts w:ascii="inherit" w:hAnsi="inherit"/>
          <w:strike w:val="false"/>
          <w:dstrike w:val="false"/>
          <w:color w:val="000000"/>
          <w:sz w:val="17"/>
          <w:u w:val="none"/>
          <w:effect w:val="none"/>
        </w:rPr>
        <w:t>$11.0 million</w:t>
      </w:r>
      <w:r>
        <w:rPr>
          <w:sz w:val="17"/>
        </w:rPr>
        <w:t xml:space="preserve"> </w:t>
      </w:r>
      <w:r>
        <w:rPr>
          <w:rFonts w:ascii="inherit" w:hAnsi="inherit"/>
          <w:sz w:val="17"/>
        </w:rPr>
        <w:t xml:space="preserve">in Cash Converters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71</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International as part of a share placement. We invested $14.9 million</w:t>
      </w:r>
      <w:r>
        <w:rPr>
          <w:sz w:val="17"/>
        </w:rPr>
        <w:t xml:space="preserve"> </w:t>
      </w:r>
      <w:r>
        <w:rPr>
          <w:rFonts w:ascii="inherit" w:hAnsi="inherit"/>
          <w:sz w:val="17"/>
        </w:rPr>
        <w:t xml:space="preserve">in cash to acquire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pawn stores in the U.S., a 51% interest in TUYO, a 100% interest in Fondo and a payroll withholding loan portfolio. Other significant investments in the period were the </w:t>
      </w:r>
      <w:r>
        <w:rPr>
          <w:rFonts w:ascii="inherit" w:hAnsi="inherit"/>
          <w:strike w:val="false"/>
          <w:dstrike w:val="false"/>
          <w:color w:val="000000"/>
          <w:sz w:val="17"/>
          <w:u w:val="none"/>
          <w:effect w:val="none"/>
        </w:rPr>
        <w:t>$33.4 million</w:t>
      </w:r>
      <w:r>
        <w:rPr>
          <w:sz w:val="17"/>
        </w:rPr>
        <w:t xml:space="preserve"> </w:t>
      </w:r>
      <w:r>
        <w:rPr>
          <w:rFonts w:ascii="inherit" w:hAnsi="inherit"/>
          <w:sz w:val="17"/>
        </w:rPr>
        <w:t xml:space="preserve">in additions of property and equipment and the </w:t>
      </w:r>
      <w:r>
        <w:rPr>
          <w:rFonts w:ascii="inherit" w:hAnsi="inherit"/>
          <w:strike w:val="false"/>
          <w:dstrike w:val="false"/>
          <w:color w:val="000000"/>
          <w:sz w:val="17"/>
          <w:u w:val="none"/>
          <w:effect w:val="none"/>
        </w:rPr>
        <w:t>$49.5 million</w:t>
      </w:r>
      <w:r>
        <w:rPr>
          <w:sz w:val="17"/>
        </w:rPr>
        <w:t xml:space="preserve"> </w:t>
      </w:r>
      <w:r>
        <w:rPr>
          <w:rFonts w:ascii="inherit" w:hAnsi="inherit"/>
          <w:sz w:val="17"/>
        </w:rPr>
        <w:t>of loans made in excess of customer loan repayments and the recovery of principal through the sale of forfeited pawn loan collateral. </w:t>
      </w:r>
    </w:p>
    <w:p>
      <w:pPr>
        <w:pStyle w:val="TextBody"/>
        <w:spacing w:lineRule="auto" w:line="288" w:before="0" w:after="0"/>
        <w:rPr>
          <w:sz w:val="17"/>
        </w:rPr>
      </w:pPr>
      <w:r>
        <w:rPr>
          <w:rFonts w:ascii="inherit" w:hAnsi="inherit"/>
          <w:sz w:val="17"/>
        </w:rPr>
        <w:t xml:space="preserve">The net effect of these and other smaller cash flows was a </w:t>
      </w:r>
      <w:r>
        <w:rPr>
          <w:rFonts w:ascii="inherit" w:hAnsi="inherit"/>
          <w:strike w:val="false"/>
          <w:dstrike w:val="false"/>
          <w:color w:val="000000"/>
          <w:sz w:val="17"/>
          <w:u w:val="none"/>
          <w:effect w:val="none"/>
        </w:rPr>
        <w:t>$2.5 million</w:t>
      </w:r>
      <w:r>
        <w:rPr>
          <w:sz w:val="17"/>
        </w:rPr>
        <w:t xml:space="preserve"> </w:t>
      </w:r>
      <w:r>
        <w:rPr>
          <w:rFonts w:ascii="inherit" w:hAnsi="inherit"/>
          <w:sz w:val="17"/>
        </w:rPr>
        <w:t xml:space="preserve">decrease in cash on hand, providing a </w:t>
      </w:r>
      <w:r>
        <w:rPr>
          <w:rFonts w:ascii="inherit" w:hAnsi="inherit"/>
          <w:strike w:val="false"/>
          <w:dstrike w:val="false"/>
          <w:color w:val="000000"/>
          <w:sz w:val="17"/>
          <w:u w:val="none"/>
          <w:effect w:val="none"/>
        </w:rPr>
        <w:t>$46.0 million</w:t>
      </w:r>
      <w:r>
        <w:rPr>
          <w:sz w:val="17"/>
        </w:rPr>
        <w:t xml:space="preserve"> </w:t>
      </w:r>
      <w:r>
        <w:rPr>
          <w:rFonts w:ascii="inherit" w:hAnsi="inherit"/>
          <w:sz w:val="17"/>
        </w:rPr>
        <w:t>ending cash balance.</w:t>
      </w:r>
    </w:p>
    <w:p>
      <w:pPr>
        <w:pStyle w:val="TextBody"/>
        <w:spacing w:lineRule="auto" w:line="288" w:before="0" w:after="0"/>
        <w:rPr>
          <w:rFonts w:ascii="inherit" w:hAnsi="inherit"/>
          <w:sz w:val="17"/>
        </w:rPr>
      </w:pPr>
      <w:r>
        <w:rPr>
          <w:rFonts w:ascii="inherit" w:hAnsi="inherit"/>
          <w:sz w:val="17"/>
        </w:rPr>
        <w:t>Below is a summary of our cash needs to meet future aggregate contractual obligations: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769"/>
        <w:gridCol w:w="127"/>
        <w:gridCol w:w="989"/>
        <w:gridCol w:w="91"/>
        <w:gridCol w:w="114"/>
        <w:gridCol w:w="127"/>
        <w:gridCol w:w="989"/>
        <w:gridCol w:w="91"/>
        <w:gridCol w:w="114"/>
        <w:gridCol w:w="127"/>
        <w:gridCol w:w="989"/>
        <w:gridCol w:w="91"/>
        <w:gridCol w:w="114"/>
        <w:gridCol w:w="127"/>
        <w:gridCol w:w="949"/>
        <w:gridCol w:w="91"/>
        <w:gridCol w:w="114"/>
        <w:gridCol w:w="129"/>
        <w:gridCol w:w="956"/>
        <w:gridCol w:w="10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376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69" w:type="dxa"/>
            <w:tcBorders/>
            <w:shd w:fill="auto" w:val="clear"/>
            <w:vAlign w:val="center"/>
          </w:tcPr>
          <w:p>
            <w:pPr>
              <w:pStyle w:val="TableContents"/>
              <w:spacing w:before="0" w:after="0"/>
              <w:ind w:left="0" w:right="0" w:firstLine="30"/>
              <w:rPr/>
            </w:pPr>
            <w:r>
              <w:rPr/>
              <w:t>  </w:t>
            </w:r>
          </w:p>
        </w:tc>
        <w:tc>
          <w:tcPr>
            <w:tcW w:w="1207" w:type="dxa"/>
            <w:gridSpan w:val="3"/>
            <w:tcBorders/>
            <w:shd w:fill="auto" w:val="clear"/>
            <w:vAlign w:val="center"/>
          </w:tcPr>
          <w:p>
            <w:pPr>
              <w:pStyle w:val="TableContents"/>
              <w:spacing w:before="0" w:after="0"/>
              <w:ind w:left="0" w:right="0" w:firstLine="30"/>
              <w:jc w:val="left"/>
              <w:rPr/>
            </w:pPr>
            <w:r>
              <w:rPr/>
              <w:t> </w:t>
            </w:r>
          </w:p>
        </w:tc>
        <w:tc>
          <w:tcPr>
            <w:tcW w:w="114" w:type="dxa"/>
            <w:tcBorders/>
            <w:shd w:fill="auto" w:val="clear"/>
            <w:vAlign w:val="center"/>
          </w:tcPr>
          <w:p>
            <w:pPr>
              <w:pStyle w:val="TableContents"/>
              <w:spacing w:before="0" w:after="0"/>
              <w:ind w:left="0" w:right="0" w:firstLine="30"/>
              <w:rPr/>
            </w:pPr>
            <w:r>
              <w:rPr/>
              <w:t> </w:t>
            </w:r>
          </w:p>
        </w:tc>
        <w:tc>
          <w:tcPr>
            <w:tcW w:w="511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Payments due by Period</w:t>
            </w:r>
          </w:p>
        </w:tc>
      </w:tr>
      <w:tr>
        <w:trPr/>
        <w:tc>
          <w:tcPr>
            <w:tcW w:w="3769"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Contractual Obligations</w:t>
            </w:r>
          </w:p>
        </w:tc>
        <w:tc>
          <w:tcPr>
            <w:tcW w:w="12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c>
          <w:tcPr>
            <w:tcW w:w="114" w:type="dxa"/>
            <w:tcBorders/>
            <w:shd w:fill="auto" w:val="clear"/>
            <w:vAlign w:val="center"/>
          </w:tcPr>
          <w:p>
            <w:pPr>
              <w:pStyle w:val="TableContents"/>
              <w:spacing w:before="0" w:after="0"/>
              <w:ind w:left="0" w:right="0" w:firstLine="30"/>
              <w:rPr/>
            </w:pPr>
            <w:r>
              <w:rPr/>
              <w:t> </w:t>
            </w:r>
          </w:p>
        </w:tc>
        <w:tc>
          <w:tcPr>
            <w:tcW w:w="120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Less than</w:t>
            </w:r>
          </w:p>
          <w:p>
            <w:pPr>
              <w:pStyle w:val="TableContents"/>
              <w:spacing w:before="0" w:after="0"/>
              <w:ind w:left="0" w:right="0" w:firstLine="30"/>
              <w:jc w:val="center"/>
              <w:rPr>
                <w:rFonts w:ascii="inherit" w:hAnsi="inherit"/>
                <w:b/>
                <w:sz w:val="13"/>
              </w:rPr>
            </w:pPr>
            <w:r>
              <w:rPr>
                <w:rFonts w:ascii="inherit" w:hAnsi="inherit"/>
                <w:b/>
                <w:sz w:val="13"/>
              </w:rPr>
              <w:t>1 year</w:t>
            </w:r>
          </w:p>
        </w:tc>
        <w:tc>
          <w:tcPr>
            <w:tcW w:w="114" w:type="dxa"/>
            <w:tcBorders/>
            <w:shd w:fill="auto" w:val="clear"/>
            <w:vAlign w:val="center"/>
          </w:tcPr>
          <w:p>
            <w:pPr>
              <w:pStyle w:val="TableContents"/>
              <w:spacing w:before="0" w:after="0"/>
              <w:ind w:left="0" w:right="0" w:firstLine="30"/>
              <w:rPr/>
            </w:pPr>
            <w:r>
              <w:rPr/>
              <w:t> </w:t>
            </w:r>
          </w:p>
        </w:tc>
        <w:tc>
          <w:tcPr>
            <w:tcW w:w="12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1-3 years</w:t>
            </w:r>
          </w:p>
        </w:tc>
        <w:tc>
          <w:tcPr>
            <w:tcW w:w="114" w:type="dxa"/>
            <w:tcBorders/>
            <w:shd w:fill="auto" w:val="clear"/>
            <w:vAlign w:val="center"/>
          </w:tcPr>
          <w:p>
            <w:pPr>
              <w:pStyle w:val="TableContents"/>
              <w:spacing w:before="0" w:after="0"/>
              <w:ind w:left="0" w:right="0" w:firstLine="30"/>
              <w:rPr/>
            </w:pPr>
            <w:r>
              <w:rPr/>
              <w:t> </w:t>
            </w:r>
          </w:p>
        </w:tc>
        <w:tc>
          <w:tcPr>
            <w:tcW w:w="11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3-5 years</w:t>
            </w:r>
          </w:p>
        </w:tc>
        <w:tc>
          <w:tcPr>
            <w:tcW w:w="114" w:type="dxa"/>
            <w:tcBorders/>
            <w:shd w:fill="auto" w:val="clear"/>
            <w:vAlign w:val="center"/>
          </w:tcPr>
          <w:p>
            <w:pPr>
              <w:pStyle w:val="TableContents"/>
              <w:spacing w:before="0" w:after="0"/>
              <w:ind w:left="0" w:right="0" w:firstLine="30"/>
              <w:rPr/>
            </w:pPr>
            <w:r>
              <w:rPr/>
              <w:t> </w:t>
            </w:r>
          </w:p>
        </w:tc>
        <w:tc>
          <w:tcPr>
            <w:tcW w:w="119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More than</w:t>
            </w:r>
          </w:p>
          <w:p>
            <w:pPr>
              <w:pStyle w:val="TableContents"/>
              <w:spacing w:before="0" w:after="0"/>
              <w:ind w:left="0" w:right="0" w:firstLine="30"/>
              <w:jc w:val="center"/>
              <w:rPr>
                <w:rFonts w:ascii="inherit" w:hAnsi="inherit"/>
                <w:b/>
                <w:sz w:val="13"/>
              </w:rPr>
            </w:pPr>
            <w:r>
              <w:rPr>
                <w:rFonts w:ascii="inherit" w:hAnsi="inherit"/>
                <w:b/>
                <w:sz w:val="13"/>
              </w:rPr>
              <w:t>5 years</w:t>
            </w:r>
          </w:p>
        </w:tc>
      </w:tr>
      <w:tr>
        <w:trPr/>
        <w:tc>
          <w:tcPr>
            <w:tcW w:w="3769" w:type="dxa"/>
            <w:tcBorders/>
            <w:shd w:fill="auto" w:val="clear"/>
            <w:vAlign w:val="center"/>
          </w:tcPr>
          <w:p>
            <w:pPr>
              <w:pStyle w:val="TableContents"/>
              <w:spacing w:before="0" w:after="0"/>
              <w:ind w:left="0" w:right="0" w:firstLine="30"/>
              <w:jc w:val="left"/>
              <w:rPr/>
            </w:pPr>
            <w:r>
              <w:rPr/>
              <w:t> </w:t>
            </w:r>
          </w:p>
        </w:tc>
        <w:tc>
          <w:tcPr>
            <w:tcW w:w="6436"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obligations*</w:t>
            </w:r>
          </w:p>
        </w:tc>
        <w:tc>
          <w:tcPr>
            <w:tcW w:w="1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shd w:fill="CCEEFF" w:val="clear"/>
            <w:vAlign w:val="center"/>
          </w:tcPr>
          <w:p>
            <w:pPr>
              <w:pStyle w:val="TableContents"/>
              <w:spacing w:before="0" w:after="0"/>
              <w:jc w:val="right"/>
              <w:rPr>
                <w:rFonts w:ascii="inherit" w:hAnsi="inherit"/>
                <w:sz w:val="17"/>
              </w:rPr>
            </w:pPr>
            <w:r>
              <w:rPr>
                <w:rFonts w:ascii="inherit" w:hAnsi="inherit"/>
                <w:sz w:val="17"/>
              </w:rPr>
              <w:t>230,645</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shd w:fill="CCEEFF" w:val="clear"/>
            <w:vAlign w:val="center"/>
          </w:tcPr>
          <w:p>
            <w:pPr>
              <w:pStyle w:val="TableContents"/>
              <w:spacing w:before="0" w:after="0"/>
              <w:jc w:val="right"/>
              <w:rPr>
                <w:rFonts w:ascii="inherit" w:hAnsi="inherit"/>
                <w:sz w:val="17"/>
              </w:rPr>
            </w:pPr>
            <w:r>
              <w:rPr>
                <w:rFonts w:ascii="inherit" w:hAnsi="inherit"/>
                <w:sz w:val="17"/>
              </w:rPr>
              <w:t>25,673</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shd w:fill="CCEEFF" w:val="clear"/>
            <w:vAlign w:val="center"/>
          </w:tcPr>
          <w:p>
            <w:pPr>
              <w:pStyle w:val="TableContents"/>
              <w:spacing w:before="0" w:after="0"/>
              <w:jc w:val="right"/>
              <w:rPr>
                <w:rFonts w:ascii="inherit" w:hAnsi="inherit"/>
                <w:sz w:val="17"/>
              </w:rPr>
            </w:pPr>
            <w:r>
              <w:rPr>
                <w:rFonts w:ascii="inherit" w:hAnsi="inherit"/>
                <w:sz w:val="17"/>
              </w:rPr>
              <w:t>165,689</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9" w:type="dxa"/>
            <w:tcBorders/>
            <w:shd w:fill="CCEEFF" w:val="clear"/>
            <w:vAlign w:val="center"/>
          </w:tcPr>
          <w:p>
            <w:pPr>
              <w:pStyle w:val="TableContents"/>
              <w:spacing w:before="0" w:after="0"/>
              <w:jc w:val="right"/>
              <w:rPr>
                <w:rFonts w:ascii="inherit" w:hAnsi="inherit"/>
                <w:sz w:val="17"/>
              </w:rPr>
            </w:pPr>
            <w:r>
              <w:rPr>
                <w:rFonts w:ascii="inherit" w:hAnsi="inherit"/>
                <w:sz w:val="17"/>
              </w:rPr>
              <w:t>39,283</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6" w:type="dxa"/>
            <w:tcBorders/>
            <w:shd w:fill="CCEEFF" w:val="clear"/>
            <w:vAlign w:val="center"/>
          </w:tcPr>
          <w:p>
            <w:pPr>
              <w:pStyle w:val="TableContents"/>
              <w:spacing w:before="0" w:after="0"/>
              <w:jc w:val="right"/>
              <w:rPr/>
            </w:pPr>
            <w:r>
              <w:rPr/>
              <w:t>—</w:t>
            </w:r>
          </w:p>
        </w:tc>
        <w:tc>
          <w:tcPr>
            <w:tcW w:w="1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on long-term debt obligations**</w:t>
            </w:r>
          </w:p>
        </w:tc>
        <w:tc>
          <w:tcPr>
            <w:tcW w:w="11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37,577</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12,685</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20,829</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4,063</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pPr>
            <w:r>
              <w:rPr/>
              <w:t>—</w:t>
            </w:r>
          </w:p>
        </w:tc>
        <w:tc>
          <w:tcPr>
            <w:tcW w:w="1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obligations</w:t>
            </w:r>
          </w:p>
        </w:tc>
        <w:tc>
          <w:tcPr>
            <w:tcW w:w="11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238,988</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56,893</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90,543</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0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49,275</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42,277</w:t>
            </w:r>
          </w:p>
        </w:tc>
        <w:tc>
          <w:tcPr>
            <w:tcW w:w="1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1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1,054</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537</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517</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76" w:type="dxa"/>
            <w:gridSpan w:val="2"/>
            <w:tcBorders/>
            <w:shd w:fill="auto" w:val="clear"/>
            <w:vAlign w:val="center"/>
          </w:tcPr>
          <w:p>
            <w:pPr>
              <w:pStyle w:val="TableContents"/>
              <w:spacing w:before="0" w:after="0"/>
              <w:jc w:val="right"/>
              <w:rPr/>
            </w:pPr>
            <w:r>
              <w:rPr/>
              <w:t>—</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85" w:type="dxa"/>
            <w:gridSpan w:val="2"/>
            <w:tcBorders/>
            <w:shd w:fill="auto" w:val="clear"/>
            <w:vAlign w:val="center"/>
          </w:tcPr>
          <w:p>
            <w:pPr>
              <w:pStyle w:val="TableContents"/>
              <w:spacing w:before="0" w:after="0"/>
              <w:jc w:val="right"/>
              <w:rPr/>
            </w:pPr>
            <w:r>
              <w:rPr/>
              <w:t>—</w:t>
            </w:r>
          </w:p>
        </w:tc>
        <w:tc>
          <w:tcPr>
            <w:tcW w:w="1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on capital lease obligations</w:t>
            </w:r>
          </w:p>
        </w:tc>
        <w:tc>
          <w:tcPr>
            <w:tcW w:w="11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076" w:type="dxa"/>
            <w:gridSpan w:val="2"/>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085" w:type="dxa"/>
            <w:gridSpan w:val="2"/>
            <w:tcBorders/>
            <w:shd w:fill="CCEEFF" w:val="clear"/>
            <w:vAlign w:val="center"/>
          </w:tcPr>
          <w:p>
            <w:pPr>
              <w:pStyle w:val="TableContents"/>
              <w:spacing w:before="0" w:after="0"/>
              <w:jc w:val="right"/>
              <w:rPr/>
            </w:pPr>
            <w:r>
              <w:rPr/>
              <w:t>—</w:t>
            </w:r>
          </w:p>
        </w:tc>
        <w:tc>
          <w:tcPr>
            <w:tcW w:w="1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6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Deferred consideration</w:t>
            </w:r>
          </w:p>
        </w:tc>
        <w:tc>
          <w:tcPr>
            <w:tcW w:w="1116"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24,068</w:t>
            </w:r>
          </w:p>
        </w:tc>
        <w:tc>
          <w:tcPr>
            <w:tcW w:w="9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116"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11,304</w:t>
            </w:r>
          </w:p>
        </w:tc>
        <w:tc>
          <w:tcPr>
            <w:tcW w:w="9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116"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12,764</w:t>
            </w:r>
          </w:p>
        </w:tc>
        <w:tc>
          <w:tcPr>
            <w:tcW w:w="9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76" w:type="dxa"/>
            <w:gridSpan w:val="2"/>
            <w:tcBorders>
              <w:bottom w:val="double" w:sz="6" w:space="0" w:color="000000"/>
            </w:tcBorders>
            <w:shd w:fill="auto" w:val="clear"/>
            <w:tcMar>
              <w:bottom w:w="30" w:type="dxa"/>
            </w:tcMar>
            <w:vAlign w:val="center"/>
          </w:tcPr>
          <w:p>
            <w:pPr>
              <w:pStyle w:val="TableContents"/>
              <w:spacing w:before="0" w:after="0"/>
              <w:jc w:val="right"/>
              <w:rPr/>
            </w:pPr>
            <w:r>
              <w:rPr/>
              <w:t>—</w:t>
            </w:r>
          </w:p>
        </w:tc>
        <w:tc>
          <w:tcPr>
            <w:tcW w:w="9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85" w:type="dxa"/>
            <w:gridSpan w:val="2"/>
            <w:tcBorders>
              <w:bottom w:val="double" w:sz="6" w:space="0" w:color="000000"/>
            </w:tcBorders>
            <w:shd w:fill="auto" w:val="clear"/>
            <w:tcMar>
              <w:bottom w:w="30" w:type="dxa"/>
            </w:tcMar>
            <w:vAlign w:val="center"/>
          </w:tcPr>
          <w:p>
            <w:pPr>
              <w:pStyle w:val="TableContents"/>
              <w:spacing w:before="0" w:after="0"/>
              <w:jc w:val="right"/>
              <w:rPr/>
            </w:pPr>
            <w:r>
              <w:rPr/>
              <w:t>—</w:t>
            </w:r>
          </w:p>
        </w:tc>
        <w:tc>
          <w:tcPr>
            <w:tcW w:w="10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532,436</w:t>
            </w:r>
          </w:p>
        </w:tc>
        <w:tc>
          <w:tcPr>
            <w:tcW w:w="9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2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107,168</w:t>
            </w:r>
          </w:p>
        </w:tc>
        <w:tc>
          <w:tcPr>
            <w:tcW w:w="9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2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290,370</w:t>
            </w:r>
          </w:p>
        </w:tc>
        <w:tc>
          <w:tcPr>
            <w:tcW w:w="9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2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92,621</w:t>
            </w:r>
          </w:p>
        </w:tc>
        <w:tc>
          <w:tcPr>
            <w:tcW w:w="9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2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42,277</w:t>
            </w:r>
          </w:p>
        </w:tc>
        <w:tc>
          <w:tcPr>
            <w:tcW w:w="10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6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 Excludes debt premium related to Grupo Finmart</w:t>
            </w:r>
          </w:p>
        </w:tc>
        <w:tc>
          <w:tcPr>
            <w:tcW w:w="1207"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207"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207"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167"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192" w:type="dxa"/>
            <w:gridSpan w:val="3"/>
            <w:tcBorders/>
            <w:shd w:fill="auto" w:val="clear"/>
            <w:vAlign w:val="center"/>
          </w:tcPr>
          <w:p>
            <w:pPr>
              <w:pStyle w:val="TableContents"/>
              <w:spacing w:before="0" w:after="0"/>
              <w:ind w:left="0" w:right="0" w:firstLine="30"/>
              <w:rPr/>
            </w:pPr>
            <w:r>
              <w:rPr/>
              <w:t> </w:t>
            </w:r>
          </w:p>
        </w:tc>
      </w:tr>
      <w:tr>
        <w:trPr/>
        <w:tc>
          <w:tcPr>
            <w:tcW w:w="10205" w:type="dxa"/>
            <w:gridSpan w:val="20"/>
            <w:tcBorders/>
            <w:shd w:fill="auto" w:val="clear"/>
            <w:vAlign w:val="center"/>
          </w:tcPr>
          <w:p>
            <w:pPr>
              <w:pStyle w:val="TableContents"/>
              <w:spacing w:before="0" w:after="0"/>
              <w:jc w:val="left"/>
              <w:rPr>
                <w:rFonts w:ascii="inherit" w:hAnsi="inherit"/>
                <w:sz w:val="13"/>
              </w:rPr>
            </w:pPr>
            <w:r>
              <w:rPr>
                <w:rFonts w:ascii="inherit" w:hAnsi="inherit"/>
                <w:sz w:val="13"/>
              </w:rPr>
              <w:t>** Future interest on long-term obligations calculated on interest rates effective at the balance sheet date</w:t>
            </w:r>
          </w:p>
        </w:tc>
      </w:tr>
    </w:tbl>
    <w:p>
      <w:pPr>
        <w:pStyle w:val="TextBody"/>
        <w:spacing w:lineRule="auto" w:line="288" w:before="0" w:after="0"/>
        <w:rPr>
          <w:sz w:val="17"/>
        </w:rPr>
      </w:pPr>
      <w:r>
        <w:rPr>
          <w:rFonts w:ascii="inherit" w:hAnsi="inherit"/>
          <w:sz w:val="17"/>
        </w:rPr>
        <w:t xml:space="preserve">In addition to the contractual obligations in the table above, we are obligated under letters of credit issued to unaffiliated lenders as part of our credit service operations. At </w:t>
      </w:r>
      <w:r>
        <w:rPr>
          <w:rFonts w:ascii="inherit" w:hAnsi="inherit"/>
          <w:strike w:val="false"/>
          <w:dstrike w:val="false"/>
          <w:color w:val="000000"/>
          <w:sz w:val="17"/>
          <w:u w:val="none"/>
          <w:effect w:val="none"/>
        </w:rPr>
        <w:t>June 30, 2013</w:t>
      </w:r>
      <w:r>
        <w:rPr>
          <w:rFonts w:ascii="inherit" w:hAnsi="inherit"/>
          <w:sz w:val="17"/>
        </w:rPr>
        <w:t xml:space="preserve">, our maximum exposure for losses on letters of credit, if all brokered loans defaulted and none were collected, was </w:t>
      </w:r>
      <w:r>
        <w:rPr>
          <w:rFonts w:ascii="inherit" w:hAnsi="inherit"/>
          <w:strike w:val="false"/>
          <w:dstrike w:val="false"/>
          <w:color w:val="000000"/>
          <w:sz w:val="17"/>
          <w:u w:val="none"/>
          <w:effect w:val="none"/>
        </w:rPr>
        <w:t>$28.8 million</w:t>
      </w:r>
      <w:r>
        <w:rPr>
          <w:rFonts w:ascii="inherit" w:hAnsi="inherit"/>
          <w:sz w:val="17"/>
        </w:rPr>
        <w:t>. Of that total, $8.0 million was secured by titles to customers’ automobiles. These amounts include principal, interest and insufficient funds fees.</w:t>
      </w:r>
    </w:p>
    <w:p>
      <w:pPr>
        <w:pStyle w:val="TextBody"/>
        <w:spacing w:lineRule="auto" w:line="288" w:before="0" w:after="0"/>
        <w:rPr>
          <w:sz w:val="17"/>
        </w:rPr>
      </w:pPr>
      <w:r>
        <w:rPr>
          <w:rFonts w:ascii="inherit" w:hAnsi="inherit"/>
          <w:sz w:val="17"/>
        </w:rPr>
        <w:t xml:space="preserve">In addition to the operating lease obligations in the table above, we are responsible for the maintenance, property taxes and insurance at most of our locations. In the fiscal year ended </w:t>
      </w:r>
      <w:r>
        <w:rPr>
          <w:rFonts w:ascii="inherit" w:hAnsi="inherit"/>
          <w:strike w:val="false"/>
          <w:dstrike w:val="false"/>
          <w:color w:val="000000"/>
          <w:sz w:val="17"/>
          <w:u w:val="none"/>
          <w:effect w:val="none"/>
        </w:rPr>
        <w:t>September 30, 2012</w:t>
      </w:r>
      <w:r>
        <w:rPr>
          <w:rFonts w:ascii="inherit" w:hAnsi="inherit"/>
          <w:sz w:val="17"/>
        </w:rPr>
        <w:t>, these collectively amounted to $17.9 million.</w:t>
      </w:r>
    </w:p>
    <w:p>
      <w:pPr>
        <w:pStyle w:val="TextBody"/>
        <w:spacing w:lineRule="auto" w:line="288" w:before="0" w:after="0"/>
        <w:rPr>
          <w:sz w:val="17"/>
        </w:rPr>
      </w:pPr>
      <w:r>
        <w:rPr>
          <w:rFonts w:ascii="inherit" w:hAnsi="inherit"/>
          <w:sz w:val="17"/>
        </w:rPr>
        <w:t xml:space="preserve">The operating lease obligations in the table above include expected rent for all our store locations through the end of their current lease terms. Of the </w:t>
      </w:r>
      <w:r>
        <w:rPr>
          <w:rFonts w:ascii="inherit" w:hAnsi="inherit"/>
          <w:strike w:val="false"/>
          <w:dstrike w:val="false"/>
          <w:color w:val="000000"/>
          <w:sz w:val="17"/>
          <w:u w:val="none"/>
          <w:effect w:val="none"/>
        </w:rPr>
        <w:t>492</w:t>
      </w:r>
      <w:r>
        <w:rPr>
          <w:sz w:val="17"/>
        </w:rPr>
        <w:t xml:space="preserve"> </w:t>
      </w:r>
      <w:r>
        <w:rPr>
          <w:rFonts w:ascii="inherit" w:hAnsi="inherit"/>
          <w:sz w:val="17"/>
        </w:rPr>
        <w:t>U.S. EZMONEY financial services stores, 208 adjoin an EZPAWN store. The lease agreements at approximately 95% of the remaining 284 free-standing EZMONEY stores contain provisions that limit our exposure for additional rent to only a few months if laws were enacted that had a significant negative effect on our operations at these stores.</w:t>
      </w:r>
    </w:p>
    <w:p>
      <w:pPr>
        <w:pStyle w:val="TextBody"/>
        <w:spacing w:lineRule="auto" w:line="288" w:before="0" w:after="0"/>
        <w:rPr>
          <w:sz w:val="17"/>
        </w:rPr>
      </w:pPr>
      <w:r>
        <w:rPr>
          <w:rFonts w:ascii="inherit" w:hAnsi="inherit"/>
          <w:sz w:val="17"/>
        </w:rPr>
        <w:t xml:space="preserve">In the remaining three months of the fiscal year ending </w:t>
      </w:r>
      <w:r>
        <w:rPr>
          <w:rFonts w:ascii="inherit" w:hAnsi="inherit"/>
          <w:strike w:val="false"/>
          <w:dstrike w:val="false"/>
          <w:color w:val="000000"/>
          <w:sz w:val="17"/>
          <w:u w:val="none"/>
          <w:effect w:val="none"/>
        </w:rPr>
        <w:t>September 30, 2013</w:t>
      </w:r>
      <w:r>
        <w:rPr>
          <w:rFonts w:ascii="inherit" w:hAnsi="inherit"/>
          <w:sz w:val="17"/>
        </w:rPr>
        <w:t>, we plan to open 2 pawn stores in the U.S., 4 pawn stores in Mexico and 10 to 15 financial services stores in the U.S. (most of which will follow our store-within-a-store format). The aggregate investment for this de novo activity is expected to be approximately $2.0 million of capital expenditures plus the funding of working capital and start-up losses. The number of planned new store openings in the remaining three months may change depending on business conditions in each market. We believe new stores will create a drag on earnings and liquidity until their second year of operations.</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May 10, 2011</w:t>
      </w:r>
      <w:r>
        <w:rPr>
          <w:rFonts w:ascii="inherit" w:hAnsi="inherit"/>
          <w:sz w:val="17"/>
        </w:rPr>
        <w:t xml:space="preserve">, we entered into a new senior secured credit agreement with a syndication of five banks, replacing our previous credit agreement. Among other things, the new credit agreement provides for a </w:t>
      </w:r>
      <w:r>
        <w:rPr>
          <w:rFonts w:ascii="inherit" w:hAnsi="inherit"/>
          <w:strike w:val="false"/>
          <w:dstrike w:val="false"/>
          <w:color w:val="000000"/>
          <w:sz w:val="17"/>
          <w:u w:val="none"/>
          <w:effect w:val="none"/>
        </w:rPr>
        <w:t>four</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all other outstanding debt. On </w:t>
      </w:r>
      <w:r>
        <w:rPr>
          <w:rFonts w:ascii="inherit" w:hAnsi="inherit"/>
          <w:strike w:val="false"/>
          <w:dstrike w:val="false"/>
          <w:color w:val="000000"/>
          <w:sz w:val="17"/>
          <w:u w:val="none"/>
          <w:effect w:val="none"/>
        </w:rPr>
        <w:t>May 31, 2013</w:t>
      </w:r>
      <w:r>
        <w:rPr>
          <w:rFonts w:ascii="inherit" w:hAnsi="inherit"/>
          <w:sz w:val="17"/>
        </w:rPr>
        <w:t xml:space="preserve">, we amended the senior secured credit agreement to increase our revolving credit facility from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$200 million</w:t>
      </w:r>
      <w:r>
        <w:rPr>
          <w:rFonts w:ascii="inherit" w:hAnsi="inherit"/>
          <w:sz w:val="17"/>
        </w:rPr>
        <w:t xml:space="preserve">. The new credit facility increases our available credit and provides greater flexibility to make investments and acquisitions both domestically and internationally. No other terms of our senior secured credit agreement were modified. Terms of the credit agreement require, among other things, that we meet certain financial covenants. We were in compliance with all covenants at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expect to remain in compliance based on our expected future performance. At </w:t>
      </w:r>
      <w:r>
        <w:rPr>
          <w:rFonts w:ascii="inherit" w:hAnsi="inherit"/>
          <w:strike w:val="false"/>
          <w:dstrike w:val="false"/>
          <w:color w:val="000000"/>
          <w:sz w:val="17"/>
          <w:u w:val="none"/>
          <w:effect w:val="none"/>
        </w:rPr>
        <w:t>June 30, 2013</w:t>
      </w:r>
      <w:r>
        <w:rPr>
          <w:rFonts w:ascii="inherit" w:hAnsi="inherit"/>
          <w:sz w:val="17"/>
        </w:rPr>
        <w:t xml:space="preserve">, we had borrowed </w:t>
      </w:r>
      <w:r>
        <w:rPr>
          <w:rFonts w:ascii="inherit" w:hAnsi="inherit"/>
          <w:strike w:val="false"/>
          <w:dstrike w:val="false"/>
          <w:color w:val="000000"/>
          <w:sz w:val="17"/>
          <w:u w:val="none"/>
          <w:effect w:val="none"/>
        </w:rPr>
        <w:t>$122.5 million</w:t>
      </w:r>
      <w:r>
        <w:rPr>
          <w:rFonts w:ascii="inherit" w:hAnsi="inherit"/>
          <w:sz w:val="17"/>
        </w:rPr>
        <w:t xml:space="preserve">. We also issued a $1.8 million letter of credit, leaving $75.7 million available on our revolving credit facility. The outstanding bank letters of credit were required under our workers' compensation insurance program and for our International office in Miami, Florida.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72</w:t>
      </w:r>
      <w:r>
        <w:br w:type="page"/>
      </w:r>
    </w:p>
    <w:p>
      <w:pPr>
        <w:pStyle w:val="TextBody"/>
        <w:spacing w:lineRule="auto" w:line="288" w:before="0" w:after="0"/>
        <w:rPr/>
      </w:pPr>
      <w:hyperlink w:anchor="s6341541F7667DB742175CD29235C399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We anticipate that cash flow from operations, cash on hand and availability under our revolving credit facility will be adequate to fund our contractual obligations, planned store growth, capital expenditures and working capital requirements during the coming year.</w:t>
      </w:r>
    </w:p>
    <w:p>
      <w:pPr>
        <w:pStyle w:val="TextBody"/>
        <w:spacing w:lineRule="auto" w:line="288" w:before="0" w:after="0"/>
        <w:rPr>
          <w:sz w:val="17"/>
        </w:rPr>
      </w:pPr>
      <w:r>
        <w:rPr>
          <w:rFonts w:ascii="inherit" w:hAnsi="inherit"/>
          <w:sz w:val="17"/>
        </w:rPr>
        <w:t xml:space="preserve">At the beginning of the current nine-month period, we had an effective “shelf” Registration Statement on Form S-4 covering an aggregate of </w:t>
      </w:r>
      <w:r>
        <w:rPr>
          <w:rFonts w:ascii="inherit" w:hAnsi="inherit"/>
          <w:strike w:val="false"/>
          <w:dstrike w:val="false"/>
          <w:color w:val="000000"/>
          <w:sz w:val="17"/>
          <w:u w:val="none"/>
          <w:effect w:val="none"/>
        </w:rPr>
        <w:t>2.0 million</w:t>
      </w:r>
      <w:r>
        <w:rPr>
          <w:sz w:val="17"/>
        </w:rPr>
        <w:t xml:space="preserve"> </w:t>
      </w:r>
      <w:r>
        <w:rPr>
          <w:rFonts w:ascii="inherit" w:hAnsi="inherit"/>
          <w:sz w:val="17"/>
        </w:rPr>
        <w:t>shares of our Class A Common Stock that we may offer from time to time in connection with future acquisitions of businesses, assets or securities, with 1.2 million shares remaining for issuance. During the current nine-month period, we issued all the remaining shares in connection with the acquisition of 12 pawn stores in Arizona, and as of the end of the nine-month period, have no remaining shares covered by the registration statement.</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February 3, 2012</w:t>
      </w:r>
      <w:r>
        <w:rPr>
          <w:rFonts w:ascii="inherit" w:hAnsi="inherit"/>
          <w:sz w:val="17"/>
        </w:rPr>
        <w:t xml:space="preserve">, we filed with the United States Securities and Exchange Commission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will be used for general corporate purposes, including debt reduction or refinancing, acquisitions, capital expenditures and working capital. Unless otherwise indicated in connection with a particular offering of debt securities, each of our domestic subsidiaries will fully and unconditionally guarantee on a joint and several basis our payment obligations under such debt securities. As of </w:t>
      </w:r>
      <w:r>
        <w:rPr>
          <w:rFonts w:ascii="inherit" w:hAnsi="inherit"/>
          <w:strike w:val="false"/>
          <w:dstrike w:val="false"/>
          <w:color w:val="000000"/>
          <w:sz w:val="17"/>
          <w:u w:val="none"/>
          <w:effect w:val="none"/>
        </w:rPr>
        <w:t>June 30, 2013</w:t>
      </w:r>
      <w:r>
        <w:rPr>
          <w:rFonts w:ascii="inherit" w:hAnsi="inherit"/>
          <w:sz w:val="17"/>
        </w:rPr>
        <w:t xml:space="preserve">, we had not issued any securities under this registration statement. </w:t>
      </w:r>
    </w:p>
    <w:p>
      <w:pPr>
        <w:pStyle w:val="TextBody"/>
        <w:spacing w:lineRule="auto" w:line="288" w:before="0" w:after="0"/>
        <w:rPr>
          <w:rFonts w:ascii="inherit" w:hAnsi="inherit"/>
          <w:b/>
          <w:sz w:val="17"/>
          <w:u w:val="single"/>
        </w:rPr>
      </w:pPr>
      <w:bookmarkStart w:id="62" w:name="sCAF74941A37B0B33B22FCD292D96460B"/>
      <w:bookmarkEnd w:id="62"/>
      <w:r>
        <w:rPr>
          <w:rFonts w:ascii="inherit" w:hAnsi="inherit"/>
          <w:b/>
          <w:sz w:val="17"/>
          <w:u w:val="single"/>
        </w:rPr>
        <w:t>Off-Balance Sheet Arrangements</w:t>
      </w:r>
    </w:p>
    <w:p>
      <w:pPr>
        <w:pStyle w:val="TextBody"/>
        <w:spacing w:lineRule="auto" w:line="288" w:before="0" w:after="0"/>
        <w:rPr>
          <w:rFonts w:ascii="inherit" w:hAnsi="inherit"/>
          <w:sz w:val="17"/>
        </w:rPr>
      </w:pPr>
      <w:r>
        <w:rPr>
          <w:rFonts w:ascii="inherit" w:hAnsi="inherit"/>
          <w:sz w:val="17"/>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pStyle w:val="TextBody"/>
        <w:spacing w:lineRule="auto" w:line="288" w:before="0" w:after="0"/>
        <w:rPr>
          <w:sz w:val="17"/>
        </w:rPr>
      </w:pPr>
      <w:r>
        <w:rPr>
          <w:rFonts w:ascii="inherit" w:hAnsi="inherit"/>
          <w:sz w:val="17"/>
        </w:rPr>
        <w:t xml:space="preserve">We include an allowance for expected LOC losses in “Accounts payable and other accrued expenses” on our balance sheet. At </w:t>
      </w:r>
      <w:r>
        <w:rPr>
          <w:rFonts w:ascii="inherit" w:hAnsi="inherit"/>
          <w:strike w:val="false"/>
          <w:dstrike w:val="false"/>
          <w:color w:val="000000"/>
          <w:sz w:val="17"/>
          <w:u w:val="none"/>
          <w:effect w:val="none"/>
        </w:rPr>
        <w:t>June 30, 2013</w:t>
      </w:r>
      <w:r>
        <w:rPr>
          <w:rFonts w:ascii="inherit" w:hAnsi="inherit"/>
          <w:sz w:val="17"/>
        </w:rPr>
        <w:t xml:space="preserve">, the allowance for expected LOC losses was </w:t>
      </w:r>
      <w:r>
        <w:rPr>
          <w:rFonts w:ascii="inherit" w:hAnsi="inherit"/>
          <w:strike w:val="false"/>
          <w:dstrike w:val="false"/>
          <w:color w:val="000000"/>
          <w:sz w:val="17"/>
          <w:u w:val="none"/>
          <w:effect w:val="none"/>
        </w:rPr>
        <w:t>$2.2 million</w:t>
      </w:r>
      <w:r>
        <w:rPr>
          <w:rFonts w:ascii="inherit" w:hAnsi="inherit"/>
          <w:sz w:val="17"/>
        </w:rPr>
        <w:t xml:space="preserve">. At that date, our maximum exposure for losses on letters of credit, if all brokered loans defaulted and none were collected, was </w:t>
      </w:r>
      <w:r>
        <w:rPr>
          <w:rFonts w:ascii="inherit" w:hAnsi="inherit"/>
          <w:strike w:val="false"/>
          <w:dstrike w:val="false"/>
          <w:color w:val="000000"/>
          <w:sz w:val="17"/>
          <w:u w:val="none"/>
          <w:effect w:val="none"/>
        </w:rPr>
        <w:t>$28.8 million</w:t>
      </w:r>
      <w:r>
        <w:rPr>
          <w:rFonts w:ascii="inherit" w:hAnsi="inherit"/>
          <w:sz w:val="17"/>
        </w:rPr>
        <w:t>. This amount includes principal, interest and insufficient funds fees.</w:t>
      </w:r>
    </w:p>
    <w:p>
      <w:pPr>
        <w:pStyle w:val="TextBody"/>
        <w:spacing w:lineRule="auto" w:line="288" w:before="0" w:after="0"/>
        <w:rPr>
          <w:rFonts w:ascii="inherit" w:hAnsi="inherit"/>
          <w:sz w:val="17"/>
        </w:rPr>
      </w:pPr>
      <w:r>
        <w:rPr>
          <w:rFonts w:ascii="inherit" w:hAnsi="inherit"/>
          <w:sz w:val="17"/>
        </w:rPr>
        <w:t>We have no other off-balance sheet arrangements.</w:t>
      </w:r>
    </w:p>
    <w:p>
      <w:pPr>
        <w:pStyle w:val="TextBody"/>
        <w:spacing w:lineRule="auto" w:line="288" w:before="0" w:after="0"/>
        <w:rPr>
          <w:rFonts w:ascii="inherit" w:hAnsi="inherit"/>
          <w:b/>
          <w:sz w:val="17"/>
        </w:rPr>
      </w:pPr>
      <w:bookmarkStart w:id="63" w:name="sA99C95FF3AADC6852D5CCD292DC814DF"/>
      <w:bookmarkEnd w:id="63"/>
      <w:r>
        <w:rPr>
          <w:rFonts w:ascii="inherit" w:hAnsi="inherit"/>
          <w:b/>
          <w:sz w:val="17"/>
        </w:rPr>
        <w:t>CAUTIONARY STATEMENT REGARDING RISKS AND UNCERTAINTIES</w:t>
      </w:r>
    </w:p>
    <w:p>
      <w:pPr>
        <w:pStyle w:val="TextBody"/>
        <w:spacing w:lineRule="auto" w:line="288" w:before="0" w:after="0"/>
        <w:rPr>
          <w:sz w:val="17"/>
        </w:rPr>
      </w:pPr>
      <w:r>
        <w:rPr>
          <w:rFonts w:ascii="inherit" w:hAnsi="inherit"/>
          <w:sz w:val="17"/>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1A—Risk Factors” of this Quarterly Report and “Part I, Item 1A—Risk Factors” of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rFonts w:ascii="inherit" w:hAnsi="inherit"/>
          <w:sz w:val="17"/>
        </w:rPr>
      </w:pPr>
      <w:r>
        <w:rPr>
          <w:rFonts w:ascii="inherit" w:hAnsi="inherit"/>
          <w:sz w:val="17"/>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73</w:t>
      </w:r>
      <w:r>
        <w:br w:type="page"/>
      </w:r>
    </w:p>
    <w:p>
      <w:pPr>
        <w:pStyle w:val="TextBody"/>
        <w:spacing w:lineRule="auto" w:line="288" w:before="0" w:after="0"/>
        <w:rPr/>
      </w:pPr>
      <w:hyperlink w:anchor="s6341541F7667DB742175CD29235C3997">
        <w:bookmarkStart w:id="64" w:name="s3724E22F2CFC82F6A863CD292DE90F52"/>
        <w:bookmarkEnd w:id="6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3. Quantitative and Qualitative Disclosures About Market Risk</w:t>
      </w:r>
    </w:p>
    <w:p>
      <w:pPr>
        <w:pStyle w:val="TextBody"/>
        <w:spacing w:lineRule="auto" w:line="288" w:before="0" w:after="0"/>
        <w:rPr>
          <w:rFonts w:ascii="inherit" w:hAnsi="inherit"/>
          <w:sz w:val="17"/>
        </w:rPr>
      </w:pPr>
      <w:r>
        <w:rPr>
          <w:rFonts w:ascii="inherit" w:hAnsi="inherit"/>
          <w:sz w:val="17"/>
        </w:rPr>
        <w:t>We are exposed to market risk related to interest rates, gold values and changes in foreign currency exchange rates.</w:t>
      </w:r>
    </w:p>
    <w:p>
      <w:pPr>
        <w:pStyle w:val="TextBody"/>
        <w:spacing w:lineRule="auto" w:line="288" w:before="0" w:after="0"/>
        <w:rPr>
          <w:sz w:val="17"/>
        </w:rPr>
      </w:pPr>
      <w:r>
        <w:rPr>
          <w:rFonts w:ascii="inherit" w:hAnsi="inherit"/>
          <w:sz w:val="17"/>
        </w:rPr>
        <w:t xml:space="preserve">Our earnings are affected by changes in interest rates as some of our debt has a variable rate. If interest rates average 50 basis points more than our current rate in the remaining three months of the fiscal year ending </w:t>
      </w:r>
      <w:r>
        <w:rPr>
          <w:rFonts w:ascii="inherit" w:hAnsi="inherit"/>
          <w:strike w:val="false"/>
          <w:dstrike w:val="false"/>
          <w:color w:val="000000"/>
          <w:sz w:val="17"/>
          <w:u w:val="none"/>
          <w:effect w:val="none"/>
        </w:rPr>
        <w:t>September 30, 2013</w:t>
      </w:r>
      <w:r>
        <w:rPr>
          <w:rFonts w:ascii="inherit" w:hAnsi="inherit"/>
          <w:sz w:val="17"/>
        </w:rPr>
        <w:t xml:space="preserve">, our interest expense during that period would increase by approximately $196,700. This amount is determined by considering the impact of the hypothetical interest rate change on our variable-rate debt at </w:t>
      </w:r>
      <w:r>
        <w:rPr>
          <w:rFonts w:ascii="inherit" w:hAnsi="inherit"/>
          <w:strike w:val="false"/>
          <w:dstrike w:val="false"/>
          <w:color w:val="000000"/>
          <w:sz w:val="17"/>
          <w:u w:val="none"/>
          <w:effect w:val="none"/>
        </w:rPr>
        <w:t>June 30, 2013</w:t>
      </w:r>
      <w:r>
        <w:rPr>
          <w:rFonts w:ascii="inherit" w:hAnsi="inherit"/>
          <w:sz w:val="17"/>
        </w:rPr>
        <w:t xml:space="preserve">. </w:t>
      </w:r>
    </w:p>
    <w:p>
      <w:pPr>
        <w:pStyle w:val="TextBody"/>
        <w:spacing w:lineRule="auto" w:line="288" w:before="0" w:after="0"/>
        <w:rPr>
          <w:rFonts w:ascii="inherit" w:hAnsi="inherit"/>
          <w:sz w:val="17"/>
        </w:rPr>
      </w:pPr>
      <w:r>
        <w:rPr>
          <w:rFonts w:ascii="inherit" w:hAnsi="inherit"/>
          <w:sz w:val="17"/>
        </w:rPr>
        <w:t>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w:t>
      </w:r>
    </w:p>
    <w:p>
      <w:pPr>
        <w:pStyle w:val="TextBody"/>
        <w:spacing w:lineRule="auto" w:line="288" w:before="0" w:after="0"/>
        <w:rPr>
          <w:rFonts w:ascii="inherit" w:hAnsi="inherit"/>
          <w:sz w:val="17"/>
        </w:rPr>
      </w:pPr>
      <w:r>
        <w:rPr>
          <w:rFonts w:ascii="inherit" w:hAnsi="inherit"/>
          <w:sz w:val="17"/>
        </w:rPr>
        <w:t xml:space="preserve">Our earnings and financial position are affected by changes in consumer cash needs and their preference to obtain cash using one of our loan products. Changes in the general economy may or may not impact the behaviors of our customers with regard to their desire and/or need to seek and obtain cash using one of our loan products. </w:t>
      </w:r>
    </w:p>
    <w:p>
      <w:pPr>
        <w:pStyle w:val="TextBody"/>
        <w:spacing w:lineRule="auto" w:line="288" w:before="0" w:after="0"/>
        <w:rPr>
          <w:rFonts w:ascii="inherit" w:hAnsi="inherit"/>
          <w:sz w:val="17"/>
        </w:rPr>
      </w:pPr>
      <w:r>
        <w:rPr>
          <w:rFonts w:ascii="inherit" w:hAnsi="inherit"/>
          <w:sz w:val="17"/>
        </w:rPr>
        <w:t>Our earnings and financial position are affected by foreign exchange rate fluctuations related to our equity investments in Albemarle &amp; Bond and Cash Converters International, our Empeño Fácil pawn operations, TUYO retail operations and Grupo Finmart operations in Mexico, our operations in Canada and our Cash Genie operations in the U.K. Albemarle &amp; Bond and Cash Genie's functional currency is the British pound, Cash Converters’ International functional currency is the Australian dollar, Empeño Fácil and Grupo Finmart’s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pStyle w:val="TextBody"/>
        <w:spacing w:lineRule="auto" w:line="288" w:before="0" w:after="0"/>
        <w:rPr>
          <w:sz w:val="17"/>
        </w:rPr>
      </w:pPr>
      <w:r>
        <w:rPr>
          <w:rFonts w:ascii="inherit" w:hAnsi="inherit"/>
          <w:sz w:val="17"/>
        </w:rPr>
        <w:t xml:space="preserve">The translation adjustment from Albemarle &amp; Bond representing the weakening in the British pound during the quarter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(included in our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results on a three-month lag) was a $1.5 million decrease to stockholders’ equity. The translation adjustment from Cash Genie represents the strengthening in the British pound, resulting in a nominal increase to stockholders' equity. On </w:t>
      </w:r>
      <w:r>
        <w:rPr>
          <w:rFonts w:ascii="inherit" w:hAnsi="inherit"/>
          <w:strike w:val="false"/>
          <w:dstrike w:val="false"/>
          <w:color w:val="000000"/>
          <w:sz w:val="17"/>
          <w:u w:val="none"/>
          <w:effect w:val="none"/>
        </w:rPr>
        <w:t>June 30, 2013</w:t>
      </w:r>
      <w:r>
        <w:rPr>
          <w:rFonts w:ascii="inherit" w:hAnsi="inherit"/>
          <w:sz w:val="17"/>
        </w:rPr>
        <w:t xml:space="preserve">, the British pound strengthened to £1.00 to $1.5208 U.S. from $1.5189 at </w:t>
      </w:r>
      <w:r>
        <w:rPr>
          <w:rFonts w:ascii="inherit" w:hAnsi="inherit"/>
          <w:strike w:val="false"/>
          <w:dstrike w:val="false"/>
          <w:color w:val="000000"/>
          <w:sz w:val="17"/>
          <w:u w:val="none"/>
          <w:effect w:val="none"/>
        </w:rPr>
        <w:t>March 31, 2013</w:t>
      </w:r>
      <w:r>
        <w:rPr>
          <w:rFonts w:ascii="inherit" w:hAnsi="inherit"/>
          <w:sz w:val="17"/>
        </w:rPr>
        <w:t>.</w:t>
      </w:r>
    </w:p>
    <w:p>
      <w:pPr>
        <w:pStyle w:val="TextBody"/>
        <w:spacing w:lineRule="auto" w:line="288" w:before="0" w:after="0"/>
        <w:rPr>
          <w:sz w:val="17"/>
        </w:rPr>
      </w:pPr>
      <w:r>
        <w:rPr>
          <w:rFonts w:ascii="inherit" w:hAnsi="inherit"/>
          <w:sz w:val="17"/>
        </w:rPr>
        <w:t xml:space="preserve">The translation adjustment from Cash Converters International representing the strengthening in the Australian dollar during the quarter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(included in our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results on a three-month lag) was a $0.3 million increase to stockholders’ equity. On </w:t>
      </w:r>
      <w:r>
        <w:rPr>
          <w:rFonts w:ascii="inherit" w:hAnsi="inherit"/>
          <w:strike w:val="false"/>
          <w:dstrike w:val="false"/>
          <w:color w:val="000000"/>
          <w:sz w:val="17"/>
          <w:u w:val="none"/>
          <w:effect w:val="none"/>
        </w:rPr>
        <w:t>June 30, 2013</w:t>
      </w:r>
      <w:r>
        <w:rPr>
          <w:rFonts w:ascii="inherit" w:hAnsi="inherit"/>
          <w:sz w:val="17"/>
        </w:rPr>
        <w:t xml:space="preserve">, the Australian dollar weakened to $1.00 Australian dollar to $0.9133 U.S. from $1.0416 at </w:t>
      </w:r>
      <w:r>
        <w:rPr>
          <w:rFonts w:ascii="inherit" w:hAnsi="inherit"/>
          <w:strike w:val="false"/>
          <w:dstrike w:val="false"/>
          <w:color w:val="000000"/>
          <w:sz w:val="17"/>
          <w:u w:val="none"/>
          <w:effect w:val="none"/>
        </w:rPr>
        <w:t>March 31, 2013</w:t>
      </w:r>
      <w:r>
        <w:rPr>
          <w:rFonts w:ascii="inherit" w:hAnsi="inherit"/>
          <w:sz w:val="17"/>
        </w:rPr>
        <w:t>.</w:t>
      </w:r>
    </w:p>
    <w:p>
      <w:pPr>
        <w:pStyle w:val="TextBody"/>
        <w:spacing w:lineRule="auto" w:line="288" w:before="0" w:after="0"/>
        <w:rPr>
          <w:sz w:val="17"/>
        </w:rPr>
      </w:pPr>
      <w:r>
        <w:rPr>
          <w:rFonts w:ascii="inherit" w:hAnsi="inherit"/>
          <w:sz w:val="17"/>
        </w:rPr>
        <w:t xml:space="preserve">The translation adjustment from Latin America representing the weakening of the Mexican peso during the quarter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was a $9.8 million decrease to stockholders’ equity. We have currently assumed permanent reinvestment of earnings and capital in Mexico. Accumulated translation gains or losses related to any future repatriation of earnings or capital would impact our earnings in the period of repatriation. On </w:t>
      </w:r>
      <w:r>
        <w:rPr>
          <w:rFonts w:ascii="inherit" w:hAnsi="inherit"/>
          <w:strike w:val="false"/>
          <w:dstrike w:val="false"/>
          <w:color w:val="000000"/>
          <w:sz w:val="17"/>
          <w:u w:val="none"/>
          <w:effect w:val="none"/>
        </w:rPr>
        <w:t>June 30, 2013</w:t>
      </w:r>
      <w:r>
        <w:rPr>
          <w:rFonts w:ascii="inherit" w:hAnsi="inherit"/>
          <w:sz w:val="17"/>
        </w:rPr>
        <w:t xml:space="preserve">, the peso weakened to $1.00 Mexican peso to $0.0768 U.S. from $0.0809 at </w:t>
      </w:r>
      <w:r>
        <w:rPr>
          <w:rFonts w:ascii="inherit" w:hAnsi="inherit"/>
          <w:strike w:val="false"/>
          <w:dstrike w:val="false"/>
          <w:color w:val="000000"/>
          <w:sz w:val="17"/>
          <w:u w:val="none"/>
          <w:effect w:val="none"/>
        </w:rPr>
        <w:t>March 31, 2013</w:t>
      </w:r>
      <w:r>
        <w:rPr>
          <w:rFonts w:ascii="inherit" w:hAnsi="inherit"/>
          <w:sz w:val="17"/>
        </w:rPr>
        <w:t xml:space="preserve">. </w:t>
      </w:r>
    </w:p>
    <w:p>
      <w:pPr>
        <w:pStyle w:val="TextBody"/>
        <w:spacing w:lineRule="auto" w:line="288" w:before="0" w:after="0"/>
        <w:rPr>
          <w:sz w:val="17"/>
        </w:rPr>
      </w:pPr>
      <w:r>
        <w:rPr>
          <w:rFonts w:ascii="inherit" w:hAnsi="inherit"/>
          <w:sz w:val="17"/>
        </w:rPr>
        <w:t xml:space="preserve">The translation adjustment from our Canadian operations representing the weakening of the Canadian dollar during the quarter ended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was a $0.3 million decrease to stockholders' equity. On </w:t>
      </w:r>
      <w:r>
        <w:rPr>
          <w:rFonts w:ascii="inherit" w:hAnsi="inherit"/>
          <w:strike w:val="false"/>
          <w:dstrike w:val="false"/>
          <w:color w:val="000000"/>
          <w:sz w:val="17"/>
          <w:u w:val="none"/>
          <w:effect w:val="none"/>
        </w:rPr>
        <w:t>June 30, 2013</w:t>
      </w:r>
      <w:r>
        <w:rPr>
          <w:rFonts w:ascii="inherit" w:hAnsi="inherit"/>
          <w:sz w:val="17"/>
        </w:rPr>
        <w:t xml:space="preserve">, the Canadian dollar weakened to $1.00 Canadian dollar to $0.9500 U.S. from $0.9823 at </w:t>
      </w:r>
      <w:r>
        <w:rPr>
          <w:rFonts w:ascii="inherit" w:hAnsi="inherit"/>
          <w:strike w:val="false"/>
          <w:dstrike w:val="false"/>
          <w:color w:val="000000"/>
          <w:sz w:val="17"/>
          <w:u w:val="none"/>
          <w:effect w:val="none"/>
        </w:rPr>
        <w:t>March 31, 2013</w:t>
      </w:r>
      <w:r>
        <w:rPr>
          <w:rFonts w:ascii="inherit" w:hAnsi="inherit"/>
          <w:sz w:val="17"/>
        </w:rPr>
        <w:t>.</w:t>
      </w:r>
    </w:p>
    <w:p>
      <w:pPr>
        <w:pStyle w:val="TextBody"/>
        <w:spacing w:lineRule="auto" w:line="288" w:before="0" w:after="0"/>
        <w:rPr>
          <w:rFonts w:ascii="inherit" w:hAnsi="inherit"/>
          <w:sz w:val="17"/>
        </w:rPr>
      </w:pPr>
      <w:r>
        <w:rPr>
          <w:rFonts w:ascii="inherit" w:hAnsi="inherit"/>
          <w:sz w:val="17"/>
        </w:rPr>
        <w:t>We cannot predict the future valuation of foreign currencies or how further movements in them could affect our future earnings or financial position.</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74</w:t>
      </w:r>
      <w:r>
        <w:br w:type="page"/>
      </w:r>
    </w:p>
    <w:p>
      <w:pPr>
        <w:pStyle w:val="TextBody"/>
        <w:spacing w:lineRule="auto" w:line="288" w:before="0" w:after="0"/>
        <w:rPr/>
      </w:pPr>
      <w:hyperlink w:anchor="s6341541F7667DB742175CD29235C3997">
        <w:bookmarkStart w:id="65" w:name="sBC795A81A71AC2024C94CD292E1B61F4"/>
        <w:bookmarkEnd w:id="65"/>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Item 4. Controls and Procedures</w:t>
      </w:r>
    </w:p>
    <w:p>
      <w:pPr>
        <w:pStyle w:val="TextBody"/>
        <w:spacing w:lineRule="auto" w:line="288" w:before="0" w:after="0"/>
        <w:rPr>
          <w:rFonts w:ascii="inherit" w:hAnsi="inherit"/>
          <w:sz w:val="17"/>
        </w:rPr>
      </w:pPr>
      <w:r>
        <w:rPr>
          <w:rFonts w:ascii="inherit" w:hAnsi="inherit"/>
          <w:sz w:val="17"/>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spacing w:lineRule="auto" w:line="288" w:before="0" w:after="0"/>
        <w:rPr>
          <w:rFonts w:ascii="inherit" w:hAnsi="inherit"/>
          <w:b/>
          <w:i/>
          <w:sz w:val="17"/>
        </w:rPr>
      </w:pPr>
      <w:r>
        <w:rPr>
          <w:rFonts w:ascii="inherit" w:hAnsi="inherit"/>
          <w:b/>
          <w:i/>
          <w:sz w:val="17"/>
        </w:rPr>
        <w:t>Evaluation of Disclosure Controls and Procedures</w:t>
      </w:r>
    </w:p>
    <w:p>
      <w:pPr>
        <w:pStyle w:val="TextBody"/>
        <w:spacing w:lineRule="auto" w:line="288" w:before="0" w:after="0"/>
        <w:rPr>
          <w:sz w:val="17"/>
        </w:rPr>
      </w:pPr>
      <w:r>
        <w:rPr>
          <w:rFonts w:ascii="inherit" w:hAnsi="inherit"/>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w:t>
      </w:r>
      <w:r>
        <w:rPr>
          <w:rFonts w:ascii="inherit" w:hAnsi="inherit"/>
          <w:strike w:val="false"/>
          <w:dstrike w:val="false"/>
          <w:color w:val="000000"/>
          <w:sz w:val="17"/>
          <w:u w:val="none"/>
          <w:effect w:val="none"/>
        </w:rPr>
        <w:t>June 30, 2013</w:t>
      </w:r>
      <w:r>
        <w:rPr>
          <w:rFonts w:ascii="inherit" w:hAnsi="inherit"/>
          <w:sz w:val="17"/>
        </w:rPr>
        <w:t xml:space="preserve">. Based on that evaluation, our Chief Executive Officer and Chief Financial Officer concluded that our disclosure controls and procedures were effective as of </w:t>
      </w:r>
      <w:r>
        <w:rPr>
          <w:rFonts w:ascii="inherit" w:hAnsi="inherit"/>
          <w:strike w:val="false"/>
          <w:dstrike w:val="false"/>
          <w:color w:val="000000"/>
          <w:sz w:val="17"/>
          <w:u w:val="none"/>
          <w:effect w:val="none"/>
        </w:rPr>
        <w:t>June 30, 2013</w:t>
      </w:r>
      <w:r>
        <w:rPr>
          <w:rFonts w:ascii="inherit" w:hAnsi="inherit"/>
          <w:sz w:val="17"/>
        </w:rPr>
        <w:t>.</w:t>
      </w:r>
    </w:p>
    <w:p>
      <w:pPr>
        <w:pStyle w:val="TextBody"/>
        <w:spacing w:lineRule="auto" w:line="288" w:before="0" w:after="0"/>
        <w:rPr>
          <w:rFonts w:ascii="inherit" w:hAnsi="inherit"/>
          <w:b/>
          <w:i/>
          <w:sz w:val="17"/>
        </w:rPr>
      </w:pPr>
      <w:r>
        <w:rPr>
          <w:rFonts w:ascii="inherit" w:hAnsi="inherit"/>
          <w:b/>
          <w:i/>
          <w:sz w:val="17"/>
        </w:rPr>
        <w:t>Changes in Internal Control Over Financial Reporting</w:t>
      </w:r>
    </w:p>
    <w:p>
      <w:pPr>
        <w:pStyle w:val="TextBody"/>
        <w:spacing w:lineRule="auto" w:line="288" w:before="0" w:after="0"/>
        <w:rPr>
          <w:sz w:val="17"/>
        </w:rPr>
      </w:pPr>
      <w:r>
        <w:rPr>
          <w:rFonts w:ascii="inherit" w:hAnsi="inherit"/>
          <w:sz w:val="17"/>
        </w:rPr>
        <w:t xml:space="preserve">There were no changes in our internal control over financial reporting during the </w:t>
      </w:r>
      <w:r>
        <w:rPr>
          <w:rFonts w:ascii="inherit" w:hAnsi="inherit"/>
          <w:strike w:val="false"/>
          <w:dstrike w:val="false"/>
          <w:color w:val="000000"/>
          <w:sz w:val="17"/>
          <w:u w:val="none"/>
          <w:effect w:val="none"/>
        </w:rPr>
        <w:t>third</w:t>
      </w:r>
      <w:r>
        <w:rPr>
          <w:sz w:val="17"/>
        </w:rPr>
        <w:t xml:space="preserve"> </w:t>
      </w:r>
      <w:r>
        <w:rPr>
          <w:rFonts w:ascii="inherit" w:hAnsi="inherit"/>
          <w:sz w:val="17"/>
        </w:rPr>
        <w:t xml:space="preserve">quarter of </w:t>
      </w:r>
      <w:r>
        <w:rPr>
          <w:rFonts w:ascii="inherit" w:hAnsi="inherit"/>
          <w:strike w:val="false"/>
          <w:dstrike w:val="false"/>
          <w:color w:val="000000"/>
          <w:sz w:val="17"/>
          <w:u w:val="none"/>
          <w:effect w:val="none"/>
        </w:rPr>
        <w:t>fiscal 2013</w:t>
      </w:r>
      <w:r>
        <w:rPr>
          <w:sz w:val="17"/>
        </w:rPr>
        <w:t xml:space="preserve"> </w:t>
      </w:r>
      <w:r>
        <w:rPr>
          <w:rFonts w:ascii="inherit" w:hAnsi="inherit"/>
          <w:sz w:val="17"/>
        </w:rPr>
        <w:t>that have materially affected, or are reasonably likely to materially affect, our internal control over financial reporting.</w:t>
      </w:r>
    </w:p>
    <w:p>
      <w:pPr>
        <w:pStyle w:val="TextBody"/>
        <w:spacing w:lineRule="auto" w:line="288" w:before="0" w:after="0"/>
        <w:rPr>
          <w:rFonts w:ascii="inherit" w:hAnsi="inherit"/>
          <w:b/>
          <w:i/>
          <w:sz w:val="17"/>
        </w:rPr>
      </w:pPr>
      <w:r>
        <w:rPr>
          <w:rFonts w:ascii="inherit" w:hAnsi="inherit"/>
          <w:b/>
          <w:i/>
          <w:sz w:val="17"/>
        </w:rPr>
        <w:t>Inherent Limitations on Internal Controls</w:t>
      </w:r>
    </w:p>
    <w:p>
      <w:pPr>
        <w:pStyle w:val="TextBody"/>
        <w:spacing w:lineRule="auto" w:line="288" w:before="0" w:after="0"/>
        <w:rPr>
          <w:rFonts w:ascii="inherit" w:hAnsi="inherit"/>
          <w:sz w:val="17"/>
        </w:rPr>
      </w:pPr>
      <w:r>
        <w:rPr>
          <w:rFonts w:ascii="inherit" w:hAnsi="inherit"/>
          <w:sz w:val="17"/>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Judgments in decision-making can be faulty, and control and process breakdowns can occur because of simple errors or mistakes.</w:t>
            </w:r>
          </w:p>
        </w:tc>
      </w:tr>
    </w:tbl>
    <w:tbl>
      <w:tblPr>
        <w:tblW w:w="9835" w:type="dxa"/>
        <w:jc w:val="left"/>
        <w:tblInd w:w="0" w:type="dxa"/>
        <w:tblCellMar>
          <w:top w:w="0" w:type="dxa"/>
          <w:left w:w="0" w:type="dxa"/>
          <w:bottom w:w="0" w:type="dxa"/>
          <w:right w:w="0" w:type="dxa"/>
        </w:tblCellMar>
      </w:tblPr>
      <w:tblGrid>
        <w:gridCol w:w="305"/>
        <w:gridCol w:w="9530"/>
      </w:tblGrid>
      <w:tr>
        <w:trPr/>
        <w:tc>
          <w:tcPr>
            <w:tcW w:w="305" w:type="dxa"/>
            <w:tcBorders/>
            <w:shd w:fill="auto" w:val="clear"/>
            <w:vAlign w:val="center"/>
          </w:tcPr>
          <w:p>
            <w:pPr>
              <w:pStyle w:val="TableContents"/>
              <w:spacing w:before="0" w:after="283"/>
              <w:rPr>
                <w:sz w:val="4"/>
                <w:szCs w:val="4"/>
              </w:rPr>
            </w:pPr>
            <w:r>
              <w:rPr>
                <w:sz w:val="4"/>
                <w:szCs w:val="4"/>
              </w:rPr>
            </w:r>
          </w:p>
        </w:tc>
        <w:tc>
          <w:tcPr>
            <w:tcW w:w="953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5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Controls can be circumvented by individuals, acting alone or in collusion with others, or by management override.</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design of any system of controls is based in part on certain assumptions about the likelihood of future events, and there can be no assurance that any design will succeed in achieving its stated goals under all potential future conditions.</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Over time, controls may become inadequate because of changes in conditions or deterioration in the degree of compliance with associated policies or procedures.</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design of a control system must reflect the fact that resources are constrained, and the benefits of controls must be considered relative to their costs.</w:t>
            </w:r>
          </w:p>
        </w:tc>
      </w:tr>
    </w:tbl>
    <w:p>
      <w:pPr>
        <w:pStyle w:val="TextBody"/>
        <w:spacing w:lineRule="auto" w:line="288" w:before="0" w:after="0"/>
        <w:rPr>
          <w:rFonts w:ascii="inherit" w:hAnsi="inherit"/>
          <w:sz w:val="17"/>
        </w:rPr>
      </w:pPr>
      <w:r>
        <w:rPr>
          <w:rFonts w:ascii="inherit" w:hAnsi="inherit"/>
          <w:sz w:val="17"/>
        </w:rPr>
        <w:t>Because of the inherent limitations in all control systems, no evaluation of controls can provide absolute assurance that all control issues and instances of fraud, if any, have been detected.</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75</w:t>
      </w:r>
      <w:r>
        <w:br w:type="page"/>
      </w:r>
    </w:p>
    <w:p>
      <w:pPr>
        <w:pStyle w:val="TextBody"/>
        <w:spacing w:lineRule="auto" w:line="288" w:before="0" w:after="0"/>
        <w:rPr/>
      </w:pPr>
      <w:hyperlink w:anchor="s6341541F7667DB742175CD29235C3997">
        <w:bookmarkStart w:id="66" w:name="s49D8E8C9D23174D2E137CD292E3B47AA"/>
        <w:bookmarkEnd w:id="6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PART II — OTHER INFORMATION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67" w:name="sC2A876B06A6D6C266AECCD292E6E2AF7"/>
      <w:bookmarkEnd w:id="67"/>
      <w:r>
        <w:rPr>
          <w:rFonts w:ascii="inherit" w:hAnsi="inherit"/>
          <w:b/>
          <w:sz w:val="17"/>
        </w:rPr>
        <w:t>Item 1. Legal Proceedings</w:t>
      </w:r>
    </w:p>
    <w:p>
      <w:pPr>
        <w:pStyle w:val="TextBody"/>
        <w:spacing w:lineRule="auto" w:line="288" w:before="0" w:after="0"/>
        <w:rPr>
          <w:rFonts w:ascii="inherit" w:hAnsi="inherit"/>
          <w:sz w:val="17"/>
        </w:rPr>
      </w:pPr>
      <w:r>
        <w:rPr>
          <w:rFonts w:ascii="inherit" w:hAnsi="inherit"/>
          <w:sz w:val="17"/>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pStyle w:val="TextBody"/>
        <w:spacing w:lineRule="auto" w:line="288" w:before="0" w:after="0"/>
        <w:rPr>
          <w:rFonts w:ascii="inherit" w:hAnsi="inherit"/>
          <w:b/>
          <w:sz w:val="17"/>
        </w:rPr>
      </w:pPr>
      <w:bookmarkStart w:id="68" w:name="s9523B8BB35EA62CF04F7CD292E91F449"/>
      <w:bookmarkEnd w:id="68"/>
      <w:r>
        <w:rPr>
          <w:rFonts w:ascii="inherit" w:hAnsi="inherit"/>
          <w:b/>
          <w:sz w:val="17"/>
        </w:rPr>
        <w:t>Item 1A. Risk Factors</w:t>
      </w:r>
    </w:p>
    <w:p>
      <w:pPr>
        <w:pStyle w:val="TextBody"/>
        <w:spacing w:lineRule="auto" w:line="288" w:before="0" w:after="0"/>
        <w:rPr>
          <w:sz w:val="17"/>
        </w:rPr>
      </w:pPr>
      <w:r>
        <w:rPr>
          <w:rFonts w:ascii="inherit" w:hAnsi="inherit"/>
          <w:sz w:val="17"/>
        </w:rPr>
        <w:t xml:space="preserve">Important risk factors that could affect our operations and financial performance, or that could cause results or events to differ from current expectations, are described in Part I, Item 1A, “Risk Factors” of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 xml:space="preserve">. These factors are supplemented by those discussed under “Quantitative and Qualitative Disclosures about Market Risk” in Part I, Item 3 of this report and in Part II, Item 7A of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 as well as by the following:</w:t>
      </w:r>
    </w:p>
    <w:p>
      <w:pPr>
        <w:pStyle w:val="TextBody"/>
        <w:spacing w:lineRule="auto" w:line="288" w:before="0" w:after="0"/>
        <w:rPr>
          <w:sz w:val="17"/>
        </w:rPr>
      </w:pPr>
      <w:r>
        <w:rPr>
          <w:rFonts w:ascii="inherit" w:hAnsi="inherit"/>
          <w:b/>
          <w:i/>
          <w:sz w:val="17"/>
        </w:rPr>
        <w:t>Regulation by the U.S. Consumer Financial Protection Bureau</w:t>
      </w:r>
      <w:r>
        <w:rPr>
          <w:sz w:val="17"/>
        </w:rPr>
        <w:t xml:space="preserve"> — </w:t>
      </w:r>
      <w:r>
        <w:rPr>
          <w:rFonts w:ascii="inherit" w:hAnsi="inherit"/>
          <w:sz w:val="17"/>
        </w:rPr>
        <w:t>The U.S. Consumer Financial Protection Bureau (the “CFPB”), which has regulatory, supervisory and enforcement powers over providers of consumer financial products and services, such as EZCORP, recently issued a report following an in-depth review of short-term small dollar loans, including payday loans. While the CFPB acknowledges the clear demand for small dollar credit products, it does express concern regarding the risk of sustained use of these products by some consumers. The CFPB reiterated its authority to adopt rules identifying unfair, deceptive or abusive practices in connection with the offering of consumer financial products and services and stated that it expects to use its authority to provide such protections. There can be no assurance that rules ultimately adopted by the CFPB will not adversely affect our ability to continue to offer consumer loans or the profitability of that business.</w:t>
      </w:r>
    </w:p>
    <w:p>
      <w:pPr>
        <w:pStyle w:val="TextBody"/>
        <w:spacing w:lineRule="auto" w:line="288" w:before="0" w:after="0"/>
        <w:jc w:val="left"/>
        <w:rPr>
          <w:sz w:val="17"/>
        </w:rPr>
      </w:pPr>
      <w:r>
        <w:rPr>
          <w:rFonts w:ascii="inherit" w:hAnsi="inherit"/>
          <w:b/>
          <w:i/>
          <w:sz w:val="17"/>
        </w:rPr>
        <w:t>Proposed Texas Legislation</w:t>
      </w:r>
      <w:r>
        <w:rPr>
          <w:sz w:val="17"/>
        </w:rPr>
        <w:t xml:space="preserve"> — </w:t>
      </w:r>
      <w:r>
        <w:rPr>
          <w:rFonts w:ascii="inherit" w:hAnsi="inherit"/>
          <w:sz w:val="17"/>
        </w:rPr>
        <w:t xml:space="preserve">We offer short-term consumer loans in Texas through our CSO program in both storefronts and online. During the most recent session, Texas House of Representatives failed to take up legislation that would adversely affect our consumer loan business, including caps on fees and other restrictions.  The matter failed to receive enough positive votes in committee.  The Texas Legislature did not pass any other meaningful legislation regarding pay day lending.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76</w:t>
      </w:r>
      <w:r>
        <w:br w:type="page"/>
      </w:r>
    </w:p>
    <w:p>
      <w:pPr>
        <w:pStyle w:val="TextBody"/>
        <w:spacing w:lineRule="auto" w:line="288" w:before="0" w:after="0"/>
        <w:rPr/>
      </w:pPr>
      <w:hyperlink w:anchor="s6341541F7667DB742175CD29235C3997">
        <w:bookmarkStart w:id="69" w:name="s203162E012C2CC6DC6E7CD292EC2FD60"/>
        <w:bookmarkEnd w:id="6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Item 6. Exhibits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1367"/>
        <w:gridCol w:w="105"/>
        <w:gridCol w:w="350"/>
        <w:gridCol w:w="8383"/>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36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3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b/>
                <w:sz w:val="13"/>
              </w:rPr>
            </w:pPr>
            <w:r>
              <w:rPr>
                <w:rFonts w:ascii="inherit" w:hAnsi="inherit"/>
                <w:b/>
                <w:sz w:val="13"/>
              </w:rPr>
              <w:t>Exhibit No.</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31.1</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Paul E. Rothamel, Chief Executive Officer, pursuant to Rule 13a-14(a) under the Securities Exchange Act of 1934, as adopted pursuant to Section 302 of the Sarbanes-Oxley Act of 2002</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31.2</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Mark Kuchenrither, Chief Financial Officer, pursuant to Rule 13a-14(a) under the Securities Exchange Act of 1934, as adopted pursuant to Section 302 of the Sarbanes-Oxley Act of 2002</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32.1</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Certifications of Paul E. Rothamel, Chief Executive Officer, and Mark Kuchenrither, Chief Financial Officer , pursuant to 18 U.S.C. Section 1350, as adopted pursuant to Section 906 of the Sarbanes-Oxley Act of 2002</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101.INS*</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101.SCH*</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101.CAL*</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101.LAB*</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101.DEF*</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101.PRE*</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tbl>
      <w:tblPr>
        <w:tblW w:w="10205" w:type="dxa"/>
        <w:jc w:val="left"/>
        <w:tblInd w:w="0" w:type="dxa"/>
        <w:tblCellMar>
          <w:top w:w="0" w:type="dxa"/>
          <w:left w:w="0" w:type="dxa"/>
          <w:bottom w:w="0" w:type="dxa"/>
          <w:right w:w="0" w:type="dxa"/>
        </w:tblCellMar>
      </w:tblPr>
      <w:tblGrid>
        <w:gridCol w:w="483"/>
        <w:gridCol w:w="9722"/>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vAlign w:val="center"/>
          </w:tcPr>
          <w:p>
            <w:pPr>
              <w:pStyle w:val="TableContents"/>
              <w:spacing w:before="0" w:after="283"/>
              <w:rPr>
                <w:sz w:val="4"/>
                <w:szCs w:val="4"/>
              </w:rPr>
            </w:pPr>
            <w:r>
              <w:rPr>
                <w:sz w:val="4"/>
                <w:szCs w:val="4"/>
              </w:rPr>
            </w:r>
          </w:p>
        </w:tc>
        <w:tc>
          <w:tcPr>
            <w:tcW w:w="97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22" w:type="dxa"/>
            <w:tcBorders/>
            <w:shd w:fill="auto" w:val="clear"/>
            <w:vAlign w:val="center"/>
          </w:tcPr>
          <w:p>
            <w:pPr>
              <w:pStyle w:val="TableContents"/>
              <w:spacing w:before="0" w:after="0"/>
              <w:rPr>
                <w:rFonts w:ascii="inherit" w:hAnsi="inherit"/>
                <w:sz w:val="17"/>
              </w:rPr>
            </w:pPr>
            <w:r>
              <w:rPr>
                <w:rFonts w:ascii="inherit" w:hAnsi="inherit"/>
                <w:sz w:val="17"/>
              </w:rPr>
              <w:t>Attached as Exhibit 101 to this report are the following formatted in XBRL (Extensible Business Reporting Language): (i) Consolidated Balance Sheets at June 30, 2013, June 30, 2012 and September 30, 2012; (ii) Consolidated Statements of Income for the three and nine months ended June 30, 2013 and June 30, 2012; (iii) Consolidated Statements of Comprehensive Income for the three and nine months ended June 30, 2013 and June 30, 2012 (iv) Consolidated Statements of Cash Flows for the nine months ended June 30, 2013 and June 30, 2012; and (v) Notes to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77</w:t>
      </w:r>
      <w:r>
        <w:br w:type="page"/>
      </w:r>
    </w:p>
    <w:p>
      <w:pPr>
        <w:pStyle w:val="TextBody"/>
        <w:spacing w:lineRule="auto" w:line="288" w:before="0" w:after="0"/>
        <w:rPr/>
      </w:pPr>
      <w:hyperlink w:anchor="s6341541F7667DB742175CD29235C3997">
        <w:bookmarkStart w:id="70" w:name="sEE817FE57990B867D129CD292EE5F2A8"/>
        <w:bookmarkEnd w:id="70"/>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86"/>
        <w:gridCol w:w="1796"/>
        <w:gridCol w:w="4877"/>
        <w:gridCol w:w="284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686"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4877" w:type="dxa"/>
            <w:tcBorders/>
            <w:shd w:fill="auto" w:val="clear"/>
            <w:vAlign w:val="center"/>
          </w:tcPr>
          <w:p>
            <w:pPr>
              <w:pStyle w:val="TableContents"/>
              <w:spacing w:before="0" w:after="283"/>
              <w:rPr>
                <w:sz w:val="4"/>
                <w:szCs w:val="4"/>
              </w:rPr>
            </w:pPr>
            <w:r>
              <w:rPr>
                <w:sz w:val="4"/>
                <w:szCs w:val="4"/>
              </w:rPr>
            </w:r>
          </w:p>
        </w:tc>
        <w:tc>
          <w:tcPr>
            <w:tcW w:w="284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6" w:type="dxa"/>
            <w:tcBorders/>
            <w:shd w:fill="auto" w:val="clear"/>
            <w:vAlign w:val="center"/>
          </w:tcPr>
          <w:p>
            <w:pPr>
              <w:pStyle w:val="TableContents"/>
              <w:spacing w:before="0" w:after="0"/>
              <w:ind w:left="0" w:right="0" w:firstLine="30"/>
              <w:rPr/>
            </w:pPr>
            <w:r>
              <w:rPr/>
              <w:t> </w:t>
            </w:r>
          </w:p>
        </w:tc>
        <w:tc>
          <w:tcPr>
            <w:tcW w:w="1796" w:type="dxa"/>
            <w:tcBorders/>
            <w:shd w:fill="auto" w:val="clear"/>
            <w:vAlign w:val="center"/>
          </w:tcPr>
          <w:p>
            <w:pPr>
              <w:pStyle w:val="TableContents"/>
              <w:spacing w:before="0" w:after="0"/>
              <w:ind w:left="0" w:right="0" w:firstLine="30"/>
              <w:rPr/>
            </w:pPr>
            <w:r>
              <w:rPr/>
              <w:t> </w:t>
            </w:r>
          </w:p>
        </w:tc>
        <w:tc>
          <w:tcPr>
            <w:tcW w:w="4877" w:type="dxa"/>
            <w:tcBorders/>
            <w:shd w:fill="auto" w:val="clear"/>
            <w:vAlign w:val="center"/>
          </w:tcPr>
          <w:p>
            <w:pPr>
              <w:pStyle w:val="TableContents"/>
              <w:spacing w:before="0" w:after="0"/>
              <w:ind w:left="0" w:right="0" w:firstLine="30"/>
              <w:rPr/>
            </w:pPr>
            <w:r>
              <w:rPr/>
              <w:t> </w:t>
            </w:r>
          </w:p>
        </w:tc>
        <w:tc>
          <w:tcPr>
            <w:tcW w:w="28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686" w:type="dxa"/>
            <w:tcBorders/>
            <w:shd w:fill="auto" w:val="clear"/>
            <w:vAlign w:val="center"/>
          </w:tcPr>
          <w:p>
            <w:pPr>
              <w:pStyle w:val="TableContents"/>
              <w:spacing w:before="0" w:after="0"/>
              <w:ind w:left="0" w:right="0" w:firstLine="30"/>
              <w:rPr/>
            </w:pPr>
            <w:r>
              <w:rPr/>
              <w:t> </w:t>
            </w:r>
          </w:p>
        </w:tc>
        <w:tc>
          <w:tcPr>
            <w:tcW w:w="1796" w:type="dxa"/>
            <w:tcBorders/>
            <w:shd w:fill="auto" w:val="clear"/>
            <w:vAlign w:val="center"/>
          </w:tcPr>
          <w:p>
            <w:pPr>
              <w:pStyle w:val="TableContents"/>
              <w:spacing w:before="0" w:after="0"/>
              <w:ind w:left="0" w:right="0" w:firstLine="30"/>
              <w:rPr/>
            </w:pPr>
            <w:r>
              <w:rPr/>
              <w:t> </w:t>
            </w:r>
          </w:p>
        </w:tc>
        <w:tc>
          <w:tcPr>
            <w:tcW w:w="4877" w:type="dxa"/>
            <w:tcBorders/>
            <w:shd w:fill="auto" w:val="clear"/>
            <w:vAlign w:val="center"/>
          </w:tcPr>
          <w:p>
            <w:pPr>
              <w:pStyle w:val="TableContents"/>
              <w:spacing w:before="0" w:after="0"/>
              <w:ind w:left="0" w:right="0" w:firstLine="30"/>
              <w:rPr/>
            </w:pPr>
            <w:r>
              <w:rPr/>
              <w:t> </w:t>
            </w:r>
          </w:p>
        </w:tc>
        <w:tc>
          <w:tcPr>
            <w:tcW w:w="2846" w:type="dxa"/>
            <w:tcBorders/>
            <w:shd w:fill="auto" w:val="clear"/>
            <w:vAlign w:val="center"/>
          </w:tcPr>
          <w:p>
            <w:pPr>
              <w:pStyle w:val="TableContents"/>
              <w:spacing w:before="0" w:after="0"/>
              <w:ind w:left="0" w:right="0" w:firstLine="30"/>
              <w:rPr/>
            </w:pPr>
            <w:r>
              <w:rPr/>
              <w:t> </w:t>
            </w:r>
          </w:p>
        </w:tc>
      </w:tr>
      <w:tr>
        <w:trPr/>
        <w:tc>
          <w:tcPr>
            <w:tcW w:w="68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7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9, 2013</w:t>
            </w:r>
          </w:p>
        </w:tc>
        <w:tc>
          <w:tcPr>
            <w:tcW w:w="4877" w:type="dxa"/>
            <w:tcBorders/>
            <w:shd w:fill="auto" w:val="clear"/>
            <w:vAlign w:val="center"/>
          </w:tcPr>
          <w:p>
            <w:pPr>
              <w:pStyle w:val="TableContents"/>
              <w:spacing w:before="0" w:after="0"/>
              <w:ind w:left="0" w:right="0" w:firstLine="30"/>
              <w:rPr/>
            </w:pPr>
            <w:r>
              <w:rPr/>
              <w:t> </w:t>
            </w:r>
          </w:p>
        </w:tc>
        <w:tc>
          <w:tcPr>
            <w:tcW w:w="2846"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sz w:val="17"/>
              </w:rPr>
            </w:pPr>
            <w:r>
              <w:rPr>
                <w:rFonts w:ascii="inherit" w:hAnsi="inherit"/>
                <w:sz w:val="17"/>
              </w:rPr>
              <w:t>/s/ Jeffrey S. Byal</w:t>
            </w:r>
          </w:p>
        </w:tc>
      </w:tr>
      <w:tr>
        <w:trPr/>
        <w:tc>
          <w:tcPr>
            <w:tcW w:w="686" w:type="dxa"/>
            <w:tcBorders/>
            <w:shd w:fill="auto" w:val="clear"/>
            <w:vAlign w:val="center"/>
          </w:tcPr>
          <w:p>
            <w:pPr>
              <w:pStyle w:val="TableContents"/>
              <w:spacing w:before="0" w:after="0"/>
              <w:ind w:left="0" w:right="0" w:firstLine="30"/>
              <w:rPr/>
            </w:pPr>
            <w:r>
              <w:rPr/>
              <w:t> </w:t>
            </w:r>
          </w:p>
        </w:tc>
        <w:tc>
          <w:tcPr>
            <w:tcW w:w="1796" w:type="dxa"/>
            <w:tcBorders/>
            <w:shd w:fill="auto" w:val="clear"/>
            <w:vAlign w:val="center"/>
          </w:tcPr>
          <w:p>
            <w:pPr>
              <w:pStyle w:val="TableContents"/>
              <w:spacing w:before="0" w:after="0"/>
              <w:ind w:left="0" w:right="0" w:firstLine="30"/>
              <w:rPr/>
            </w:pPr>
            <w:r>
              <w:rPr/>
              <w:t> </w:t>
            </w:r>
          </w:p>
        </w:tc>
        <w:tc>
          <w:tcPr>
            <w:tcW w:w="4877" w:type="dxa"/>
            <w:tcBorders/>
            <w:shd w:fill="auto" w:val="clear"/>
            <w:vAlign w:val="center"/>
          </w:tcPr>
          <w:p>
            <w:pPr>
              <w:pStyle w:val="TableContents"/>
              <w:spacing w:before="0" w:after="0"/>
              <w:ind w:left="0" w:right="0" w:firstLine="30"/>
              <w:rPr/>
            </w:pPr>
            <w:r>
              <w:rPr/>
              <w:t> </w:t>
            </w:r>
          </w:p>
        </w:tc>
        <w:tc>
          <w:tcPr>
            <w:tcW w:w="2846" w:type="dxa"/>
            <w:tcBorders/>
            <w:shd w:fill="auto" w:val="clear"/>
            <w:vAlign w:val="center"/>
          </w:tcPr>
          <w:p>
            <w:pPr>
              <w:pStyle w:val="TableContents"/>
              <w:spacing w:before="0" w:after="0"/>
              <w:rPr>
                <w:rFonts w:ascii="inherit" w:hAnsi="inherit"/>
                <w:sz w:val="17"/>
              </w:rPr>
            </w:pPr>
            <w:r>
              <w:rPr>
                <w:rFonts w:ascii="inherit" w:hAnsi="inherit"/>
                <w:sz w:val="17"/>
              </w:rPr>
              <w:t>Jeffrey S. Byal Senior Vice President and</w:t>
            </w:r>
          </w:p>
          <w:p>
            <w:pPr>
              <w:pStyle w:val="TableContents"/>
              <w:spacing w:before="0" w:after="0"/>
              <w:rPr>
                <w:rFonts w:ascii="inherit" w:hAnsi="inherit"/>
                <w:sz w:val="17"/>
              </w:rPr>
            </w:pPr>
            <w:r>
              <w:rPr>
                <w:rFonts w:ascii="inherit" w:hAnsi="inherit"/>
                <w:sz w:val="17"/>
              </w:rPr>
              <w:t>Chief Accounting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78</w:t>
      </w:r>
      <w:r>
        <w:br w:type="page"/>
      </w:r>
    </w:p>
    <w:p>
      <w:pPr>
        <w:pStyle w:val="TextBody"/>
        <w:spacing w:lineRule="auto" w:line="288" w:before="0" w:after="0"/>
        <w:rPr/>
      </w:pPr>
      <w:hyperlink w:anchor="s6341541F7667DB742175CD29235C3997">
        <w:bookmarkStart w:id="71" w:name="s86A05101F0A4124C2B34CD292F16C1DC"/>
        <w:bookmarkEnd w:id="71"/>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EXHIBIT INDEX</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328"/>
        <w:gridCol w:w="531"/>
        <w:gridCol w:w="734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232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734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28"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Exhibit No.</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Second Amendment to Credit Agreement, dated as of May 31, 2013, among EZCORP, Inc. (Borrower), certain domestic subsidiaries of the Borrower from time to time party thereto (as Guarantors), the Lenders party thereto, and Wells Fargo Bank, National Association (as Administrative Agent).</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31.1</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Paul E. Rothamel, Chief Executive Officer, pursuant to Rule 13a-14(a) under the Securities Exchange Act of 1934, as adopted pursuant to Section 302 of the Sarbanes-Oxley Act of 2002</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31.2</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Mark Kuchenrither, Chief Financial Officer, pursuant to Rule 13a-14(a) under the Securities Exchange Act of 1934, as adopted pursuant to Section 302 of the Sarbanes-Oxley Act of 2002</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32.1</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Certifications of Paul E. Rothamel, Chief Executive Officer, and Mark Kuchenrither, Chief Financial Officer , pursuant to 18 U.S.C. Section 1350, as adopted pursuant to Section 906 of the Sarbanes-Oxley Act of 2002</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101.INS*</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101.SCH*</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101.CAL*</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101.LAB*</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101.DEF*</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2328" w:type="dxa"/>
            <w:tcBorders/>
            <w:shd w:fill="auto" w:val="clear"/>
            <w:vAlign w:val="center"/>
          </w:tcPr>
          <w:p>
            <w:pPr>
              <w:pStyle w:val="TableContents"/>
              <w:spacing w:before="0" w:after="0"/>
              <w:ind w:left="0" w:right="0" w:firstLine="30"/>
              <w:rPr/>
            </w:pPr>
            <w:r>
              <w:rPr/>
              <w:t> </w:t>
            </w:r>
          </w:p>
        </w:tc>
        <w:tc>
          <w:tcPr>
            <w:tcW w:w="531" w:type="dxa"/>
            <w:tcBorders/>
            <w:shd w:fill="auto" w:val="clear"/>
            <w:vAlign w:val="center"/>
          </w:tcPr>
          <w:p>
            <w:pPr>
              <w:pStyle w:val="TableContents"/>
              <w:spacing w:before="0" w:after="0"/>
              <w:ind w:left="0" w:right="0" w:firstLine="30"/>
              <w:rPr/>
            </w:pPr>
            <w:r>
              <w:rPr/>
              <w:t> </w:t>
            </w:r>
          </w:p>
        </w:tc>
        <w:tc>
          <w:tcPr>
            <w:tcW w:w="7346" w:type="dxa"/>
            <w:tcBorders/>
            <w:shd w:fill="auto" w:val="clear"/>
            <w:vAlign w:val="center"/>
          </w:tcPr>
          <w:p>
            <w:pPr>
              <w:pStyle w:val="TableContents"/>
              <w:spacing w:before="0" w:after="0"/>
              <w:ind w:left="0" w:right="0" w:firstLine="30"/>
              <w:rPr/>
            </w:pPr>
            <w:r>
              <w:rPr/>
              <w:t> </w:t>
            </w:r>
          </w:p>
        </w:tc>
      </w:tr>
      <w:tr>
        <w:trPr/>
        <w:tc>
          <w:tcPr>
            <w:tcW w:w="23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101.PRE*</w:t>
            </w:r>
          </w:p>
        </w:tc>
        <w:tc>
          <w:tcPr>
            <w:tcW w:w="531" w:type="dxa"/>
            <w:tcBorders/>
            <w:shd w:fill="auto" w:val="clear"/>
            <w:vAlign w:val="center"/>
          </w:tcPr>
          <w:p>
            <w:pPr>
              <w:pStyle w:val="TableContents"/>
              <w:spacing w:before="0" w:after="0"/>
              <w:ind w:left="0" w:right="0" w:firstLine="30"/>
              <w:jc w:val="left"/>
              <w:rPr/>
            </w:pPr>
            <w:r>
              <w:rPr/>
              <w:t>  </w:t>
            </w:r>
          </w:p>
        </w:tc>
        <w:tc>
          <w:tcPr>
            <w:tcW w:w="7346"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83"/>
        <w:gridCol w:w="9722"/>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vAlign w:val="center"/>
          </w:tcPr>
          <w:p>
            <w:pPr>
              <w:pStyle w:val="TableContents"/>
              <w:spacing w:before="0" w:after="283"/>
              <w:rPr>
                <w:sz w:val="4"/>
                <w:szCs w:val="4"/>
              </w:rPr>
            </w:pPr>
            <w:r>
              <w:rPr>
                <w:sz w:val="4"/>
                <w:szCs w:val="4"/>
              </w:rPr>
            </w:r>
          </w:p>
        </w:tc>
        <w:tc>
          <w:tcPr>
            <w:tcW w:w="97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22" w:type="dxa"/>
            <w:tcBorders/>
            <w:shd w:fill="auto" w:val="clear"/>
            <w:vAlign w:val="center"/>
          </w:tcPr>
          <w:p>
            <w:pPr>
              <w:pStyle w:val="TableContents"/>
              <w:spacing w:before="0" w:after="0"/>
              <w:rPr>
                <w:rFonts w:ascii="inherit" w:hAnsi="inherit"/>
                <w:sz w:val="17"/>
              </w:rPr>
            </w:pPr>
            <w:r>
              <w:rPr>
                <w:rFonts w:ascii="inherit" w:hAnsi="inherit"/>
                <w:sz w:val="17"/>
              </w:rPr>
              <w:t>Attached as Exhibit 101 to this report are the following formatted in XBRL (Extensible Business Reporting Language): (i) Consolidated Balance Sheets at June 30, 2013, June 30, 2012 and September 30, 2012; (ii) Consolidated Statements of Income for the three and nine months ended June 30, 2013 and June 30, 2012; (iii) Consolidated Statements of Comprehensive Income for the three and nine months ended June 30, 2013 and June 30, 2012 (iv) Consolidated Statements of Cash Flows for the nine months ended June 30, 2013 and June 30, 2012; and (v) Notes to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79</w:t>
      </w:r>
      <w:r>
        <w:br w:type="page"/>
      </w:r>
    </w:p>
    <w:p>
      <w:pPr>
        <w:pStyle w:val="TextBody"/>
        <w:spacing w:lineRule="auto" w:line="288" w:before="0" w:after="0"/>
        <w:rPr>
          <w:rFonts w:ascii="inherit" w:hAnsi="inherit"/>
          <w:sz w:val="17"/>
        </w:rPr>
      </w:pPr>
      <w:r>
        <w:rPr>
          <w:rFonts w:ascii="inherit" w:hAnsi="inherit"/>
          <w:sz w:val="17"/>
        </w:rPr>
      </w:r>
      <w:bookmarkStart w:id="72" w:name="sDB2665CDBFFA85CF4BF7CD294C0F3CAA"/>
      <w:bookmarkStart w:id="73" w:name="ezpw-ex311_06302013xq3.htm"/>
      <w:bookmarkStart w:id="74" w:name="ksezpwex311_06302013xq3"/>
      <w:bookmarkStart w:id="75" w:name="sDB2665CDBFFA85CF4BF7CD294C0F3CAA"/>
      <w:bookmarkStart w:id="76" w:name="ezpw-ex311_06302013xq3.htm"/>
      <w:bookmarkStart w:id="77" w:name="ksezpwex311_06302013xq3"/>
      <w:bookmarkEnd w:id="75"/>
      <w:bookmarkEnd w:id="76"/>
      <w:bookmarkEnd w:id="77"/>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 xml:space="preserve">Exhibit 31.1 </w:t>
      </w:r>
    </w:p>
    <w:p>
      <w:pPr>
        <w:pStyle w:val="TextBody"/>
        <w:spacing w:lineRule="auto" w:line="288" w:before="0" w:after="0"/>
        <w:jc w:val="center"/>
        <w:rPr>
          <w:rFonts w:ascii="inherit" w:hAnsi="inherit"/>
          <w:b/>
          <w:sz w:val="17"/>
        </w:rPr>
      </w:pPr>
      <w:r>
        <w:rPr>
          <w:rFonts w:ascii="inherit" w:hAnsi="inherit"/>
          <w:b/>
          <w:sz w:val="17"/>
        </w:rPr>
        <w:t xml:space="preserve">Certification of Paul E. Rothamel, Chief Executive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w:t>
      </w:r>
    </w:p>
    <w:p>
      <w:pPr>
        <w:pStyle w:val="TextBody"/>
        <w:spacing w:lineRule="auto" w:line="288" w:before="0" w:after="0"/>
        <w:jc w:val="center"/>
        <w:rPr>
          <w:rFonts w:ascii="inherit" w:hAnsi="inherit"/>
          <w:b/>
          <w:sz w:val="17"/>
        </w:rPr>
      </w:pPr>
      <w:r>
        <w:rPr>
          <w:rFonts w:ascii="inherit" w:hAnsi="inherit"/>
          <w:b/>
          <w:sz w:val="17"/>
        </w:rPr>
        <w:t xml:space="preserve">as adopted pursuant to Section 302 of the Sarbanes-Oxley Act of 2002 </w:t>
      </w:r>
    </w:p>
    <w:p>
      <w:pPr>
        <w:pStyle w:val="TextBody"/>
        <w:spacing w:lineRule="auto" w:line="288" w:before="0" w:after="0"/>
        <w:jc w:val="left"/>
        <w:rPr>
          <w:rFonts w:ascii="inherit" w:hAnsi="inherit"/>
          <w:sz w:val="17"/>
        </w:rPr>
      </w:pPr>
      <w:r>
        <w:rPr>
          <w:rFonts w:ascii="inherit" w:hAnsi="inherit"/>
          <w:sz w:val="17"/>
        </w:rPr>
        <w:t xml:space="preserve">I, Paul E. Rothamel, certify that: </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ind w:left="0" w:right="0" w:firstLine="6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Date: </w:t>
      </w:r>
      <w:r>
        <w:rPr>
          <w:rFonts w:ascii="inherit" w:hAnsi="inherit"/>
          <w:strike w:val="false"/>
          <w:dstrike w:val="false"/>
          <w:color w:val="000000"/>
          <w:sz w:val="17"/>
          <w:u w:val="none"/>
          <w:effect w:val="none"/>
        </w:rPr>
        <w:t>August 9, 2013</w:t>
      </w:r>
      <w:r>
        <w:rPr>
          <w:sz w:val="17"/>
        </w:rPr>
        <w:t xml:space="preserve"> </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790"/>
        <w:gridCol w:w="459"/>
        <w:gridCol w:w="430"/>
        <w:gridCol w:w="352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79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352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  </w:t>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 </w:t>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President and Chief Executive Officer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78" w:name="s9D58F5FB784ECE86E1EBCD291751BEF5"/>
      <w:bookmarkStart w:id="79" w:name="ezpw-ex312_06302013xq3.htm"/>
      <w:bookmarkStart w:id="80" w:name="ksezpwex312_06302013xq3"/>
      <w:bookmarkStart w:id="81" w:name="s9D58F5FB784ECE86E1EBCD291751BEF5"/>
      <w:bookmarkStart w:id="82" w:name="ezpw-ex312_06302013xq3.htm"/>
      <w:bookmarkStart w:id="83" w:name="ksezpwex312_06302013xq3"/>
      <w:bookmarkEnd w:id="81"/>
      <w:bookmarkEnd w:id="82"/>
      <w:bookmarkEnd w:id="83"/>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 xml:space="preserve">Exhibit 31.2 </w:t>
      </w:r>
    </w:p>
    <w:p>
      <w:pPr>
        <w:pStyle w:val="TextBody"/>
        <w:spacing w:lineRule="auto" w:line="288" w:before="0" w:after="0"/>
        <w:jc w:val="center"/>
        <w:rPr>
          <w:rFonts w:ascii="inherit" w:hAnsi="inherit"/>
          <w:b/>
          <w:sz w:val="17"/>
        </w:rPr>
      </w:pPr>
      <w:r>
        <w:rPr>
          <w:rFonts w:ascii="inherit" w:hAnsi="inherit"/>
          <w:b/>
          <w:sz w:val="17"/>
        </w:rPr>
        <w:t xml:space="preserve">Certification of Mark Kuchenrither, Chief Financial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w:t>
      </w:r>
    </w:p>
    <w:p>
      <w:pPr>
        <w:pStyle w:val="TextBody"/>
        <w:spacing w:lineRule="auto" w:line="288" w:before="0" w:after="0"/>
        <w:jc w:val="center"/>
        <w:rPr>
          <w:rFonts w:ascii="inherit" w:hAnsi="inherit"/>
          <w:b/>
          <w:sz w:val="17"/>
        </w:rPr>
      </w:pPr>
      <w:r>
        <w:rPr>
          <w:rFonts w:ascii="inherit" w:hAnsi="inherit"/>
          <w:b/>
          <w:sz w:val="17"/>
        </w:rPr>
        <w:t xml:space="preserve">as adopted pursuant to Section 302 of the Sarbanes-Oxley Act of 2002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 Mark Kuchenrither, certify that:</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ind w:left="0" w:right="0" w:firstLine="2160"/>
        <w:jc w:val="left"/>
        <w:rPr>
          <w:rFonts w:ascii="inherit" w:hAnsi="inherit"/>
          <w:sz w:val="17"/>
        </w:rPr>
      </w:pPr>
      <w:r>
        <w:rPr>
          <w:rFonts w:ascii="inherit" w:hAnsi="inherit"/>
          <w:sz w:val="17"/>
        </w:rPr>
      </w:r>
    </w:p>
    <w:p>
      <w:pPr>
        <w:pStyle w:val="TextBody"/>
        <w:spacing w:lineRule="auto" w:line="288" w:before="0" w:after="0"/>
        <w:jc w:val="left"/>
        <w:rPr/>
      </w:pPr>
      <w:r>
        <w:rPr/>
        <w:t> </w:t>
      </w:r>
      <w:r>
        <w:rPr>
          <w:rFonts w:ascii="inherit" w:hAnsi="inherit"/>
          <w:sz w:val="17"/>
        </w:rPr>
        <w:t xml:space="preserve">Date: </w:t>
      </w:r>
      <w:r>
        <w:rPr>
          <w:rFonts w:ascii="inherit" w:hAnsi="inherit"/>
          <w:strike w:val="false"/>
          <w:dstrike w:val="false"/>
          <w:color w:val="000000"/>
          <w:sz w:val="17"/>
          <w:u w:val="none"/>
          <w:effect w:val="none"/>
        </w:rPr>
        <w:t>August 9, 2013</w:t>
      </w:r>
      <w:r>
        <w:rPr>
          <w:sz w:val="22"/>
        </w:rPr>
        <w:t xml:space="preserve"> </w:t>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764"/>
        <w:gridCol w:w="445"/>
        <w:gridCol w:w="445"/>
        <w:gridCol w:w="3551"/>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76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55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Mark Kuchenrither</w:t>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shd w:fill="auto" w:val="clear"/>
            <w:vAlign w:val="center"/>
          </w:tcPr>
          <w:p>
            <w:pPr>
              <w:pStyle w:val="TableContents"/>
              <w:spacing w:before="0" w:after="0"/>
              <w:rPr>
                <w:rFonts w:ascii="inherit" w:hAnsi="inherit"/>
                <w:sz w:val="17"/>
              </w:rPr>
            </w:pPr>
            <w:r>
              <w:rPr>
                <w:rFonts w:ascii="inherit" w:hAnsi="inherit"/>
                <w:sz w:val="17"/>
              </w:rPr>
              <w:t>Executive Vice President and</w:t>
              <w:br/>
              <w:t>Chief Financial Officer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84" w:name="s20D2B0BBA9275E5953A7CD294CB5F605"/>
      <w:bookmarkStart w:id="85" w:name="ezpw-ex321_06302013xq3.htm"/>
      <w:bookmarkStart w:id="86" w:name="ksezpwex321_06302013xq3"/>
      <w:bookmarkStart w:id="87" w:name="s20D2B0BBA9275E5953A7CD294CB5F605"/>
      <w:bookmarkStart w:id="88" w:name="ezpw-ex321_06302013xq3.htm"/>
      <w:bookmarkStart w:id="89" w:name="ksezpwex321_06302013xq3"/>
      <w:bookmarkEnd w:id="87"/>
      <w:bookmarkEnd w:id="88"/>
      <w:bookmarkEnd w:id="89"/>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 xml:space="preserve">Exhibit 32.1 </w:t>
      </w:r>
    </w:p>
    <w:p>
      <w:pPr>
        <w:pStyle w:val="TextBody"/>
        <w:spacing w:lineRule="auto" w:line="288" w:before="0" w:after="0"/>
        <w:jc w:val="center"/>
        <w:rPr>
          <w:rFonts w:ascii="inherit" w:hAnsi="inherit"/>
          <w:b/>
          <w:sz w:val="17"/>
        </w:rPr>
      </w:pPr>
      <w:r>
        <w:rPr>
          <w:rFonts w:ascii="inherit" w:hAnsi="inherit"/>
          <w:b/>
          <w:sz w:val="17"/>
        </w:rPr>
        <w:t xml:space="preserve">Certifications of Paul E. Rothamel, Chief Executive Officer, and Mark Kuchenrither, Chief Financial Officer, </w:t>
      </w:r>
    </w:p>
    <w:p>
      <w:pPr>
        <w:pStyle w:val="TextBody"/>
        <w:spacing w:lineRule="auto" w:line="288" w:before="0" w:after="0"/>
        <w:jc w:val="center"/>
        <w:rPr>
          <w:rFonts w:ascii="inherit" w:hAnsi="inherit"/>
          <w:b/>
          <w:sz w:val="17"/>
        </w:rPr>
      </w:pPr>
      <w:r>
        <w:rPr>
          <w:rFonts w:ascii="inherit" w:hAnsi="inherit"/>
          <w:b/>
          <w:sz w:val="17"/>
        </w:rPr>
        <w:t xml:space="preserve">pursuant to 18 U.S.C. Section 1350, as adopted pursuant to Section 906 of the Sarbanes-Oxley Act of 2002 </w:t>
      </w:r>
    </w:p>
    <w:p>
      <w:pPr>
        <w:pStyle w:val="TextBody"/>
        <w:spacing w:lineRule="auto" w:line="288" w:before="0" w:after="0"/>
        <w:jc w:val="left"/>
        <w:rPr>
          <w:sz w:val="17"/>
        </w:rPr>
      </w:pPr>
      <w:r>
        <w:rPr>
          <w:rFonts w:ascii="inherit" w:hAnsi="inherit"/>
          <w:sz w:val="17"/>
        </w:rPr>
        <w:t xml:space="preserve">The undersigned officers of EZCORP, Inc. hereby certify that (a) EZCORP's Quarterly Report on Form 10-Q for the quarter ended </w:t>
      </w:r>
      <w:r>
        <w:rPr>
          <w:rFonts w:ascii="inherit" w:hAnsi="inherit"/>
          <w:strike w:val="false"/>
          <w:dstrike w:val="false"/>
          <w:color w:val="000000"/>
          <w:sz w:val="17"/>
          <w:u w:val="none"/>
          <w:effect w:val="none"/>
        </w:rPr>
        <w:t>June 30, 2013</w:t>
      </w:r>
      <w:r>
        <w:rPr>
          <w:rFonts w:ascii="inherit" w:hAnsi="inherit"/>
          <w:sz w:val="17"/>
        </w:rPr>
        <w:t xml:space="preserve">,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lineRule="auto" w:line="288" w:before="0" w:after="0"/>
        <w:jc w:val="left"/>
        <w:rPr/>
      </w:pPr>
      <w:r>
        <w:rPr/>
        <w:t> </w:t>
      </w:r>
    </w:p>
    <w:p>
      <w:pPr>
        <w:pStyle w:val="TextBody"/>
        <w:spacing w:lineRule="auto" w:line="288" w:before="0" w:after="0"/>
        <w:jc w:val="center"/>
        <w:rPr>
          <w:rFonts w:ascii="inherit" w:hAnsi="inherit"/>
          <w:sz w:val="17"/>
        </w:rPr>
      </w:pPr>
      <w:r>
        <w:rPr>
          <w:rFonts w:ascii="inherit" w:hAnsi="inherit"/>
          <w:sz w:val="17"/>
        </w:rPr>
      </w:r>
    </w:p>
    <w:tbl>
      <w:tblPr>
        <w:tblW w:w="9988" w:type="dxa"/>
        <w:jc w:val="center"/>
        <w:tblInd w:w="0" w:type="dxa"/>
        <w:tblCellMar>
          <w:top w:w="0" w:type="dxa"/>
          <w:left w:w="0" w:type="dxa"/>
          <w:bottom w:w="0" w:type="dxa"/>
          <w:right w:w="0" w:type="dxa"/>
        </w:tblCellMar>
      </w:tblPr>
      <w:tblGrid>
        <w:gridCol w:w="599"/>
        <w:gridCol w:w="6193"/>
        <w:gridCol w:w="3196"/>
      </w:tblGrid>
      <w:tr>
        <w:trPr/>
        <w:tc>
          <w:tcPr>
            <w:tcW w:w="9988" w:type="dxa"/>
            <w:gridSpan w:val="3"/>
            <w:tcBorders/>
            <w:shd w:fill="auto" w:val="clear"/>
            <w:vAlign w:val="center"/>
          </w:tcPr>
          <w:p>
            <w:pPr>
              <w:pStyle w:val="TableContents"/>
              <w:spacing w:before="0" w:after="283"/>
              <w:rPr>
                <w:sz w:val="4"/>
                <w:szCs w:val="4"/>
              </w:rPr>
            </w:pPr>
            <w:r>
              <w:rPr>
                <w:sz w:val="4"/>
                <w:szCs w:val="4"/>
              </w:rPr>
            </w:r>
          </w:p>
        </w:tc>
      </w:tr>
      <w:tr>
        <w:trPr/>
        <w:tc>
          <w:tcPr>
            <w:tcW w:w="599" w:type="dxa"/>
            <w:tcBorders/>
            <w:shd w:fill="auto" w:val="clear"/>
            <w:vAlign w:val="center"/>
          </w:tcPr>
          <w:p>
            <w:pPr>
              <w:pStyle w:val="TableContents"/>
              <w:spacing w:before="0" w:after="283"/>
              <w:rPr>
                <w:sz w:val="4"/>
                <w:szCs w:val="4"/>
              </w:rPr>
            </w:pPr>
            <w:r>
              <w:rPr>
                <w:sz w:val="4"/>
                <w:szCs w:val="4"/>
              </w:rPr>
            </w:r>
          </w:p>
        </w:tc>
        <w:tc>
          <w:tcPr>
            <w:tcW w:w="6193" w:type="dxa"/>
            <w:tcBorders/>
            <w:shd w:fill="auto" w:val="clear"/>
            <w:vAlign w:val="center"/>
          </w:tcPr>
          <w:p>
            <w:pPr>
              <w:pStyle w:val="TableContents"/>
              <w:spacing w:before="0" w:after="283"/>
              <w:rPr>
                <w:sz w:val="4"/>
                <w:szCs w:val="4"/>
              </w:rPr>
            </w:pPr>
            <w:r>
              <w:rPr>
                <w:sz w:val="4"/>
                <w:szCs w:val="4"/>
              </w:rPr>
            </w:r>
          </w:p>
        </w:tc>
        <w:tc>
          <w:tcPr>
            <w:tcW w:w="31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6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9, 2013</w:t>
            </w:r>
          </w:p>
        </w:tc>
        <w:tc>
          <w:tcPr>
            <w:tcW w:w="319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  </w:t>
            </w:r>
          </w:p>
        </w:tc>
      </w:tr>
      <w:tr>
        <w:trPr/>
        <w:tc>
          <w:tcPr>
            <w:tcW w:w="599" w:type="dxa"/>
            <w:tcBorders/>
            <w:shd w:fill="auto" w:val="clear"/>
            <w:vAlign w:val="center"/>
          </w:tcPr>
          <w:p>
            <w:pPr>
              <w:pStyle w:val="TableContents"/>
              <w:spacing w:before="0" w:after="0"/>
              <w:ind w:left="0" w:right="0" w:firstLine="30"/>
              <w:rPr/>
            </w:pPr>
            <w:r>
              <w:rPr/>
              <w:t> </w:t>
            </w:r>
          </w:p>
        </w:tc>
        <w:tc>
          <w:tcPr>
            <w:tcW w:w="6193" w:type="dxa"/>
            <w:tcBorders/>
            <w:shd w:fill="auto" w:val="clear"/>
            <w:vAlign w:val="center"/>
          </w:tcPr>
          <w:p>
            <w:pPr>
              <w:pStyle w:val="TableContents"/>
              <w:spacing w:before="0" w:after="0"/>
              <w:ind w:left="0" w:right="0" w:firstLine="30"/>
              <w:rPr/>
            </w:pPr>
            <w:r>
              <w:rPr/>
              <w:t> </w:t>
            </w:r>
          </w:p>
        </w:tc>
        <w:tc>
          <w:tcPr>
            <w:tcW w:w="31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r>
      <w:tr>
        <w:trPr/>
        <w:tc>
          <w:tcPr>
            <w:tcW w:w="599" w:type="dxa"/>
            <w:tcBorders/>
            <w:shd w:fill="auto" w:val="clear"/>
            <w:vAlign w:val="center"/>
          </w:tcPr>
          <w:p>
            <w:pPr>
              <w:pStyle w:val="TableContents"/>
              <w:spacing w:before="0" w:after="0"/>
              <w:ind w:left="0" w:right="0" w:firstLine="30"/>
              <w:rPr/>
            </w:pPr>
            <w:r>
              <w:rPr/>
              <w:t> </w:t>
            </w:r>
          </w:p>
        </w:tc>
        <w:tc>
          <w:tcPr>
            <w:tcW w:w="6193" w:type="dxa"/>
            <w:tcBorders/>
            <w:shd w:fill="auto" w:val="clear"/>
            <w:vAlign w:val="center"/>
          </w:tcPr>
          <w:p>
            <w:pPr>
              <w:pStyle w:val="TableContents"/>
              <w:spacing w:before="0" w:after="0"/>
              <w:ind w:left="0" w:right="0" w:firstLine="30"/>
              <w:rPr/>
            </w:pPr>
            <w:r>
              <w:rPr/>
              <w:t> </w:t>
            </w:r>
          </w:p>
        </w:tc>
        <w:tc>
          <w:tcPr>
            <w:tcW w:w="31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r>
      <w:tr>
        <w:trPr/>
        <w:tc>
          <w:tcPr>
            <w:tcW w:w="599" w:type="dxa"/>
            <w:tcBorders/>
            <w:shd w:fill="auto" w:val="clear"/>
            <w:vAlign w:val="center"/>
          </w:tcPr>
          <w:p>
            <w:pPr>
              <w:pStyle w:val="TableContents"/>
              <w:spacing w:before="0" w:after="0"/>
              <w:ind w:left="0" w:right="0" w:firstLine="30"/>
              <w:rPr/>
            </w:pPr>
            <w:r>
              <w:rPr/>
              <w:t> </w:t>
            </w:r>
          </w:p>
        </w:tc>
        <w:tc>
          <w:tcPr>
            <w:tcW w:w="6193" w:type="dxa"/>
            <w:tcBorders/>
            <w:shd w:fill="auto" w:val="clear"/>
            <w:vAlign w:val="center"/>
          </w:tcPr>
          <w:p>
            <w:pPr>
              <w:pStyle w:val="TableContents"/>
              <w:spacing w:before="0" w:after="0"/>
              <w:ind w:left="0" w:right="0" w:firstLine="30"/>
              <w:rPr/>
            </w:pPr>
            <w:r>
              <w:rPr/>
              <w:t> </w:t>
            </w:r>
          </w:p>
        </w:tc>
        <w:tc>
          <w:tcPr>
            <w:tcW w:w="3196" w:type="dxa"/>
            <w:tcBorders/>
            <w:shd w:fill="auto" w:val="clear"/>
            <w:vAlign w:val="center"/>
          </w:tcPr>
          <w:p>
            <w:pPr>
              <w:pStyle w:val="TableContents"/>
              <w:spacing w:before="0" w:after="0"/>
              <w:ind w:left="0" w:right="0" w:firstLine="30"/>
              <w:rPr/>
            </w:pPr>
            <w:r>
              <w:rPr/>
              <w:t> </w:t>
            </w:r>
          </w:p>
        </w:tc>
      </w:tr>
      <w:tr>
        <w:trPr/>
        <w:tc>
          <w:tcPr>
            <w:tcW w:w="59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6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9, 2013</w:t>
            </w:r>
          </w:p>
        </w:tc>
        <w:tc>
          <w:tcPr>
            <w:tcW w:w="319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Mark Kuchenrither</w:t>
            </w:r>
          </w:p>
        </w:tc>
      </w:tr>
      <w:tr>
        <w:trPr/>
        <w:tc>
          <w:tcPr>
            <w:tcW w:w="599" w:type="dxa"/>
            <w:tcBorders/>
            <w:shd w:fill="auto" w:val="clear"/>
            <w:vAlign w:val="center"/>
          </w:tcPr>
          <w:p>
            <w:pPr>
              <w:pStyle w:val="TableContents"/>
              <w:spacing w:before="0" w:after="0"/>
              <w:ind w:left="0" w:right="0" w:firstLine="30"/>
              <w:rPr/>
            </w:pPr>
            <w:r>
              <w:rPr/>
              <w:t> </w:t>
            </w:r>
          </w:p>
        </w:tc>
        <w:tc>
          <w:tcPr>
            <w:tcW w:w="6193" w:type="dxa"/>
            <w:tcBorders/>
            <w:shd w:fill="auto" w:val="clear"/>
            <w:vAlign w:val="center"/>
          </w:tcPr>
          <w:p>
            <w:pPr>
              <w:pStyle w:val="TableContents"/>
              <w:spacing w:before="0" w:after="0"/>
              <w:ind w:left="0" w:right="0" w:firstLine="30"/>
              <w:rPr/>
            </w:pPr>
            <w:r>
              <w:rPr/>
              <w:t> </w:t>
            </w:r>
          </w:p>
        </w:tc>
        <w:tc>
          <w:tcPr>
            <w:tcW w:w="31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599" w:type="dxa"/>
            <w:tcBorders/>
            <w:shd w:fill="auto" w:val="clear"/>
            <w:vAlign w:val="center"/>
          </w:tcPr>
          <w:p>
            <w:pPr>
              <w:pStyle w:val="TableContents"/>
              <w:spacing w:before="0" w:after="0"/>
              <w:ind w:left="0" w:right="0" w:firstLine="30"/>
              <w:rPr/>
            </w:pPr>
            <w:r>
              <w:rPr/>
              <w:t> </w:t>
            </w:r>
          </w:p>
        </w:tc>
        <w:tc>
          <w:tcPr>
            <w:tcW w:w="6193" w:type="dxa"/>
            <w:tcBorders/>
            <w:shd w:fill="auto" w:val="clear"/>
            <w:vAlign w:val="center"/>
          </w:tcPr>
          <w:p>
            <w:pPr>
              <w:pStyle w:val="TableContents"/>
              <w:spacing w:before="0" w:after="0"/>
              <w:ind w:left="0" w:right="0" w:firstLine="30"/>
              <w:rPr/>
            </w:pPr>
            <w:r>
              <w:rPr/>
              <w:t> </w:t>
            </w:r>
          </w:p>
        </w:tc>
        <w:tc>
          <w:tcPr>
            <w:tcW w:w="3196" w:type="dxa"/>
            <w:tcBorders/>
            <w:shd w:fill="auto" w:val="clear"/>
            <w:vAlign w:val="center"/>
          </w:tcPr>
          <w:p>
            <w:pPr>
              <w:pStyle w:val="TableContents"/>
              <w:spacing w:before="0" w:after="0"/>
              <w:jc w:val="left"/>
              <w:rPr>
                <w:rFonts w:ascii="inherit" w:hAnsi="inherit"/>
                <w:sz w:val="17"/>
              </w:rPr>
            </w:pPr>
            <w:r>
              <w:rPr>
                <w:rFonts w:ascii="inherit" w:hAnsi="inherit"/>
                <w:sz w:val="17"/>
              </w:rPr>
              <w:t>Executive Vice President and</w:t>
              <w:br/>
              <w:t>Chief Financial Officer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84</Pages>
  <Words>37379</Words>
  <CharactersWithSpaces>237315</CharactersWithSpaces>
  <Paragraphs>13639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