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29,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29, 2014 EZCORP, Inc. issued a press release announcing its results of operations and financial condition for the second fiscal quarter and six month period ended March 31, 2014. A copy of that press release is attached as Exhibit 99.1.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herein, “GAAP” refers to accounting principles generally accepted in the United States.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press release furnished in Exhibit 99.1 presents the financial results in accordance with GAAP. In addition, segment contribution, income from continuing operations, net income, net income attributable to EZCORP, Inc. and earnings per share for the three and six months ended March 31, 2014 and 2013 are also presented on a non-GAAP basis. Information sufficient to reconcile the non-GAAP measure to the GAAP measure is also presented. This non-GAAP financial measure is not meant to be considered in isolation or as a substitute for the corresponding GAAP measure.</w:t>
      </w:r>
    </w:p>
    <w:p>
      <w:pPr>
        <w:spacing w:after="0" w:line="19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p>
      <w:pPr>
        <w:ind w:left="1120" w:right="900" w:hanging="562"/>
        <w:spacing w:after="0" w:line="277" w:lineRule="auto"/>
        <w:tabs>
          <w:tab w:leader="none" w:pos="1100" w:val="left"/>
        </w:tabs>
        <w:rPr>
          <w:sz w:val="20"/>
          <w:szCs w:val="20"/>
          <w:color w:val="auto"/>
        </w:rPr>
      </w:pPr>
      <w:r>
        <w:rPr>
          <w:rFonts w:ascii="Arial" w:cs="Arial" w:eastAsia="Arial" w:hAnsi="Arial"/>
          <w:sz w:val="18"/>
          <w:szCs w:val="18"/>
          <w:color w:val="auto"/>
        </w:rPr>
        <w:t>99.1</w:t>
        <w:tab/>
        <w:t>Press Release, dated April 29, 2014, announcing EZCORP, Inc.’s results of operations and financial condition for the second fiscal quarter and six month period ended March 31, 2014.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700" w:val="left"/>
          <w:tab w:leader="none" w:pos="620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Mark Kuchenrither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0" w:type="dxa"/>
            <w:vAlign w:val="bottom"/>
          </w:tcPr>
          <w:p>
            <w:pPr>
              <w:jc w:val="center"/>
              <w:ind w:right="1514"/>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No.</w:t>
            </w:r>
          </w:p>
        </w:tc>
        <w:tc>
          <w:tcPr>
            <w:tcW w:w="9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2"/>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3"/>
              </w:rPr>
              <w:t>Press Release, dated April 29, 2014, announcing EZCORP, Inc.’s results of operations and financial condition for the second fiscal</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quarter and six month period ended March 31, 2014.</w:t>
            </w:r>
          </w:p>
        </w:tc>
        <w:tc>
          <w:tcPr>
            <w:tcW w:w="0" w:type="dxa"/>
            <w:vAlign w:val="bottom"/>
          </w:tcPr>
          <w:p>
            <w:pPr>
              <w:spacing w:after="0"/>
              <w:rPr>
                <w:sz w:val="1"/>
                <w:szCs w:val="1"/>
                <w:color w:val="auto"/>
              </w:rPr>
            </w:pPr>
          </w:p>
        </w:tc>
      </w:tr>
      <w:tr>
        <w:trPr>
          <w:trHeight w:val="486"/>
        </w:trPr>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0" w:type="dxa"/>
            <w:vAlign w:val="bottom"/>
          </w:tcPr>
          <w:p>
            <w:pPr>
              <w:jc w:val="right"/>
              <w:ind w:right="557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251460</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EZCORP REPORTS SECOND QUARTER REVENUES OF $260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GAAP Earnings Per Share of $0.15, Adjusted Earnings Per Share of $0.36</w:t>
      </w:r>
    </w:p>
    <w:p>
      <w:pPr>
        <w:spacing w:after="0" w:line="335"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AUSTIN, Texas (</w:t>
      </w:r>
      <w:r>
        <w:rPr>
          <w:rFonts w:ascii="Arial" w:cs="Arial" w:eastAsia="Arial" w:hAnsi="Arial"/>
          <w:sz w:val="22"/>
          <w:szCs w:val="22"/>
          <w:color w:val="auto"/>
        </w:rPr>
        <w:t>April 29, 2014</w:t>
      </w:r>
      <w:r>
        <w:rPr>
          <w:rFonts w:ascii="Arial" w:cs="Arial" w:eastAsia="Arial" w:hAnsi="Arial"/>
          <w:sz w:val="22"/>
          <w:szCs w:val="22"/>
          <w:b w:val="1"/>
          <w:bCs w:val="1"/>
          <w:color w:val="auto"/>
        </w:rPr>
        <w:t xml:space="preserve">) — </w:t>
      </w:r>
      <w:r>
        <w:rPr>
          <w:rFonts w:ascii="Arial" w:cs="Arial" w:eastAsia="Arial" w:hAnsi="Arial"/>
          <w:sz w:val="22"/>
          <w:szCs w:val="22"/>
          <w:color w:val="auto"/>
        </w:rPr>
        <w:t>EZCORP, Inc. (NASDAQ: EZPW), a leading provider of easy cash solutions for consumers,</w:t>
      </w:r>
      <w:r>
        <w:rPr>
          <w:rFonts w:ascii="Arial" w:cs="Arial" w:eastAsia="Arial" w:hAnsi="Arial"/>
          <w:sz w:val="22"/>
          <w:szCs w:val="22"/>
          <w:b w:val="1"/>
          <w:bCs w:val="1"/>
          <w:color w:val="auto"/>
        </w:rPr>
        <w:t xml:space="preserve"> </w:t>
      </w:r>
      <w:r>
        <w:rPr>
          <w:rFonts w:ascii="Arial" w:cs="Arial" w:eastAsia="Arial" w:hAnsi="Arial"/>
          <w:sz w:val="22"/>
          <w:szCs w:val="22"/>
          <w:color w:val="auto"/>
        </w:rPr>
        <w:t>today announced its financial results for the second quarter of fiscal 2014.</w:t>
      </w:r>
    </w:p>
    <w:p>
      <w:pPr>
        <w:spacing w:after="0" w:line="16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For the quarter, total revenues were $260 million, with net income of $8 million and earnings per share of $0.15. Excluding the negative impact of certain one-time charges discussed below, as well as minimal losses related to our immature online lending businesses, adjusted net income was $20 million and adjusted earnings per share were $0.36, both non-GAAP measures.</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Paul Rothamel, EZCORP’s President and Chief Executive Officer, stated, “We are pleased with the continued momentum demonstrated in our core businesses. From an operations standpoint, the second quarter was consistent with the improving year-over-year revenue and expense trends that we reported in the first quarter. As we discussed previously, we expected these year-over-year financial comparisons to be challenging as our pawn and financial services businesses continue to anniversary gold volume declines and regulatory changes respectively. We also continue to believe those quarterly comparisons will improve significantly in the back half of the year.</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“We experienced very strong demand at our storefront jewelry business and saw continued growth in our online retail channel. Demand for our financial service offerings in the U.S. and Mexico was also very strong. Retail margins, jewelry scrap margins and bad debt provisions were all at, or ahead of, our expectations. Our expense reduction initiatives were also on track, delivering the quarter-on-quarter improvement that we expected. The demand for our products is greater than it has ever been, as our customers have fewer alternatives to access immediate cash."</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Consolidated Financial Highlights — Second Quarter of Fiscal 2014 vs. Prior Year Quarter</w:t>
      </w:r>
    </w:p>
    <w:p>
      <w:pPr>
        <w:spacing w:after="0" w:line="226" w:lineRule="exact"/>
        <w:rPr>
          <w:sz w:val="20"/>
          <w:szCs w:val="20"/>
          <w:color w:val="auto"/>
        </w:rPr>
      </w:pPr>
    </w:p>
    <w:p>
      <w:pPr>
        <w:jc w:val="both"/>
        <w:ind w:left="660" w:hanging="328"/>
        <w:spacing w:after="0" w:line="25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Total revenues were $260 million compared to $268 million in the same period last year. Excluding an expected decrease in gold scrapping, total revenues were up 4%, driven by excellent jewelry sales and consumer loan fee growth in the United States and Mexico.</w:t>
      </w:r>
    </w:p>
    <w:p>
      <w:pPr>
        <w:spacing w:after="0" w:line="185"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Adjusted net income for the quarter was $20 million, net of the after-tax impacts of the Albemarle &amp; Bond impairment charge ($6 million), the retirement benefit accrual for our long-time Executive Chairman ($6 million) and performance of our online businesses ($0.6 million).</w:t>
      </w:r>
    </w:p>
    <w:p>
      <w:pPr>
        <w:spacing w:after="0" w:line="185" w:lineRule="exact"/>
        <w:rPr>
          <w:rFonts w:ascii="Arial" w:cs="Arial" w:eastAsia="Arial" w:hAnsi="Arial"/>
          <w:sz w:val="22"/>
          <w:szCs w:val="22"/>
          <w:color w:val="auto"/>
        </w:rPr>
      </w:pPr>
    </w:p>
    <w:p>
      <w:pPr>
        <w:ind w:left="660" w:right="2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color w:val="auto"/>
        </w:rPr>
        <w:t>Earning assets, including CSO loans, were $417 million at quarter-end, an increase of 7%, as a result of growth in payroll withholding, installment and auto title loans, as well as inventory in the U.S.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of 14</w:t>
      </w:r>
    </w:p>
    <w:p>
      <w:pPr>
        <w:sectPr>
          <w:pgSz w:w="11900" w:h="16838" w:orient="portrait"/>
          <w:cols w:equalWidth="0" w:num="1">
            <w:col w:w="11420"/>
          </w:cols>
          <w:pgMar w:left="240" w:top="585" w:right="239" w:bottom="1440" w:gutter="0" w:footer="0" w:header="0"/>
        </w:sectPr>
      </w:pPr>
    </w:p>
    <w:bookmarkStart w:id="5" w:name="page6"/>
    <w:bookmarkEnd w:id="5"/>
    <w:p>
      <w:pPr>
        <w:ind w:left="660" w:right="2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Cash and cash equivalents, including restricted cash, were $63 million at quarter-end, with debt of $228 million, including $145 million of Grupo Finmart third-party debt, which is non-recourse to EZCORP.</w:t>
      </w:r>
    </w:p>
    <w:p>
      <w:pPr>
        <w:spacing w:after="0" w:line="169" w:lineRule="exact"/>
        <w:rPr>
          <w:sz w:val="20"/>
          <w:szCs w:val="20"/>
          <w:color w:val="auto"/>
        </w:rPr>
      </w:pPr>
    </w:p>
    <w:p>
      <w:pPr>
        <w:jc w:val="right"/>
        <w:ind w:right="10020"/>
        <w:spacing w:after="0"/>
        <w:rPr>
          <w:sz w:val="20"/>
          <w:szCs w:val="20"/>
          <w:color w:val="auto"/>
        </w:rPr>
      </w:pPr>
      <w:r>
        <w:rPr>
          <w:rFonts w:ascii="Arial" w:cs="Arial" w:eastAsia="Arial" w:hAnsi="Arial"/>
          <w:sz w:val="19"/>
          <w:szCs w:val="19"/>
          <w:b w:val="1"/>
          <w:bCs w:val="1"/>
          <w:u w:val="single" w:color="auto"/>
          <w:color w:val="auto"/>
        </w:rPr>
        <w:t>U.S. &amp; Canada</w:t>
      </w:r>
    </w:p>
    <w:p>
      <w:pPr>
        <w:spacing w:after="0" w:line="260" w:lineRule="exact"/>
        <w:rPr>
          <w:sz w:val="20"/>
          <w:szCs w:val="20"/>
          <w:color w:val="auto"/>
        </w:rPr>
      </w:pPr>
    </w:p>
    <w:p>
      <w:pPr>
        <w:jc w:val="right"/>
        <w:ind w:right="10020"/>
        <w:spacing w:after="0"/>
        <w:rPr>
          <w:sz w:val="20"/>
          <w:szCs w:val="20"/>
          <w:color w:val="auto"/>
        </w:rPr>
      </w:pPr>
      <w:r>
        <w:rPr>
          <w:rFonts w:ascii="Arial" w:cs="Arial" w:eastAsia="Arial" w:hAnsi="Arial"/>
          <w:sz w:val="22"/>
          <w:szCs w:val="22"/>
          <w:i w:val="1"/>
          <w:iCs w:val="1"/>
          <w:color w:val="auto"/>
        </w:rPr>
        <w:t>Pawn —</w:t>
      </w:r>
    </w:p>
    <w:p>
      <w:pPr>
        <w:spacing w:after="0" w:line="220" w:lineRule="exact"/>
        <w:rPr>
          <w:sz w:val="20"/>
          <w:szCs w:val="20"/>
          <w:color w:val="auto"/>
        </w:rPr>
      </w:pPr>
    </w:p>
    <w:p>
      <w:pPr>
        <w:jc w:val="both"/>
        <w:ind w:left="1300" w:hanging="320"/>
        <w:spacing w:after="0" w:line="312" w:lineRule="auto"/>
        <w:tabs>
          <w:tab w:leader="none" w:pos="1300" w:val="left"/>
        </w:tabs>
        <w:numPr>
          <w:ilvl w:val="0"/>
          <w:numId w:val="4"/>
        </w:numPr>
        <w:rPr>
          <w:rFonts w:ascii="Arial" w:cs="Arial" w:eastAsia="Arial" w:hAnsi="Arial"/>
          <w:sz w:val="19"/>
          <w:szCs w:val="19"/>
          <w:color w:val="auto"/>
        </w:rPr>
      </w:pPr>
      <w:r>
        <w:rPr>
          <w:rFonts w:ascii="Arial" w:cs="Arial" w:eastAsia="Arial" w:hAnsi="Arial"/>
          <w:sz w:val="19"/>
          <w:szCs w:val="19"/>
          <w:color w:val="auto"/>
        </w:rPr>
        <w:t>Total merchandise sales increased 4% in total and on a same-store basis driven by growth in storefront jewelry sales and strong online performance. Gross margin on merchandise sales remained strong at 39%. Both the merchandise sales and gross margin metrics compare favorably to the U.S. and Canadian marketplace for the quarter.</w:t>
      </w:r>
    </w:p>
    <w:p>
      <w:pPr>
        <w:spacing w:after="0" w:line="133" w:lineRule="exact"/>
        <w:rPr>
          <w:rFonts w:ascii="Arial" w:cs="Arial" w:eastAsia="Arial" w:hAnsi="Arial"/>
          <w:sz w:val="19"/>
          <w:szCs w:val="19"/>
          <w:color w:val="auto"/>
        </w:rPr>
      </w:pPr>
    </w:p>
    <w:p>
      <w:pPr>
        <w:jc w:val="both"/>
        <w:ind w:left="1300" w:hanging="320"/>
        <w:spacing w:after="0" w:line="253" w:lineRule="auto"/>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Jewelry sales were very strong, increasing 27% in total and 25% on a same-store basis, with gross margin of 43%. Coupled with our strong performance in the first quarter, jewelry sales growth was 30% in total and 27% on a same-store basis for the first half of the fiscal year.</w:t>
      </w:r>
    </w:p>
    <w:p>
      <w:pPr>
        <w:spacing w:after="0" w:line="185" w:lineRule="exact"/>
        <w:rPr>
          <w:rFonts w:ascii="Arial" w:cs="Arial" w:eastAsia="Arial" w:hAnsi="Arial"/>
          <w:sz w:val="22"/>
          <w:szCs w:val="22"/>
          <w:color w:val="auto"/>
        </w:rPr>
      </w:pPr>
    </w:p>
    <w:p>
      <w:pPr>
        <w:ind w:left="1300" w:hanging="320"/>
        <w:spacing w:after="0" w:line="343" w:lineRule="auto"/>
        <w:tabs>
          <w:tab w:leader="none" w:pos="1300" w:val="left"/>
        </w:tabs>
        <w:numPr>
          <w:ilvl w:val="0"/>
          <w:numId w:val="4"/>
        </w:numPr>
        <w:rPr>
          <w:rFonts w:ascii="Arial" w:cs="Arial" w:eastAsia="Arial" w:hAnsi="Arial"/>
          <w:sz w:val="19"/>
          <w:szCs w:val="19"/>
          <w:color w:val="auto"/>
        </w:rPr>
      </w:pPr>
      <w:r>
        <w:rPr>
          <w:rFonts w:ascii="Arial" w:cs="Arial" w:eastAsia="Arial" w:hAnsi="Arial"/>
          <w:sz w:val="19"/>
          <w:szCs w:val="19"/>
          <w:color w:val="auto"/>
        </w:rPr>
        <w:t>Online sales grew 63% over the same quarter last year and accounted for roughly 8% of the segment’s total merchandise sales. Gross margin remained strong at 44% as compared to 43% for the same quarter last year.</w:t>
      </w:r>
    </w:p>
    <w:p>
      <w:pPr>
        <w:spacing w:after="0" w:line="104" w:lineRule="exact"/>
        <w:rPr>
          <w:rFonts w:ascii="Arial" w:cs="Arial" w:eastAsia="Arial" w:hAnsi="Arial"/>
          <w:sz w:val="19"/>
          <w:szCs w:val="19"/>
          <w:color w:val="auto"/>
        </w:rPr>
      </w:pPr>
    </w:p>
    <w:p>
      <w:pPr>
        <w:jc w:val="both"/>
        <w:ind w:left="1300" w:hanging="320"/>
        <w:spacing w:after="0" w:line="260" w:lineRule="auto"/>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Pawn loan balances were $113 million at quarter-end, down 6% in total, driven primarily by a decrease in average loan size related to jewelry. This expected decline moderated in April, and we expect pawn loan balances to stabilize and be roughly flat by the end of the year.</w:t>
      </w:r>
    </w:p>
    <w:p>
      <w:pPr>
        <w:spacing w:after="0" w:line="177" w:lineRule="exact"/>
        <w:rPr>
          <w:rFonts w:ascii="Arial" w:cs="Arial" w:eastAsia="Arial" w:hAnsi="Arial"/>
          <w:sz w:val="22"/>
          <w:szCs w:val="22"/>
          <w:color w:val="auto"/>
        </w:rPr>
      </w:pPr>
    </w:p>
    <w:p>
      <w:pPr>
        <w:ind w:left="1300" w:hanging="320"/>
        <w:spacing w:after="0" w:line="343" w:lineRule="auto"/>
        <w:tabs>
          <w:tab w:leader="none" w:pos="1300" w:val="left"/>
        </w:tabs>
        <w:numPr>
          <w:ilvl w:val="0"/>
          <w:numId w:val="4"/>
        </w:numPr>
        <w:rPr>
          <w:rFonts w:ascii="Arial" w:cs="Arial" w:eastAsia="Arial" w:hAnsi="Arial"/>
          <w:sz w:val="19"/>
          <w:szCs w:val="19"/>
          <w:color w:val="auto"/>
        </w:rPr>
      </w:pPr>
      <w:r>
        <w:rPr>
          <w:rFonts w:ascii="Arial" w:cs="Arial" w:eastAsia="Arial" w:hAnsi="Arial"/>
          <w:sz w:val="19"/>
          <w:szCs w:val="19"/>
          <w:color w:val="auto"/>
        </w:rPr>
        <w:t>Redemption rates were 85%, up 100 basis points compared to a year ago, driven by a 200 basis point increase in the jewelry redemption rate to 89%, while the general merchandise redemption rate remained flat at 79%.</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Financial Services —</w:t>
      </w:r>
    </w:p>
    <w:p>
      <w:pPr>
        <w:spacing w:after="0" w:line="220" w:lineRule="exact"/>
        <w:rPr>
          <w:sz w:val="20"/>
          <w:szCs w:val="20"/>
          <w:color w:val="auto"/>
        </w:rPr>
      </w:pPr>
    </w:p>
    <w:p>
      <w:pPr>
        <w:jc w:val="both"/>
        <w:ind w:left="1300" w:hanging="320"/>
        <w:spacing w:after="0" w:line="250"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Total loan balances including CSO loans, net of reserves, were $43 million at quarter-end, a 17% increase over the same quarter last year. This increase was driven by solid growth at our 500 storefronts as well as our online channel. For the quarter, including CSO loans, installment loans were up 77% and auto title loans grew 22% while traditional payday loans declined 12%.</w:t>
      </w:r>
    </w:p>
    <w:p>
      <w:pPr>
        <w:spacing w:after="0" w:line="188" w:lineRule="exact"/>
        <w:rPr>
          <w:sz w:val="20"/>
          <w:szCs w:val="20"/>
          <w:color w:val="auto"/>
        </w:rPr>
      </w:pPr>
    </w:p>
    <w:p>
      <w:pPr>
        <w:jc w:val="both"/>
        <w:ind w:left="1300" w:hanging="320"/>
        <w:spacing w:after="0" w:line="312" w:lineRule="auto"/>
        <w:tabs>
          <w:tab w:leader="none" w:pos="1300" w:val="left"/>
        </w:tabs>
        <w:numPr>
          <w:ilvl w:val="0"/>
          <w:numId w:val="6"/>
        </w:numPr>
        <w:rPr>
          <w:rFonts w:ascii="Arial" w:cs="Arial" w:eastAsia="Arial" w:hAnsi="Arial"/>
          <w:sz w:val="19"/>
          <w:szCs w:val="19"/>
          <w:color w:val="auto"/>
        </w:rPr>
      </w:pPr>
      <w:r>
        <w:rPr>
          <w:rFonts w:ascii="Arial" w:cs="Arial" w:eastAsia="Arial" w:hAnsi="Arial"/>
          <w:sz w:val="19"/>
          <w:szCs w:val="19"/>
          <w:color w:val="auto"/>
        </w:rPr>
        <w:t>Loan fees were $46 million, up 8%. The gap in growth between loan balances and fees year-over-year is the result of a shift in product mix to lower yielding products driven by a competitive marketplace and regulatory impact. We expect to grow loan balances aggressively as consumer demand for our loan products remains high.</w:t>
      </w:r>
    </w:p>
    <w:p>
      <w:pPr>
        <w:spacing w:after="0" w:line="133" w:lineRule="exact"/>
        <w:rPr>
          <w:rFonts w:ascii="Arial" w:cs="Arial" w:eastAsia="Arial" w:hAnsi="Arial"/>
          <w:sz w:val="19"/>
          <w:szCs w:val="19"/>
          <w:color w:val="auto"/>
        </w:rPr>
      </w:pPr>
    </w:p>
    <w:p>
      <w:pPr>
        <w:jc w:val="both"/>
        <w:ind w:left="1300" w:hanging="320"/>
        <w:spacing w:after="0" w:line="302" w:lineRule="auto"/>
        <w:tabs>
          <w:tab w:leader="none" w:pos="1300" w:val="left"/>
        </w:tabs>
        <w:numPr>
          <w:ilvl w:val="0"/>
          <w:numId w:val="6"/>
        </w:numPr>
        <w:rPr>
          <w:rFonts w:ascii="Arial" w:cs="Arial" w:eastAsia="Arial" w:hAnsi="Arial"/>
          <w:sz w:val="19"/>
          <w:szCs w:val="19"/>
          <w:color w:val="auto"/>
        </w:rPr>
      </w:pPr>
      <w:r>
        <w:rPr>
          <w:rFonts w:ascii="Arial" w:cs="Arial" w:eastAsia="Arial" w:hAnsi="Arial"/>
          <w:sz w:val="19"/>
          <w:szCs w:val="19"/>
          <w:color w:val="auto"/>
        </w:rPr>
        <w:t>Bad debt as a percentage of fees was 20%, up 500 basis points driven primarily by the impact of regulatory changes at the local and federal level. Secondarily, new store growth and the online penetration negatively impacted the year-over-year comparisons. We expect both of these factors to moderate over the next several quarters as the new stores naturally mature and online bad debt continues its quarter-over-quarter improvement.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Latin America</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Payroll Withholding Lending —</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14</w:t>
      </w:r>
    </w:p>
    <w:p>
      <w:pPr>
        <w:sectPr>
          <w:pgSz w:w="11900" w:h="16838" w:orient="portrait"/>
          <w:cols w:equalWidth="0" w:num="1">
            <w:col w:w="11420"/>
          </w:cols>
          <w:pgMar w:left="240" w:top="591" w:right="239" w:bottom="1440" w:gutter="0" w:footer="0" w:header="0"/>
        </w:sectPr>
      </w:pPr>
    </w:p>
    <w:bookmarkStart w:id="6" w:name="page7"/>
    <w:bookmarkEnd w:id="6"/>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Total fees were $14 million, up 21% as compared to the same period last year.</w:t>
      </w:r>
    </w:p>
    <w:p>
      <w:pPr>
        <w:spacing w:after="0" w:line="219" w:lineRule="exact"/>
        <w:rPr>
          <w:rFonts w:ascii="Arial" w:cs="Arial" w:eastAsia="Arial" w:hAnsi="Arial"/>
          <w:sz w:val="22"/>
          <w:szCs w:val="22"/>
          <w:color w:val="auto"/>
        </w:rPr>
      </w:pPr>
    </w:p>
    <w:p>
      <w:pPr>
        <w:jc w:val="both"/>
        <w:ind w:left="1300" w:hanging="320"/>
        <w:spacing w:after="0" w:line="253" w:lineRule="auto"/>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Total loan balances at the end of the quarter were $113 million, up 23%, driven primarily by significant growth in new loan originations and greater penetration in existing contracts. Grupo Finmart now has approximately 100 active contracts providing access to over 6 million customers.</w:t>
      </w:r>
    </w:p>
    <w:p>
      <w:pPr>
        <w:spacing w:after="0" w:line="185"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Bad debt as a percentage of fees was 3%, ahead of our expectations.</w:t>
      </w:r>
    </w:p>
    <w:p>
      <w:pPr>
        <w:spacing w:after="0" w:line="219" w:lineRule="exact"/>
        <w:rPr>
          <w:rFonts w:ascii="Arial" w:cs="Arial" w:eastAsia="Arial" w:hAnsi="Arial"/>
          <w:sz w:val="22"/>
          <w:szCs w:val="22"/>
          <w:color w:val="auto"/>
        </w:rPr>
      </w:pPr>
    </w:p>
    <w:p>
      <w:pPr>
        <w:jc w:val="both"/>
        <w:ind w:left="1300" w:hanging="320"/>
        <w:spacing w:after="0" w:line="294" w:lineRule="auto"/>
        <w:tabs>
          <w:tab w:leader="none" w:pos="1300" w:val="left"/>
        </w:tabs>
        <w:numPr>
          <w:ilvl w:val="0"/>
          <w:numId w:val="7"/>
        </w:numPr>
        <w:rPr>
          <w:rFonts w:ascii="Arial" w:cs="Arial" w:eastAsia="Arial" w:hAnsi="Arial"/>
          <w:sz w:val="19"/>
          <w:szCs w:val="19"/>
          <w:color w:val="auto"/>
        </w:rPr>
      </w:pPr>
      <w:r>
        <w:rPr>
          <w:rFonts w:ascii="Arial" w:cs="Arial" w:eastAsia="Arial" w:hAnsi="Arial"/>
          <w:sz w:val="19"/>
          <w:szCs w:val="19"/>
          <w:color w:val="auto"/>
        </w:rPr>
        <w:t>Financing activities for the quarter included a structured asset sale by Grupo Finmart and a public securitization of a portion of its receivables. The asset sale accelerated $16 million in cash flow, which was received in April, as well as a $5 million gain included in "Other Revenues." The securitization of $56 million, our second securitization in twelve months, reduced the cost of capital for the receivables financed to 6.3%. We incurred approximately $1 million in expenses during the quarter associated with this securitization. We expect to continue to use these and other types of structured transactions to finance the rapidly growing Grupo Finmart business going forward.</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Pawn —</w:t>
      </w:r>
    </w:p>
    <w:p>
      <w:pPr>
        <w:spacing w:after="0" w:line="220" w:lineRule="exact"/>
        <w:rPr>
          <w:sz w:val="20"/>
          <w:szCs w:val="20"/>
          <w:color w:val="auto"/>
        </w:rPr>
      </w:pPr>
    </w:p>
    <w:p>
      <w:pPr>
        <w:ind w:left="1300" w:right="20" w:hanging="320"/>
        <w:spacing w:after="0" w:line="343" w:lineRule="auto"/>
        <w:tabs>
          <w:tab w:leader="none" w:pos="1300" w:val="left"/>
        </w:tabs>
        <w:numPr>
          <w:ilvl w:val="0"/>
          <w:numId w:val="8"/>
        </w:numPr>
        <w:rPr>
          <w:rFonts w:ascii="Arial" w:cs="Arial" w:eastAsia="Arial" w:hAnsi="Arial"/>
          <w:sz w:val="19"/>
          <w:szCs w:val="19"/>
          <w:color w:val="auto"/>
        </w:rPr>
      </w:pPr>
      <w:r>
        <w:rPr>
          <w:rFonts w:ascii="Arial" w:cs="Arial" w:eastAsia="Arial" w:hAnsi="Arial"/>
          <w:sz w:val="19"/>
          <w:szCs w:val="19"/>
          <w:color w:val="auto"/>
        </w:rPr>
        <w:t>Pawn loan balances were $16 million, down 16%. Pawn service fees were down 7% during the quarter as Empeño Fácil focused on better quality lending. The yield on the loan balance improved 200 basis points to 200%.</w:t>
      </w:r>
    </w:p>
    <w:p>
      <w:pPr>
        <w:spacing w:after="0" w:line="104" w:lineRule="exact"/>
        <w:rPr>
          <w:rFonts w:ascii="Arial" w:cs="Arial" w:eastAsia="Arial" w:hAnsi="Arial"/>
          <w:sz w:val="19"/>
          <w:szCs w:val="19"/>
          <w:color w:val="auto"/>
        </w:rPr>
      </w:pPr>
    </w:p>
    <w:p>
      <w:pPr>
        <w:jc w:val="both"/>
        <w:ind w:left="1300" w:hanging="320"/>
        <w:spacing w:after="0" w:line="253" w:lineRule="auto"/>
        <w:tabs>
          <w:tab w:leader="none" w:pos="1300" w:val="left"/>
        </w:tabs>
        <w:numPr>
          <w:ilvl w:val="0"/>
          <w:numId w:val="8"/>
        </w:numPr>
        <w:rPr>
          <w:rFonts w:ascii="Arial" w:cs="Arial" w:eastAsia="Arial" w:hAnsi="Arial"/>
          <w:sz w:val="22"/>
          <w:szCs w:val="22"/>
          <w:color w:val="auto"/>
        </w:rPr>
      </w:pPr>
      <w:r>
        <w:rPr>
          <w:rFonts w:ascii="Arial" w:cs="Arial" w:eastAsia="Arial" w:hAnsi="Arial"/>
          <w:sz w:val="22"/>
          <w:szCs w:val="22"/>
          <w:color w:val="auto"/>
        </w:rPr>
        <w:t>Empeño Fácil's merchandise sales decreased 1% compared to last year with margins of 38%. We expect to continue to see a challenging marketplace for the foreseeable future as more jewelry-only providers attempt to enter the general merchandise pawn market.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International</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Online Lending —</w:t>
      </w:r>
    </w:p>
    <w:p>
      <w:pPr>
        <w:spacing w:after="0" w:line="220" w:lineRule="exact"/>
        <w:rPr>
          <w:sz w:val="20"/>
          <w:szCs w:val="20"/>
          <w:color w:val="auto"/>
        </w:rPr>
      </w:pPr>
    </w:p>
    <w:p>
      <w:pPr>
        <w:jc w:val="both"/>
        <w:ind w:left="1300" w:hanging="320"/>
        <w:spacing w:after="0" w:line="250" w:lineRule="auto"/>
        <w:tabs>
          <w:tab w:leader="none" w:pos="1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Cash Genie, our U.K. online lending business, reported a nominal operating loss, showing continued improvement as compared to an operating loss of approximately $2 million in the first quarter of fiscal 2014. We expect to spend nearly $1 million in the second half of the year in direct costs associated with the implementation of the new FCA regulations.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Strategic Affiliates —</w:t>
      </w:r>
    </w:p>
    <w:p>
      <w:pPr>
        <w:spacing w:after="0" w:line="220" w:lineRule="exact"/>
        <w:rPr>
          <w:sz w:val="20"/>
          <w:szCs w:val="20"/>
          <w:color w:val="auto"/>
        </w:rPr>
      </w:pPr>
    </w:p>
    <w:p>
      <w:pPr>
        <w:jc w:val="both"/>
        <w:ind w:left="1300" w:hanging="320"/>
        <w:spacing w:after="0" w:line="294" w:lineRule="auto"/>
        <w:tabs>
          <w:tab w:leader="none" w:pos="13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Our income from affiliates was down $4 million, 88% year-over-year. This decrease was driven by a profit decline at Cash Converters International in the first half of their fiscal year due to the effect of the transition to new regulatory requirements in Australia. Cash Converters recently announced significantly improved performance in their third fiscal quarter which will be reflected in our third quarter results. Income from affiliates was also impacted by a decrease from Albemarle &amp; Bond as it is no longer reporting any earnings. In addition, we adjusted our remaining investment in Albemarle &amp; Bond down to zero, resulting in a $6 million after-tax write off.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14</w:t>
      </w:r>
    </w:p>
    <w:p>
      <w:pPr>
        <w:sectPr>
          <w:pgSz w:w="11900" w:h="16838" w:orient="portrait"/>
          <w:cols w:equalWidth="0" w:num="1">
            <w:col w:w="11420"/>
          </w:cols>
          <w:pgMar w:left="240" w:top="591"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CEO Commentary</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Mr. Rothamel added, “Historically, this time of year is a challenging time for our customers and their need for cash is very high. This usually manifests itself in rapidly growing loan balances at EZCORP, and this year is no different. In fact, based on what we are seeing from our customers, we continue to expect that our year-over-year financial comparisons will improve in the second half of the fiscal year.</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will continue to focus on our day-to-day execution of our unique loan and retail offerings. We believe that we are well positioned in the marketplace to continue to differentiate ourselves to the sophisticated consumer. We are confident that our strategy and operational efforts will deliver strong shareholder returns over the long term.”</w:t>
      </w:r>
    </w:p>
    <w:p>
      <w:pPr>
        <w:spacing w:after="0" w:line="200" w:lineRule="exact"/>
        <w:rPr>
          <w:sz w:val="20"/>
          <w:szCs w:val="20"/>
          <w:color w:val="auto"/>
        </w:rPr>
      </w:pP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company provides supplemental information on its website. For additional content, please see "Investor Resources &amp; Supplemental Information" at http://investors.ezcorp.com/.</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EZCORP</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EZCORP, Inc. is a leader in delivering easy cash solutions to our customers across channels, products, services and markets. With approximately 7,500 team members and approximately 1,400 locations and branches, we give our customers multiple ways to access instant cash, including pawn loans and consumer loans in the United States, Mexico, Canada and the United Kingdom. We offer these products through four primary channels: in-store, online, at the worksite and through our mobile platform. At our pawn and buy/sell stores and online, we also sell merchandise, primarily collateral forfeited from pawn lending operations and used merchandise purchased from customers.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EZCORP owns controlling interests in Prestaciones Finmart, S.A.P.I. de C.V., SOFOM, E.N.R. (doing business under the names “Crediamigo” and “Adex”), a leading provider of payroll deduction loans in Mexico; and in Renueva Commercial, S.A.P.I. de C.V., an operator of buy/sell stores in Mexico under the name “TUYO.” The company also has a significant investment in Cash Converters International Limited (CCV.ASX), which franchises and operates a worldwide network of over 700 stores that provide personal financial services and sell pre-owned merchandise.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the latest information on EZCORP, please visit our website at: </w:t>
      </w:r>
      <w:r>
        <w:rPr>
          <w:rFonts w:ascii="Arial" w:cs="Arial" w:eastAsia="Arial" w:hAnsi="Arial"/>
          <w:sz w:val="22"/>
          <w:szCs w:val="22"/>
          <w:u w:val="single" w:color="auto"/>
          <w:color w:val="0000FF"/>
        </w:rPr>
        <w:t>http://investors.ezcorp.com/</w:t>
      </w:r>
      <w:r>
        <w:rPr>
          <w:rFonts w:ascii="Arial" w:cs="Arial" w:eastAsia="Arial" w:hAnsi="Arial"/>
          <w:sz w:val="22"/>
          <w:szCs w:val="22"/>
          <w:color w:val="auto"/>
        </w:rPr>
        <w: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This announcement contains certain forward-looking statements regarding the company’s expected operating and financial performance for future periods. These statements are based on the </w:t>
      </w:r>
      <w:r>
        <w:rPr>
          <w:rFonts w:ascii="Arial" w:cs="Arial" w:eastAsia="Arial" w:hAnsi="Arial"/>
          <w:sz w:val="17"/>
          <w:szCs w:val="17"/>
          <w:color w:val="auto"/>
        </w:rPr>
        <w:t>company’s</w:t>
      </w:r>
      <w:r>
        <w:rPr>
          <w:rFonts w:ascii="Arial" w:cs="Arial" w:eastAsia="Arial" w:hAnsi="Arial"/>
          <w:sz w:val="19"/>
          <w:szCs w:val="19"/>
          <w:color w:val="auto"/>
        </w:rPr>
        <w:t xml:space="preserve"> current expectations. Actual results for future periods may differ materially from those expressed or implied by these forward-looking statements due to a number of uncertainties and other factors, including fluctuations in gold prices or the desire of our customers to pawn or sell their gold items, changes in the regulatory environment, changing market conditions in the overall economy and the industry, and consumer demand for the company’s services and merchandise. For a discussion of these and other factors affecting the company’s business and prospects, see the company’s annual, quarterly and other reports filed with the Securities and Exchange Commission.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14</w:t>
      </w:r>
    </w:p>
    <w:p>
      <w:pPr>
        <w:sectPr>
          <w:pgSz w:w="11900" w:h="16838" w:orient="portrait"/>
          <w:cols w:equalWidth="0" w:num="1">
            <w:col w:w="11420"/>
          </w:cols>
          <w:pgMar w:left="240" w:top="585"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Contact:</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Mark Trinske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and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EZCORP,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(512) 314-2220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Investor_Relations@ezcorp.com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http://investors.ezcorp.com/</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4259"/>
        <w:spacing w:after="0"/>
        <w:rPr>
          <w:sz w:val="20"/>
          <w:szCs w:val="20"/>
          <w:color w:val="auto"/>
        </w:rPr>
      </w:pPr>
      <w:r>
        <w:rPr>
          <w:rFonts w:ascii="Arial" w:cs="Arial" w:eastAsia="Arial" w:hAnsi="Arial"/>
          <w:sz w:val="18"/>
          <w:szCs w:val="18"/>
          <w:color w:val="auto"/>
        </w:rPr>
        <w:t>5 of 14</w:t>
      </w:r>
    </w:p>
    <w:p>
      <w:pPr>
        <w:sectPr>
          <w:pgSz w:w="11900" w:h="16838" w:orient="portrait"/>
          <w:cols w:equalWidth="0" w:num="1">
            <w:col w:w="10219"/>
          </w:cols>
          <w:pgMar w:left="240" w:top="1084"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Highlights of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March</w:t>
            </w:r>
          </w:p>
        </w:tc>
        <w:tc>
          <w:tcPr>
            <w:tcW w:w="19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6"/>
              </w:rPr>
              <w:t>Six Months Ended March 31,</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4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Revenues:</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Merchandise sales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103,454</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209,041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194,686</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Jewelry scrapping sales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26,193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42,582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53,896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87,291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Pawn service charges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59,162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62,015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123,295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127,415</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Consumer loan fees and interest</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64,785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60,751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131,114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123,885</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revenues</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6,106</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2,684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11,711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7,498</w:t>
            </w:r>
          </w:p>
        </w:tc>
        <w:tc>
          <w:tcPr>
            <w:tcW w:w="0" w:type="dxa"/>
            <w:vAlign w:val="bottom"/>
          </w:tcPr>
          <w:p>
            <w:pPr>
              <w:spacing w:after="0"/>
              <w:rPr>
                <w:sz w:val="1"/>
                <w:szCs w:val="1"/>
                <w:color w:val="auto"/>
              </w:rPr>
            </w:pPr>
          </w:p>
        </w:tc>
      </w:tr>
      <w:tr>
        <w:trPr>
          <w:trHeight w:val="250"/>
        </w:trPr>
        <w:tc>
          <w:tcPr>
            <w:tcW w:w="7440" w:type="dxa"/>
            <w:vAlign w:val="bottom"/>
          </w:tcPr>
          <w:p>
            <w:pPr>
              <w:ind w:left="600"/>
              <w:spacing w:after="0"/>
              <w:rPr>
                <w:sz w:val="20"/>
                <w:szCs w:val="20"/>
                <w:color w:val="auto"/>
              </w:rPr>
            </w:pPr>
            <w:r>
              <w:rPr>
                <w:rFonts w:ascii="Arial" w:cs="Arial" w:eastAsia="Arial" w:hAnsi="Arial"/>
                <w:sz w:val="14"/>
                <w:szCs w:val="14"/>
                <w:color w:val="auto"/>
              </w:rPr>
              <w:t>Total revenues</w:t>
            </w:r>
          </w:p>
        </w:tc>
        <w:tc>
          <w:tcPr>
            <w:tcW w:w="10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259,700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268,114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529,057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540,775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Merchandise cost of goods sold</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63,857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58,716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127,445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113,661</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Jewelry scrapping cost of goods sold</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20,111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29,311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40,131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60,616</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loan bad debt</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10,422</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8,457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28,854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21,978</w:t>
            </w:r>
          </w:p>
        </w:tc>
        <w:tc>
          <w:tcPr>
            <w:tcW w:w="0" w:type="dxa"/>
            <w:vAlign w:val="bottom"/>
          </w:tcPr>
          <w:p>
            <w:pPr>
              <w:spacing w:after="0"/>
              <w:rPr>
                <w:sz w:val="1"/>
                <w:szCs w:val="1"/>
                <w:color w:val="auto"/>
              </w:rPr>
            </w:pPr>
          </w:p>
        </w:tc>
      </w:tr>
      <w:tr>
        <w:trPr>
          <w:trHeight w:val="250"/>
        </w:trPr>
        <w:tc>
          <w:tcPr>
            <w:tcW w:w="7440" w:type="dxa"/>
            <w:vAlign w:val="bottom"/>
          </w:tcPr>
          <w:p>
            <w:pPr>
              <w:ind w:left="600"/>
              <w:spacing w:after="0"/>
              <w:rPr>
                <w:sz w:val="20"/>
                <w:szCs w:val="20"/>
                <w:color w:val="auto"/>
              </w:rPr>
            </w:pPr>
            <w:r>
              <w:rPr>
                <w:rFonts w:ascii="Arial" w:cs="Arial" w:eastAsia="Arial" w:hAnsi="Arial"/>
                <w:sz w:val="14"/>
                <w:szCs w:val="14"/>
                <w:color w:val="auto"/>
              </w:rPr>
              <w:t>Net revenues</w:t>
            </w:r>
          </w:p>
        </w:tc>
        <w:tc>
          <w:tcPr>
            <w:tcW w:w="10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165,310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171,630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332,627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344,520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Operations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108,064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101,831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220,833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205,116</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Administrative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20,032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22,274</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7,539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7,071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15,005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13,631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Loss (gain) on sale or disposal of assets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342</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137,952</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118,834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269,582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243,093</w:t>
            </w:r>
          </w:p>
        </w:tc>
        <w:tc>
          <w:tcPr>
            <w:tcW w:w="0" w:type="dxa"/>
            <w:vAlign w:val="bottom"/>
          </w:tcPr>
          <w:p>
            <w:pPr>
              <w:spacing w:after="0"/>
              <w:rPr>
                <w:sz w:val="1"/>
                <w:szCs w:val="1"/>
                <w:color w:val="auto"/>
              </w:rPr>
            </w:pPr>
          </w:p>
        </w:tc>
      </w:tr>
      <w:tr>
        <w:trPr>
          <w:trHeight w:val="250"/>
        </w:trPr>
        <w:tc>
          <w:tcPr>
            <w:tcW w:w="7440" w:type="dxa"/>
            <w:vAlign w:val="bottom"/>
          </w:tcPr>
          <w:p>
            <w:pPr>
              <w:ind w:left="600"/>
              <w:spacing w:after="0"/>
              <w:rPr>
                <w:sz w:val="20"/>
                <w:szCs w:val="20"/>
                <w:color w:val="auto"/>
              </w:rPr>
            </w:pPr>
            <w:r>
              <w:rPr>
                <w:rFonts w:ascii="Arial" w:cs="Arial" w:eastAsia="Arial" w:hAnsi="Arial"/>
                <w:sz w:val="14"/>
                <w:szCs w:val="14"/>
                <w:color w:val="auto"/>
              </w:rPr>
              <w:t>Operating income</w:t>
            </w:r>
          </w:p>
        </w:tc>
        <w:tc>
          <w:tcPr>
            <w:tcW w:w="10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27,358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52,796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63,045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101,427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5,275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7,390</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Equity in net income of unconsolidated affiliates</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(4,125)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(9,163)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of investments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7,940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expense (income)</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13,311</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52,763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103,296</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4,204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16,273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14,085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32,945</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net of tax</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9,107</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32,020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70,351</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(Loss) income from discontinued operations, net of tax</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(3,316)</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9,067</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34,880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33,462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67,035</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from continuing operations attributable to redeemable noncontrolling interest</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2,337</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EZCORP, Inc.</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7,992</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33,981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30,561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64,698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(loss) per share attributable to EZCORP, Inc.:</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0.15</w:t>
            </w:r>
          </w:p>
        </w:tc>
        <w:tc>
          <w:tcPr>
            <w:tcW w:w="3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0.66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0.53</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Discontinued operations</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83"/>
        </w:trPr>
        <w:tc>
          <w:tcPr>
            <w:tcW w:w="7440" w:type="dxa"/>
            <w:vAlign w:val="bottom"/>
          </w:tcPr>
          <w:p>
            <w:pPr>
              <w:ind w:left="380"/>
              <w:spacing w:after="0"/>
              <w:rPr>
                <w:sz w:val="20"/>
                <w:szCs w:val="20"/>
                <w:color w:val="auto"/>
              </w:rPr>
            </w:pPr>
            <w:r>
              <w:rPr>
                <w:rFonts w:ascii="Arial" w:cs="Arial" w:eastAsia="Arial" w:hAnsi="Arial"/>
                <w:sz w:val="14"/>
                <w:szCs w:val="14"/>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0.15</w:t>
            </w:r>
          </w:p>
        </w:tc>
        <w:tc>
          <w:tcPr>
            <w:tcW w:w="3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0.63</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0.56</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Weighted average shares outstanding diluted</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54,586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54,252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54,583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53,172</w:t>
            </w:r>
          </w:p>
        </w:tc>
        <w:tc>
          <w:tcPr>
            <w:tcW w:w="0" w:type="dxa"/>
            <w:vAlign w:val="bottom"/>
          </w:tcPr>
          <w:p>
            <w:pPr>
              <w:spacing w:after="0"/>
              <w:rPr>
                <w:sz w:val="1"/>
                <w:szCs w:val="1"/>
                <w:color w:val="auto"/>
              </w:rPr>
            </w:pPr>
          </w:p>
        </w:tc>
      </w:tr>
      <w:tr>
        <w:trPr>
          <w:trHeight w:val="236"/>
        </w:trPr>
        <w:tc>
          <w:tcPr>
            <w:tcW w:w="7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income from continuing operations attributable to EZCORP, Inc.</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8,032</w:t>
            </w:r>
          </w:p>
        </w:tc>
        <w:tc>
          <w:tcPr>
            <w:tcW w:w="3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35,591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29,119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68,014</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income from discontinued operations attributable to EZCORP, Inc.</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Net income attributable to EZCORP, Inc.</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7,992</w:t>
            </w:r>
          </w:p>
        </w:tc>
        <w:tc>
          <w:tcPr>
            <w:tcW w:w="3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33,981</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30,561</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64,698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 of 14</w:t>
      </w:r>
    </w:p>
    <w:p>
      <w:pPr>
        <w:sectPr>
          <w:pgSz w:w="11900" w:h="16838" w:orient="portrait"/>
          <w:cols w:equalWidth="0" w:num="1">
            <w:col w:w="11420"/>
          </w:cols>
          <w:pgMar w:left="240" w:top="796" w:right="239" w:bottom="1440" w:gutter="0" w:footer="0" w:header="0"/>
          <w:type w:val="continuous"/>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Highlights of Consolidated Balance Sheets (Unaudited)</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w:t>
      </w:r>
    </w:p>
    <w:p>
      <w:pPr>
        <w:sectPr>
          <w:pgSz w:w="11900" w:h="16838" w:orient="portrait"/>
          <w:cols w:equalWidth="0" w:num="1">
            <w:col w:w="11380"/>
          </w:cols>
          <w:pgMar w:left="28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assets: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Restricted cash</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Pawn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Consumer loans, net</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Pawn service charges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Consumer loan fees and interest receivable, net</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Inventory,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Deferred tax asset</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Income tax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Prepaid expenses and other assets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Investments in unconsolidated affiliates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Restricted cash, non-current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Intangible assets, net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Non-current consumer loans,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tax asset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Total assets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77470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liabilities: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Current maturities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Current capital lease obligations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Accounts payable and 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Other current liabilities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Customer layaway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Total current liabilities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Long-term debt, less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Long-term capital lease obligations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gains and other long-term liabilities</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Temporary equity:</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Redeemable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EZCORP, Inc. stockholders’ equity</w:t>
      </w:r>
    </w:p>
    <w:p>
      <w:pPr>
        <w:spacing w:after="0" w:line="107" w:lineRule="exact"/>
        <w:rPr>
          <w:sz w:val="20"/>
          <w:szCs w:val="20"/>
          <w:color w:val="auto"/>
        </w:rPr>
      </w:pPr>
    </w:p>
    <w:p>
      <w:pPr>
        <w:jc w:val="right"/>
        <w:ind w:right="4860"/>
        <w:spacing w:after="0"/>
        <w:rPr>
          <w:sz w:val="20"/>
          <w:szCs w:val="20"/>
          <w:color w:val="auto"/>
        </w:rPr>
      </w:pPr>
      <w:r>
        <w:rPr>
          <w:rFonts w:ascii="Arial" w:cs="Arial" w:eastAsia="Arial" w:hAnsi="Arial"/>
          <w:sz w:val="14"/>
          <w:szCs w:val="14"/>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r>
      <w:tr>
        <w:trPr>
          <w:trHeight w:val="783"/>
        </w:trPr>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32,198</w:t>
            </w:r>
          </w:p>
        </w:tc>
        <w:tc>
          <w:tcPr>
            <w:tcW w:w="100" w:type="dxa"/>
            <w:vAlign w:val="bottom"/>
          </w:tcPr>
          <w:p>
            <w:pPr>
              <w:spacing w:after="0"/>
              <w:rPr>
                <w:sz w:val="24"/>
                <w:szCs w:val="24"/>
                <w:color w:val="auto"/>
              </w:rPr>
            </w:pP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41,443</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21,104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1,204</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128,683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138,380</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75,501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36,596</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24,733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25,388</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40,033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33,507</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129,013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116,517</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13,825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15,716</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17,702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3,079</w:t>
            </w:r>
          </w:p>
        </w:tc>
      </w:tr>
      <w:tr>
        <w:trPr>
          <w:trHeight w:val="278"/>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54,321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42,421</w:t>
            </w:r>
          </w:p>
        </w:tc>
      </w:tr>
      <w:tr>
        <w:trPr>
          <w:trHeight w:val="243"/>
        </w:trPr>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537,113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454,251</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88,685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147,232</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111,419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118,979</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9,575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2,197</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435,048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438,016</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69,016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60,387</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61,724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77,414</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9,619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8"/>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30,037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20,723</w:t>
            </w:r>
          </w:p>
        </w:tc>
      </w:tr>
      <w:tr>
        <w:trPr>
          <w:trHeight w:val="237"/>
        </w:trPr>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1,352,236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1,319,199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783"/>
        </w:trPr>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14,228</w:t>
            </w:r>
          </w:p>
        </w:tc>
        <w:tc>
          <w:tcPr>
            <w:tcW w:w="100" w:type="dxa"/>
            <w:vAlign w:val="bottom"/>
          </w:tcPr>
          <w:p>
            <w:pPr>
              <w:spacing w:after="0"/>
              <w:rPr>
                <w:sz w:val="24"/>
                <w:szCs w:val="24"/>
                <w:color w:val="auto"/>
              </w:rPr>
            </w:pP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34,912</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533</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70,812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63,298</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12,121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36,096</w:t>
            </w:r>
          </w:p>
        </w:tc>
      </w:tr>
      <w:tr>
        <w:trPr>
          <w:trHeight w:val="278"/>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8,986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8,191</w:t>
            </w:r>
          </w:p>
        </w:tc>
      </w:tr>
      <w:tr>
        <w:trPr>
          <w:trHeight w:val="243"/>
        </w:trPr>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106,680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143,030</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214,254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137,376</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648</w:t>
            </w:r>
          </w:p>
        </w:tc>
      </w:tr>
      <w:tr>
        <w:trPr>
          <w:trHeight w:val="270"/>
        </w:trPr>
        <w:tc>
          <w:tcPr>
            <w:tcW w:w="2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10,104</w:t>
            </w:r>
          </w:p>
        </w:tc>
      </w:tr>
      <w:tr>
        <w:trPr>
          <w:trHeight w:val="278"/>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18,613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19,872</w:t>
            </w:r>
          </w:p>
        </w:tc>
      </w:tr>
      <w:tr>
        <w:trPr>
          <w:trHeight w:val="243"/>
        </w:trPr>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339,653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311,030</w:t>
            </w:r>
          </w:p>
        </w:tc>
      </w:tr>
      <w:tr>
        <w:trPr>
          <w:trHeight w:val="540"/>
        </w:trPr>
        <w:tc>
          <w:tcPr>
            <w:tcW w:w="28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58,107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52,982</w:t>
            </w:r>
          </w:p>
        </w:tc>
      </w:tr>
      <w:tr>
        <w:trPr>
          <w:trHeight w:val="278"/>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954,476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955,187</w:t>
            </w:r>
          </w:p>
        </w:tc>
      </w:tr>
      <w:tr>
        <w:trPr>
          <w:trHeight w:val="237"/>
        </w:trPr>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1,352,236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1,319,199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60" w:space="720"/>
            <w:col w:w="2400"/>
          </w:cols>
          <w:pgMar w:left="280" w:top="580" w:right="239" w:bottom="1440" w:gutter="0" w:footer="0" w:header="0"/>
          <w:type w:val="continuous"/>
        </w:sect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 of 14</w:t>
      </w:r>
    </w:p>
    <w:p>
      <w:pPr>
        <w:sectPr>
          <w:pgSz w:w="11900" w:h="16838" w:orient="portrait"/>
          <w:cols w:equalWidth="0" w:num="1">
            <w:col w:w="11380"/>
          </w:cols>
          <w:pgMar w:left="280" w:top="580"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March 31, 2014</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tcPr>
          <w:p>
            <w:pPr>
              <w:spacing w:after="0"/>
              <w:rPr>
                <w:sz w:val="13"/>
                <w:szCs w:val="13"/>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Latin America</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89,937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13,517</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103,454</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103,454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26,193</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52,154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7,008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59,162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59,162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64,785</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213,454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259,700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259,700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54,890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8,967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63,857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63,857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9,121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10,422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10,422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130,650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165,310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165,310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expenses (income):</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85,926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108,064</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20,032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20,032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sale or disposal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Equity in net income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Impairment of investments</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40,229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6,299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38,349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(loss) from continuing operations before</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38,349</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(25,038)</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13,311</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8"/>
                <w:szCs w:val="18"/>
                <w:color w:val="auto"/>
              </w:rPr>
              <w:t>8 of 14</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March 31, 2013</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tcPr>
          <w:p>
            <w:pPr>
              <w:spacing w:after="0"/>
              <w:rPr>
                <w:sz w:val="13"/>
                <w:szCs w:val="13"/>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Latin America</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Segments Total</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86,409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13,673</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100,082</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100,082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42,582</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54,500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7,515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62,015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62,015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60,751</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225,296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268,114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50,819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7,897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58,716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58,716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29,311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Consumer loan bad debt expense (benefit)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6,441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8,457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8,457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140,473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171,630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171,630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expenses (income):</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82,827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101,831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101,831</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8,603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8,603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sale or disposal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Interest expense (income), net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Equity in net income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52,981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6,823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5,160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64,964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40"/>
              <w:spacing w:after="0" w:line="189" w:lineRule="exact"/>
              <w:rPr>
                <w:sz w:val="20"/>
                <w:szCs w:val="20"/>
                <w:color w:val="auto"/>
              </w:rPr>
            </w:pPr>
            <w:r>
              <w:rPr>
                <w:rFonts w:ascii="Arial" w:cs="Arial" w:eastAsia="Arial" w:hAnsi="Arial"/>
                <w:sz w:val="18"/>
                <w:szCs w:val="18"/>
                <w:color w:val="auto"/>
              </w:rPr>
              <w:t>Income (loss) from continuing operations before</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64,964</w:t>
            </w:r>
          </w:p>
        </w:tc>
        <w:tc>
          <w:tcPr>
            <w:tcW w:w="100" w:type="dxa"/>
            <w:vAlign w:val="bottom"/>
          </w:tcPr>
          <w:p>
            <w:pPr>
              <w:spacing w:after="0"/>
              <w:rPr>
                <w:sz w:val="16"/>
                <w:szCs w:val="16"/>
                <w:color w:val="auto"/>
              </w:rPr>
            </w:pPr>
          </w:p>
        </w:tc>
        <w:tc>
          <w:tcPr>
            <w:tcW w:w="300" w:type="dxa"/>
            <w:vAlign w:val="bottom"/>
            <w:tcBorders>
              <w:top w:val="single" w:sz="8" w:color="auto"/>
            </w:tcBorders>
            <w:vMerge w:val="restart"/>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(12,201)</w:t>
            </w:r>
          </w:p>
        </w:tc>
        <w:tc>
          <w:tcPr>
            <w:tcW w:w="10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52,763</w:t>
            </w:r>
          </w:p>
        </w:tc>
        <w:tc>
          <w:tcPr>
            <w:tcW w:w="0" w:type="dxa"/>
            <w:vAlign w:val="bottom"/>
          </w:tcPr>
          <w:p>
            <w:pPr>
              <w:spacing w:after="0"/>
              <w:rPr>
                <w:sz w:val="1"/>
                <w:szCs w:val="1"/>
                <w:color w:val="auto"/>
              </w:rPr>
            </w:pPr>
          </w:p>
        </w:tc>
      </w:tr>
      <w:tr>
        <w:trPr>
          <w:trHeight w:val="242"/>
        </w:trPr>
        <w:tc>
          <w:tcPr>
            <w:tcW w:w="40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8"/>
                <w:szCs w:val="18"/>
                <w:color w:val="auto"/>
              </w:rPr>
              <w:t>9 of 14</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Six Months Ended March 31, 2014</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tcPr>
          <w:p>
            <w:pPr>
              <w:spacing w:after="0"/>
              <w:rPr>
                <w:sz w:val="13"/>
                <w:szCs w:val="13"/>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Latin America</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178,827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30,214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209,041</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209,041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53,896</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109,223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14,072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123,295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123,295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94,359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131,114</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11,711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11,711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434,525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529,057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529,057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107,937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19,508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127,445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127,445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40,131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24,677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28,854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28,854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332,627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332,627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expenses (income):</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176,608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220,833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220,833</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35,777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35,777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15,005</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sale or disposal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7,394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7,381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9,607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Equity in net income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Impairment of investments</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84,839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14,289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90,264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(loss) from continuing operations before</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90,264</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(44,159)</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46,105</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3"/>
            <w:vMerge w:val="restart"/>
          </w:tcPr>
          <w:p>
            <w:pPr>
              <w:ind w:left="120"/>
              <w:spacing w:after="0"/>
              <w:rPr>
                <w:sz w:val="20"/>
                <w:szCs w:val="20"/>
                <w:color w:val="auto"/>
              </w:rPr>
            </w:pPr>
            <w:r>
              <w:rPr>
                <w:rFonts w:ascii="Arial" w:cs="Arial" w:eastAsia="Arial" w:hAnsi="Arial"/>
                <w:sz w:val="18"/>
                <w:szCs w:val="18"/>
                <w:color w:val="auto"/>
              </w:rPr>
              <w:t>10 of 14</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Six Months Ended March 31, 2013</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tcPr>
          <w:p>
            <w:pPr>
              <w:spacing w:after="0"/>
              <w:rPr>
                <w:sz w:val="13"/>
                <w:szCs w:val="13"/>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Latin America</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Segments Total</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166,113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28,573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194,686</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194,686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82,489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87,291</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112,697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14,718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127,415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127,415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123,885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123,885</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4,411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7,498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7,498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452,304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73,658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540,775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540,775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97,141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16,520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113,661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113,661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60,616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Consumer loan bad debt expense (benefit)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17,369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6,318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21,978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21,978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281,157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344,520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expenses (income):</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167,399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205,116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205,116</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22,274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22,274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13,631</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Interest expense (income), net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5,446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7,390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Equity in net income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105,213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16,551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9,762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131,526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40"/>
              <w:spacing w:after="0" w:line="189" w:lineRule="exact"/>
              <w:rPr>
                <w:sz w:val="20"/>
                <w:szCs w:val="20"/>
                <w:color w:val="auto"/>
              </w:rPr>
            </w:pPr>
            <w:r>
              <w:rPr>
                <w:rFonts w:ascii="Arial" w:cs="Arial" w:eastAsia="Arial" w:hAnsi="Arial"/>
                <w:sz w:val="18"/>
                <w:szCs w:val="18"/>
                <w:color w:val="auto"/>
              </w:rPr>
              <w:t>Income (loss) from continuing operations before</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131,526</w:t>
            </w:r>
          </w:p>
        </w:tc>
        <w:tc>
          <w:tcPr>
            <w:tcW w:w="100" w:type="dxa"/>
            <w:vAlign w:val="bottom"/>
          </w:tcPr>
          <w:p>
            <w:pPr>
              <w:spacing w:after="0"/>
              <w:rPr>
                <w:sz w:val="16"/>
                <w:szCs w:val="16"/>
                <w:color w:val="auto"/>
              </w:rPr>
            </w:pPr>
          </w:p>
        </w:tc>
        <w:tc>
          <w:tcPr>
            <w:tcW w:w="300" w:type="dxa"/>
            <w:vAlign w:val="bottom"/>
            <w:tcBorders>
              <w:top w:val="single" w:sz="8" w:color="auto"/>
            </w:tcBorders>
            <w:vMerge w:val="restart"/>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(28,230)</w:t>
            </w:r>
          </w:p>
        </w:tc>
        <w:tc>
          <w:tcPr>
            <w:tcW w:w="10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103,296</w:t>
            </w:r>
          </w:p>
        </w:tc>
        <w:tc>
          <w:tcPr>
            <w:tcW w:w="0" w:type="dxa"/>
            <w:vAlign w:val="bottom"/>
          </w:tcPr>
          <w:p>
            <w:pPr>
              <w:spacing w:after="0"/>
              <w:rPr>
                <w:sz w:val="1"/>
                <w:szCs w:val="1"/>
                <w:color w:val="auto"/>
              </w:rPr>
            </w:pPr>
          </w:p>
        </w:tc>
      </w:tr>
      <w:tr>
        <w:trPr>
          <w:trHeight w:val="242"/>
        </w:trPr>
        <w:tc>
          <w:tcPr>
            <w:tcW w:w="40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11 of 14</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Store Count Activity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5"/>
          </w:tcPr>
          <w:p>
            <w:pPr>
              <w:jc w:val="center"/>
              <w:ind w:left="1056"/>
              <w:spacing w:after="0"/>
              <w:rPr>
                <w:sz w:val="20"/>
                <w:szCs w:val="20"/>
                <w:color w:val="auto"/>
              </w:rPr>
            </w:pPr>
            <w:r>
              <w:rPr>
                <w:rFonts w:ascii="Arial" w:cs="Arial" w:eastAsia="Arial" w:hAnsi="Arial"/>
                <w:sz w:val="14"/>
                <w:szCs w:val="14"/>
                <w:b w:val="1"/>
                <w:bCs w:val="1"/>
                <w:color w:val="auto"/>
                <w:w w:val="95"/>
              </w:rPr>
              <w:t>Three Months Ended March 31, 2014</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5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vMerge w:val="restart"/>
          </w:tcPr>
          <w:p>
            <w:pPr>
              <w:spacing w:after="0"/>
              <w:rPr>
                <w:sz w:val="13"/>
                <w:szCs w:val="13"/>
                <w:color w:val="auto"/>
              </w:rPr>
            </w:pPr>
          </w:p>
        </w:tc>
        <w:tc>
          <w:tcPr>
            <w:tcW w:w="190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6"/>
              </w:rPr>
              <w:t>Other</w:t>
            </w:r>
          </w:p>
        </w:tc>
        <w:tc>
          <w:tcPr>
            <w:tcW w:w="11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vMerge w:val="restart"/>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9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Acquired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Sold, combined, or closed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5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5"/>
          </w:tcPr>
          <w:p>
            <w:pPr>
              <w:jc w:val="center"/>
              <w:ind w:left="1056"/>
              <w:spacing w:after="0"/>
              <w:rPr>
                <w:sz w:val="20"/>
                <w:szCs w:val="20"/>
                <w:color w:val="auto"/>
              </w:rPr>
            </w:pPr>
            <w:r>
              <w:rPr>
                <w:rFonts w:ascii="Arial" w:cs="Arial" w:eastAsia="Arial" w:hAnsi="Arial"/>
                <w:sz w:val="14"/>
                <w:szCs w:val="14"/>
                <w:b w:val="1"/>
                <w:bCs w:val="1"/>
                <w:color w:val="auto"/>
                <w:w w:val="95"/>
              </w:rPr>
              <w:t>Three Months Ended March 31, 2013</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5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vMerge w:val="restart"/>
          </w:tcPr>
          <w:p>
            <w:pPr>
              <w:spacing w:after="0"/>
              <w:rPr>
                <w:sz w:val="13"/>
                <w:szCs w:val="13"/>
                <w:color w:val="auto"/>
              </w:rPr>
            </w:pPr>
          </w:p>
        </w:tc>
        <w:tc>
          <w:tcPr>
            <w:tcW w:w="190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6"/>
              </w:rPr>
              <w:t>Other</w:t>
            </w:r>
          </w:p>
        </w:tc>
        <w:tc>
          <w:tcPr>
            <w:tcW w:w="11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vMerge w:val="restart"/>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19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Acquired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5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9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Stores in continuing operations:</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5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5"/>
          </w:tcPr>
          <w:p>
            <w:pPr>
              <w:jc w:val="center"/>
              <w:ind w:left="1076"/>
              <w:spacing w:after="0"/>
              <w:rPr>
                <w:sz w:val="20"/>
                <w:szCs w:val="20"/>
                <w:color w:val="auto"/>
              </w:rPr>
            </w:pPr>
            <w:r>
              <w:rPr>
                <w:rFonts w:ascii="Arial" w:cs="Arial" w:eastAsia="Arial" w:hAnsi="Arial"/>
                <w:sz w:val="14"/>
                <w:szCs w:val="14"/>
                <w:b w:val="1"/>
                <w:bCs w:val="1"/>
                <w:color w:val="auto"/>
                <w:w w:val="94"/>
              </w:rPr>
              <w:t>Six Months Ended March 31, 2014</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5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vMerge w:val="restart"/>
          </w:tcPr>
          <w:p>
            <w:pPr>
              <w:spacing w:after="0"/>
              <w:rPr>
                <w:sz w:val="13"/>
                <w:szCs w:val="13"/>
                <w:color w:val="auto"/>
              </w:rPr>
            </w:pPr>
          </w:p>
        </w:tc>
        <w:tc>
          <w:tcPr>
            <w:tcW w:w="190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6"/>
              </w:rPr>
              <w:t>Other</w:t>
            </w:r>
          </w:p>
        </w:tc>
        <w:tc>
          <w:tcPr>
            <w:tcW w:w="11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vMerge w:val="restart"/>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9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900" w:type="dxa"/>
            <w:vAlign w:val="bottom"/>
            <w:gridSpan w:val="3"/>
          </w:tcPr>
          <w:p>
            <w:pPr>
              <w:spacing w:after="0"/>
              <w:rPr>
                <w:sz w:val="2"/>
                <w:szCs w:val="2"/>
                <w:color w:val="auto"/>
              </w:rPr>
            </w:pPr>
          </w:p>
        </w:tc>
        <w:tc>
          <w:tcPr>
            <w:tcW w:w="126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Acquired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5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5"/>
          </w:tcPr>
          <w:p>
            <w:pPr>
              <w:jc w:val="center"/>
              <w:ind w:left="1076"/>
              <w:spacing w:after="0"/>
              <w:rPr>
                <w:sz w:val="20"/>
                <w:szCs w:val="20"/>
                <w:color w:val="auto"/>
              </w:rPr>
            </w:pPr>
            <w:r>
              <w:rPr>
                <w:rFonts w:ascii="Arial" w:cs="Arial" w:eastAsia="Arial" w:hAnsi="Arial"/>
                <w:sz w:val="14"/>
                <w:szCs w:val="14"/>
                <w:b w:val="1"/>
                <w:bCs w:val="1"/>
                <w:color w:val="auto"/>
                <w:w w:val="94"/>
              </w:rPr>
              <w:t>Six Months Ended March 31, 2013</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5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vMerge w:val="restart"/>
          </w:tcPr>
          <w:p>
            <w:pPr>
              <w:spacing w:after="0"/>
              <w:rPr>
                <w:sz w:val="13"/>
                <w:szCs w:val="13"/>
                <w:color w:val="auto"/>
              </w:rPr>
            </w:pPr>
          </w:p>
        </w:tc>
        <w:tc>
          <w:tcPr>
            <w:tcW w:w="190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6"/>
              </w:rPr>
              <w:t>Other</w:t>
            </w:r>
          </w:p>
        </w:tc>
        <w:tc>
          <w:tcPr>
            <w:tcW w:w="11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vMerge w:val="restart"/>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9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Acquired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9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1,058</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Stores in continuing operations:</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 of 14</w:t>
      </w:r>
    </w:p>
    <w:p>
      <w:pPr>
        <w:sectPr>
          <w:pgSz w:w="11900" w:h="16838" w:orient="portrait"/>
          <w:cols w:equalWidth="0" w:num="1">
            <w:col w:w="11420"/>
          </w:cols>
          <w:pgMar w:left="240" w:top="580"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9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following tables provide a reconciliation of the differences between the reported or projected non-GAAP financial measures for the periods indicated and the most comparable GAAP financial measures. The non-GAAP financial measures presented may not be directly comparable to similarly titled measures reported by other companies and their usefulness for such purposes are therefore limited. EZCORP management believes presentation of the non-GAAP financial measures enhances investors’ ability to analyze the Company’s operating results. However, non-GAAP financial measures are not an alternative to GAAP financial measures and should be read only in conjunction with financial measures presented on a GAAP basis.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7"/>
          </w:tcPr>
          <w:p>
            <w:pPr>
              <w:jc w:val="center"/>
              <w:ind w:right="128"/>
              <w:spacing w:after="0"/>
              <w:rPr>
                <w:sz w:val="20"/>
                <w:szCs w:val="20"/>
                <w:color w:val="auto"/>
              </w:rPr>
            </w:pPr>
            <w:r>
              <w:rPr>
                <w:rFonts w:ascii="Arial" w:cs="Arial" w:eastAsia="Arial" w:hAnsi="Arial"/>
                <w:sz w:val="14"/>
                <w:szCs w:val="14"/>
                <w:b w:val="1"/>
                <w:bCs w:val="1"/>
                <w:color w:val="auto"/>
                <w:w w:val="95"/>
              </w:rPr>
              <w:t>Three Months Ended March 31, 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7"/>
          </w:tcPr>
          <w:p>
            <w:pPr>
              <w:jc w:val="center"/>
              <w:ind w:right="108"/>
              <w:spacing w:after="0"/>
              <w:rPr>
                <w:sz w:val="20"/>
                <w:szCs w:val="20"/>
                <w:color w:val="auto"/>
              </w:rPr>
            </w:pPr>
            <w:r>
              <w:rPr>
                <w:rFonts w:ascii="Arial" w:cs="Arial" w:eastAsia="Arial" w:hAnsi="Arial"/>
                <w:sz w:val="14"/>
                <w:szCs w:val="14"/>
                <w:b w:val="1"/>
                <w:bCs w:val="1"/>
                <w:color w:val="auto"/>
                <w:w w:val="95"/>
              </w:rPr>
              <w:t>Three Months Ended March 31, 2013</w:t>
            </w: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Non-GAAP</w:t>
            </w:r>
          </w:p>
        </w:tc>
        <w:tc>
          <w:tcPr>
            <w:tcW w:w="16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Non-GAAP</w:t>
            </w:r>
          </w:p>
        </w:tc>
        <w:tc>
          <w:tcPr>
            <w:tcW w:w="220" w:type="dxa"/>
            <w:vAlign w:val="bottom"/>
          </w:tcPr>
          <w:p>
            <w:pPr>
              <w:spacing w:after="0"/>
              <w:rPr>
                <w:sz w:val="13"/>
                <w:szCs w:val="13"/>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Non-GAAP</w:t>
            </w:r>
          </w:p>
        </w:tc>
        <w:tc>
          <w:tcPr>
            <w:tcW w:w="160" w:type="dxa"/>
            <w:vAlign w:val="bottom"/>
          </w:tcPr>
          <w:p>
            <w:pPr>
              <w:spacing w:after="0"/>
              <w:rPr>
                <w:sz w:val="13"/>
                <w:szCs w:val="13"/>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Adjustment</w:t>
            </w: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Segment Contribution:</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U.S. &amp; Canada*</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40,229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40,972</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52,981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2,793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55,774</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Latin America</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6,299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6,823</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International**</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8,448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5,160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3,786</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Segment Contribution</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66,383</w:t>
            </w: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Administrative expense (income)***</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20,032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(7,951)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12,081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8,603</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Depreciation</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1,685</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Loss on sale or disposal of assets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expense</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17,142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30,453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52,763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54,182</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4,204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16,273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16,711</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net of tax</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11,728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20,835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37,471</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Loss from discontinued operations, net of tax</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(1,610)</w:t>
            </w:r>
          </w:p>
        </w:tc>
        <w:tc>
          <w:tcPr>
            <w:tcW w:w="0" w:type="dxa"/>
            <w:vAlign w:val="bottom"/>
          </w:tcPr>
          <w:p>
            <w:pPr>
              <w:spacing w:after="0"/>
              <w:rPr>
                <w:sz w:val="1"/>
                <w:szCs w:val="1"/>
                <w:color w:val="auto"/>
              </w:rPr>
            </w:pP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9,067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11,728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20,795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34,880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35,861</w:t>
            </w:r>
          </w:p>
        </w:tc>
        <w:tc>
          <w:tcPr>
            <w:tcW w:w="0" w:type="dxa"/>
            <w:vAlign w:val="bottom"/>
          </w:tcPr>
          <w:p>
            <w:pPr>
              <w:spacing w:after="0"/>
              <w:rPr>
                <w:sz w:val="1"/>
                <w:szCs w:val="1"/>
                <w:color w:val="auto"/>
              </w:rPr>
            </w:pP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w w:val="96"/>
              </w:rPr>
              <w:t>Net income from continuing operations attributable to redeemable</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40"/>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899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243"/>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EZCORP, Inc.</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11,728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19,720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33,981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34,722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 Diluted</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54,586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54,586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54,252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54,252</w:t>
            </w:r>
          </w:p>
        </w:tc>
        <w:tc>
          <w:tcPr>
            <w:tcW w:w="0" w:type="dxa"/>
            <w:vAlign w:val="bottom"/>
          </w:tcPr>
          <w:p>
            <w:pPr>
              <w:spacing w:after="0"/>
              <w:rPr>
                <w:sz w:val="1"/>
                <w:szCs w:val="1"/>
                <w:color w:val="auto"/>
              </w:rPr>
            </w:pPr>
          </w:p>
        </w:tc>
      </w:tr>
      <w:tr>
        <w:trPr>
          <w:trHeight w:val="258"/>
        </w:trPr>
        <w:tc>
          <w:tcPr>
            <w:tcW w:w="4000" w:type="dxa"/>
            <w:vAlign w:val="bottom"/>
          </w:tcPr>
          <w:p>
            <w:pPr>
              <w:ind w:left="40"/>
              <w:spacing w:after="0"/>
              <w:rPr>
                <w:sz w:val="20"/>
                <w:szCs w:val="20"/>
                <w:color w:val="auto"/>
              </w:rPr>
            </w:pPr>
            <w:r>
              <w:rPr>
                <w:rFonts w:ascii="Arial" w:cs="Arial" w:eastAsia="Arial" w:hAnsi="Arial"/>
                <w:sz w:val="14"/>
                <w:szCs w:val="14"/>
                <w:color w:val="auto"/>
              </w:rPr>
              <w:t>EPS - Diluted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0.63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3"/>
          <w:szCs w:val="13"/>
          <w:color w:val="auto"/>
        </w:rPr>
        <w:t>* The U.S. &amp; Canada non-GAAP adjustment is due to losses in our EZOnline business.</w:t>
      </w:r>
    </w:p>
    <w:p>
      <w:pPr>
        <w:spacing w:after="0" w:line="7" w:lineRule="exact"/>
        <w:rPr>
          <w:sz w:val="20"/>
          <w:szCs w:val="20"/>
          <w:color w:val="auto"/>
        </w:rPr>
      </w:pPr>
    </w:p>
    <w:p>
      <w:pPr>
        <w:ind w:right="340" w:firstLine="8"/>
        <w:spacing w:after="0" w:line="258" w:lineRule="auto"/>
        <w:tabs>
          <w:tab w:leader="none" w:pos="158"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Other International non-GAAP adjustment includes the Albemarle &amp; Bond impairment charge and its related foreign currency exchange loss, as well as results from our online business in the U.K during the three months ended March 31, 2014 and our equity in the net income of Albemarle &amp; Bond and results from our online business in the U.K. for the three months ended March 31, 2013</w:t>
      </w:r>
    </w:p>
    <w:p>
      <w:pPr>
        <w:ind w:left="220" w:hanging="212"/>
        <w:spacing w:after="0"/>
        <w:tabs>
          <w:tab w:leader="none" w:pos="2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Administrative expense (income) non-GAAP adjustment is due to the compensatory benefits charge recorded in the second quarter of fiscal 2014 related to Sterling B. Brinkley's retirement.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14</w:t>
      </w:r>
    </w:p>
    <w:p>
      <w:pPr>
        <w:sectPr>
          <w:pgSz w:w="11900" w:h="16838" w:orient="portrait"/>
          <w:cols w:equalWidth="0" w:num="1">
            <w:col w:w="11420"/>
          </w:cols>
          <w:pgMar w:left="240" w:top="58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7"/>
          </w:tcPr>
          <w:p>
            <w:pPr>
              <w:jc w:val="center"/>
              <w:ind w:right="148"/>
              <w:spacing w:after="0"/>
              <w:rPr>
                <w:sz w:val="20"/>
                <w:szCs w:val="20"/>
                <w:color w:val="auto"/>
              </w:rPr>
            </w:pPr>
            <w:r>
              <w:rPr>
                <w:rFonts w:ascii="Arial" w:cs="Arial" w:eastAsia="Arial" w:hAnsi="Arial"/>
                <w:sz w:val="14"/>
                <w:szCs w:val="14"/>
                <w:b w:val="1"/>
                <w:bCs w:val="1"/>
                <w:color w:val="auto"/>
                <w:w w:val="94"/>
              </w:rPr>
              <w:t>Six Months Ended March 31, 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7"/>
          </w:tcPr>
          <w:p>
            <w:pPr>
              <w:jc w:val="center"/>
              <w:ind w:right="128"/>
              <w:spacing w:after="0"/>
              <w:rPr>
                <w:sz w:val="20"/>
                <w:szCs w:val="20"/>
                <w:color w:val="auto"/>
              </w:rPr>
            </w:pPr>
            <w:r>
              <w:rPr>
                <w:rFonts w:ascii="Arial" w:cs="Arial" w:eastAsia="Arial" w:hAnsi="Arial"/>
                <w:sz w:val="14"/>
                <w:szCs w:val="14"/>
                <w:b w:val="1"/>
                <w:bCs w:val="1"/>
                <w:color w:val="auto"/>
                <w:w w:val="94"/>
              </w:rPr>
              <w:t>Six Months Ended March 31, 2013</w:t>
            </w: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Non-GAAP</w:t>
            </w:r>
          </w:p>
        </w:tc>
        <w:tc>
          <w:tcPr>
            <w:tcW w:w="16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Non-GAAP</w:t>
            </w:r>
          </w:p>
        </w:tc>
        <w:tc>
          <w:tcPr>
            <w:tcW w:w="220" w:type="dxa"/>
            <w:vAlign w:val="bottom"/>
          </w:tcPr>
          <w:p>
            <w:pPr>
              <w:spacing w:after="0"/>
              <w:rPr>
                <w:sz w:val="13"/>
                <w:szCs w:val="13"/>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Non-GAAP</w:t>
            </w:r>
          </w:p>
        </w:tc>
        <w:tc>
          <w:tcPr>
            <w:tcW w:w="160" w:type="dxa"/>
            <w:vAlign w:val="bottom"/>
          </w:tcPr>
          <w:p>
            <w:pPr>
              <w:spacing w:after="0"/>
              <w:rPr>
                <w:sz w:val="13"/>
                <w:szCs w:val="13"/>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Adjustment</w:t>
            </w: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Segment Contribution:</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U.S. &amp; Canada*</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84,839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3,521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88,360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105,213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3,189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108,402</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Latin America</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16,551</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International**</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11,372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9,762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7,511</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Segment Contribution</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90,264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14,893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105,157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131,526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132,464</w:t>
            </w: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Administrative expense (income)***</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35,777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(7,951)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22,274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22,274</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Depreciation</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3,326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3,378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3,378</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Loss on sale or disposal of assets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1,944</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expense</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46,105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22,844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68,949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103,296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104,234</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14,085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5,205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19,290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32,945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33,385</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net of tax</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17,639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70,351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70,849</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Income (loss) from discontinued operations, net of tax</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(3,316)</w:t>
            </w:r>
          </w:p>
        </w:tc>
        <w:tc>
          <w:tcPr>
            <w:tcW w:w="0" w:type="dxa"/>
            <w:vAlign w:val="bottom"/>
          </w:tcPr>
          <w:p>
            <w:pPr>
              <w:spacing w:after="0"/>
              <w:rPr>
                <w:sz w:val="1"/>
                <w:szCs w:val="1"/>
                <w:color w:val="auto"/>
              </w:rPr>
            </w:pP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33,462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17,639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51,101</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67,035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67,533</w:t>
            </w:r>
          </w:p>
        </w:tc>
        <w:tc>
          <w:tcPr>
            <w:tcW w:w="0" w:type="dxa"/>
            <w:vAlign w:val="bottom"/>
          </w:tcPr>
          <w:p>
            <w:pPr>
              <w:spacing w:after="0"/>
              <w:rPr>
                <w:sz w:val="1"/>
                <w:szCs w:val="1"/>
                <w:color w:val="auto"/>
              </w:rPr>
            </w:pP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rPr>
              <w:t>Net income (loss) from continuing operations attributable to</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40"/>
              <w:spacing w:after="0"/>
              <w:rPr>
                <w:sz w:val="20"/>
                <w:szCs w:val="20"/>
                <w:color w:val="auto"/>
              </w:rPr>
            </w:pPr>
            <w:r>
              <w:rPr>
                <w:rFonts w:ascii="Arial" w:cs="Arial" w:eastAsia="Arial" w:hAnsi="Arial"/>
                <w:sz w:val="14"/>
                <w:szCs w:val="14"/>
                <w:color w:val="auto"/>
              </w:rPr>
              <w:t>redeemable noncontrolling interest</w:t>
            </w:r>
          </w:p>
        </w:tc>
        <w:tc>
          <w:tcPr>
            <w:tcW w:w="2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2,901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2,337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2,223</w:t>
            </w:r>
          </w:p>
        </w:tc>
        <w:tc>
          <w:tcPr>
            <w:tcW w:w="0" w:type="dxa"/>
            <w:vAlign w:val="bottom"/>
          </w:tcPr>
          <w:p>
            <w:pPr>
              <w:spacing w:after="0"/>
              <w:rPr>
                <w:sz w:val="1"/>
                <w:szCs w:val="1"/>
                <w:color w:val="auto"/>
              </w:rPr>
            </w:pPr>
          </w:p>
        </w:tc>
      </w:tr>
      <w:tr>
        <w:trPr>
          <w:trHeight w:val="243"/>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EZCORP, Inc.</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30,561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17,639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64,698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65,310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 Diluted</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54,583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54,583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53,172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53,172</w:t>
            </w:r>
          </w:p>
        </w:tc>
        <w:tc>
          <w:tcPr>
            <w:tcW w:w="0" w:type="dxa"/>
            <w:vAlign w:val="bottom"/>
          </w:tcPr>
          <w:p>
            <w:pPr>
              <w:spacing w:after="0"/>
              <w:rPr>
                <w:sz w:val="1"/>
                <w:szCs w:val="1"/>
                <w:color w:val="auto"/>
              </w:rPr>
            </w:pPr>
          </w:p>
        </w:tc>
      </w:tr>
      <w:tr>
        <w:trPr>
          <w:trHeight w:val="258"/>
        </w:trPr>
        <w:tc>
          <w:tcPr>
            <w:tcW w:w="4000" w:type="dxa"/>
            <w:vAlign w:val="bottom"/>
          </w:tcPr>
          <w:p>
            <w:pPr>
              <w:ind w:left="40"/>
              <w:spacing w:after="0"/>
              <w:rPr>
                <w:sz w:val="20"/>
                <w:szCs w:val="20"/>
                <w:color w:val="auto"/>
              </w:rPr>
            </w:pPr>
            <w:r>
              <w:rPr>
                <w:rFonts w:ascii="Arial" w:cs="Arial" w:eastAsia="Arial" w:hAnsi="Arial"/>
                <w:sz w:val="14"/>
                <w:szCs w:val="14"/>
                <w:color w:val="auto"/>
              </w:rPr>
              <w:t>EPS - Diluted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0.56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0.88</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3"/>
          <w:szCs w:val="13"/>
          <w:color w:val="auto"/>
        </w:rPr>
        <w:t>* The U.S. &amp; Canada non-GAAP adjustment is due to losses in our EZOnline business for six months of operations in 2014 and four months of operations in 2013.</w:t>
      </w:r>
    </w:p>
    <w:p>
      <w:pPr>
        <w:spacing w:after="0" w:line="7" w:lineRule="exact"/>
        <w:rPr>
          <w:sz w:val="20"/>
          <w:szCs w:val="20"/>
          <w:color w:val="auto"/>
        </w:rPr>
      </w:pPr>
    </w:p>
    <w:p>
      <w:pPr>
        <w:ind w:right="20" w:firstLine="8"/>
        <w:spacing w:after="0" w:line="238" w:lineRule="auto"/>
        <w:tabs>
          <w:tab w:leader="none" w:pos="158"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Other International non-GAAP adjustment includes the Albemarle &amp; Bond impairment charge and its related foreign currency exchange loss, as well as results from our online business in the U.K. during the six months ended March 31, 2014 and our equity in the net income of Albemarle &amp; Bond and results from our online business in the U.K. for the six months ended March 31, 2013.</w:t>
      </w:r>
    </w:p>
    <w:p>
      <w:pPr>
        <w:ind w:left="220" w:hanging="212"/>
        <w:spacing w:after="0"/>
        <w:tabs>
          <w:tab w:leader="none" w:pos="2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Administrative expense (income) non-GAAP adjustment is due to the compensatory benefits charge recorded in the second quarter of fiscal 2014 related to Sterling B. Brinkley's retirement.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14</w:t>
      </w:r>
    </w:p>
    <w:sectPr>
      <w:pgSz w:w="11900" w:h="16838" w:orient="portrait"/>
      <w:cols w:equalWidth="0" w:num="1">
        <w:col w:w="11420"/>
      </w:cols>
      <w:pgMar w:left="240" w:top="8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2020-01-27T05:22:51Z</dcterms:created>
  <dcterms:modified xsi:type="dcterms:W3CDTF">2020-01-27T05:22:51Z</dcterms:modified>
</cp:coreProperties>
</file>