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4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Jackson Robert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1901 CAPITAL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&amp; CIO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2.9533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16.44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2.9533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10/01/2006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10/01/2014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2003 Plan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780" w:type="dxa"/>
            <w:vAlign w:val="bottom"/>
          </w:tcPr>
          <w:p>
            <w:pPr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3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total Non-Derivative Securities currently held by Reporting Person reflects the increase in the number of shares resulting from EZCORP's 3-for-1 stock split announed on November 9, 2006.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does not include 54,000 Derivative Securities currently held by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total Derivative Securities currently held by Reporting Person reflects the increase in the number of shares resulting from EZCORP's 3-for-1 stock split announed on November 9, 2006.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Laura Jones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01/31/2007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947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2020-02-03T19:58:41Z</dcterms:created>
  <dcterms:modified xsi:type="dcterms:W3CDTF">2020-02-03T19:58:41Z</dcterms:modified>
</cp:coreProperties>
</file>