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0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November 14, 2018 (November 14, 2018)</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1"/>
              </w:rPr>
              <w:t>Delaware</w:t>
            </w:r>
          </w:p>
        </w:tc>
        <w:tc>
          <w:tcPr>
            <w:tcW w:w="578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40" w:type="dxa"/>
            <w:vAlign w:val="bottom"/>
          </w:tcPr>
          <w:p>
            <w:pPr>
              <w:jc w:val="center"/>
              <w:ind w:left="24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of incorporation)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4"/>
              </w:rPr>
              <w:t>Identification No.)</w:t>
            </w:r>
          </w:p>
        </w:tc>
      </w:tr>
      <w:tr>
        <w:trPr>
          <w:trHeight w:val="212"/>
        </w:trPr>
        <w:tc>
          <w:tcPr>
            <w:tcW w:w="1860" w:type="dxa"/>
            <w:vAlign w:val="bottom"/>
          </w:tcPr>
          <w:p>
            <w:pPr>
              <w:spacing w:after="0"/>
              <w:rPr>
                <w:sz w:val="18"/>
                <w:szCs w:val="18"/>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40" w:type="dxa"/>
            <w:vAlign w:val="bottom"/>
          </w:tcPr>
          <w:p>
            <w:pPr>
              <w:spacing w:after="0"/>
              <w:rPr>
                <w:sz w:val="18"/>
                <w:szCs w:val="18"/>
                <w:color w:val="auto"/>
              </w:rPr>
            </w:pPr>
          </w:p>
        </w:tc>
      </w:tr>
      <w:tr>
        <w:trPr>
          <w:trHeight w:val="186"/>
        </w:trPr>
        <w:tc>
          <w:tcPr>
            <w:tcW w:w="1860" w:type="dxa"/>
            <w:vAlign w:val="bottom"/>
          </w:tcPr>
          <w:p>
            <w:pPr>
              <w:spacing w:after="0"/>
              <w:rPr>
                <w:sz w:val="16"/>
                <w:szCs w:val="16"/>
                <w:color w:val="auto"/>
              </w:rPr>
            </w:pPr>
          </w:p>
        </w:tc>
        <w:tc>
          <w:tcPr>
            <w:tcW w:w="578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40" w:type="dxa"/>
            <w:vAlign w:val="bottom"/>
          </w:tcPr>
          <w:p>
            <w:pPr>
              <w:spacing w:after="0"/>
              <w:rPr>
                <w:sz w:val="16"/>
                <w:szCs w:val="16"/>
                <w:color w:val="auto"/>
              </w:rPr>
            </w:pPr>
          </w:p>
        </w:tc>
      </w:tr>
      <w:tr>
        <w:trPr>
          <w:trHeight w:val="377"/>
        </w:trPr>
        <w:tc>
          <w:tcPr>
            <w:tcW w:w="1860" w:type="dxa"/>
            <w:vAlign w:val="bottom"/>
          </w:tcPr>
          <w:p>
            <w:pPr>
              <w:spacing w:after="0"/>
              <w:rPr>
                <w:sz w:val="24"/>
                <w:szCs w:val="24"/>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40" w:type="dxa"/>
            <w:vAlign w:val="bottom"/>
          </w:tcPr>
          <w:p>
            <w:pPr>
              <w:spacing w:after="0"/>
              <w:rPr>
                <w:sz w:val="24"/>
                <w:szCs w:val="24"/>
                <w:color w:val="auto"/>
              </w:rPr>
            </w:pPr>
          </w:p>
        </w:tc>
      </w:tr>
      <w:tr>
        <w:trPr>
          <w:trHeight w:val="284"/>
        </w:trPr>
        <w:tc>
          <w:tcPr>
            <w:tcW w:w="1860" w:type="dxa"/>
            <w:vAlign w:val="bottom"/>
          </w:tcPr>
          <w:p>
            <w:pPr>
              <w:spacing w:after="0"/>
              <w:rPr>
                <w:sz w:val="24"/>
                <w:szCs w:val="24"/>
                <w:color w:val="auto"/>
              </w:rPr>
            </w:pPr>
          </w:p>
        </w:tc>
        <w:tc>
          <w:tcPr>
            <w:tcW w:w="578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40" w:type="dxa"/>
            <w:vAlign w:val="bottom"/>
          </w:tcPr>
          <w:p>
            <w:pPr>
              <w:spacing w:after="0"/>
              <w:rPr>
                <w:sz w:val="24"/>
                <w:szCs w:val="24"/>
                <w:color w:val="auto"/>
              </w:rPr>
            </w:pPr>
          </w:p>
        </w:tc>
      </w:tr>
    </w:tbl>
    <w:p>
      <w:pPr>
        <w:spacing w:after="0" w:line="350"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620" w:hanging="585"/>
        <w:spacing w:after="0"/>
        <w:tabs>
          <w:tab w:leader="none" w:pos="620" w:val="left"/>
        </w:tabs>
        <w:numPr>
          <w:ilvl w:val="0"/>
          <w:numId w:val="1"/>
        </w:numPr>
        <w:rPr>
          <w:rFonts w:ascii="Arial" w:cs="Arial" w:eastAsia="Arial" w:hAnsi="Arial"/>
          <w:sz w:val="29"/>
          <w:szCs w:val="29"/>
          <w:color w:val="auto"/>
          <w:vertAlign w:val="subscript"/>
        </w:rPr>
      </w:pPr>
      <w:r>
        <w:rPr>
          <w:rFonts w:ascii="Arial" w:cs="Arial" w:eastAsia="Arial" w:hAnsi="Arial"/>
          <w:sz w:val="18"/>
          <w:szCs w:val="18"/>
          <w:color w:val="auto"/>
        </w:rPr>
        <w:t>Written communications pursuant to Rule 425 under the Securities Act (17 CFR 230.425)</w:t>
      </w:r>
    </w:p>
    <w:p>
      <w:pPr>
        <w:spacing w:after="0" w:line="161" w:lineRule="exact"/>
        <w:rPr>
          <w:rFonts w:ascii="Arial" w:cs="Arial" w:eastAsia="Arial" w:hAnsi="Arial"/>
          <w:sz w:val="29"/>
          <w:szCs w:val="29"/>
          <w:color w:val="auto"/>
          <w:vertAlign w:val="subscript"/>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6"/>
          <w:szCs w:val="16"/>
          <w:color w:val="auto"/>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6"/>
          <w:szCs w:val="16"/>
          <w:color w:val="auto"/>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8860"/>
        <w:spacing w:after="0"/>
        <w:rPr>
          <w:sz w:val="20"/>
          <w:szCs w:val="20"/>
          <w:color w:val="auto"/>
        </w:rPr>
      </w:pPr>
      <w:r>
        <w:rPr>
          <w:rFonts w:ascii="Arial" w:cs="Arial" w:eastAsia="Arial" w:hAnsi="Arial"/>
          <w:sz w:val="18"/>
          <w:szCs w:val="18"/>
          <w:color w:val="auto"/>
        </w:rPr>
        <w:t xml:space="preserve">Emerging growth company </w:t>
      </w:r>
      <w:r>
        <w:rPr>
          <w:rFonts w:ascii="Arial" w:cs="Arial" w:eastAsia="Arial" w:hAnsi="Arial"/>
          <w:sz w:val="16"/>
          <w:szCs w:val="16"/>
          <w:color w:val="auto"/>
        </w:rPr>
        <w:t>o</w:t>
      </w:r>
    </w:p>
    <w:p>
      <w:pPr>
        <w:spacing w:after="0" w:line="36"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400"/>
          </w:cols>
          <w:pgMar w:left="240" w:top="733"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7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On November 14, 2018, EZCORP, Inc. issued a press release announcing its results of operations and financial condition for the quarter and year ended September 30, 2018. A copy of that press release is attached as Exhibit 99.1.</w:t>
      </w:r>
    </w:p>
    <w:p>
      <w:pPr>
        <w:spacing w:after="0" w:line="1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addition to the financial information prepared in conformity with generally accepted accounting principles in the United States of America ("GAAP"), we provide certain other non-GAAP financial information on a constant currency basis ("constant currency") and on an adjusted basis. We use constant currency results to evaluate our Latin America Pawn operations, which are denominated primarily in Mexican pesos and other Latin American currencies. As Camira Administration Corp. and subsidiaries ("GPMX") was not acquired until fiscal 2018, such results included on a constant currency basis reflect the actual exchange rates in effect during fiscal 2018 without adjustment. We believe that presentation of constant currency results is meaningful and useful in understanding the activities and business metrics of our Latin America Pawn operations and reflect an additional way of viewing aspects of our business that, when viewed with GAAP results, provide a more complete understanding of factors and trends affecting our business. We believe that presentation of results on an adjusted basis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A copy of the presentation materials that management will review during the Company’s fiscal 2018 earnings conference call (to be held on November 15, 2018) will be posted in the Investor Relations section of the Company’s website at </w:t>
      </w:r>
      <w:r>
        <w:rPr>
          <w:rFonts w:ascii="Arial" w:cs="Arial" w:eastAsia="Arial" w:hAnsi="Arial"/>
          <w:sz w:val="18"/>
          <w:szCs w:val="18"/>
          <w:u w:val="single" w:color="auto"/>
          <w:color w:val="0000FF"/>
        </w:rPr>
        <w:t>www.ezcorp.com</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37" w:lineRule="exact"/>
        <w:rPr>
          <w:sz w:val="20"/>
          <w:szCs w:val="20"/>
          <w:color w:val="auto"/>
        </w:rPr>
      </w:pPr>
    </w:p>
    <w:p>
      <w:pPr>
        <w:ind w:left="880" w:hanging="521"/>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98" w:lineRule="exact"/>
        <w:rPr>
          <w:sz w:val="20"/>
          <w:szCs w:val="20"/>
          <w:color w:val="auto"/>
        </w:rPr>
      </w:pPr>
    </w:p>
    <w:p>
      <w:pPr>
        <w:ind w:left="1120" w:right="560" w:hanging="562"/>
        <w:spacing w:after="0" w:line="277" w:lineRule="auto"/>
        <w:tabs>
          <w:tab w:leader="none" w:pos="1100" w:val="left"/>
        </w:tabs>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w:anchor="page3">
        <w:r>
          <w:rPr>
            <w:rFonts w:ascii="Arial" w:cs="Arial" w:eastAsia="Arial" w:hAnsi="Arial"/>
            <w:sz w:val="18"/>
            <w:szCs w:val="18"/>
            <w:u w:val="single" w:color="auto"/>
            <w:color w:val="0000FF"/>
          </w:rPr>
          <w:t>Press Release, dated November 14, 2018, announcing EZCORP, Inc.’s results of operations and financial condition for the quarter and</w:t>
        </w:r>
      </w:hyperlink>
      <w:r>
        <w:rPr>
          <w:rFonts w:ascii="Arial" w:cs="Arial" w:eastAsia="Arial" w:hAnsi="Arial"/>
          <w:sz w:val="18"/>
          <w:szCs w:val="18"/>
          <w:u w:val="single" w:color="auto"/>
          <w:color w:val="0000FF"/>
        </w:rPr>
        <w:t xml:space="preserve"> </w:t>
      </w:r>
      <w:hyperlink w:anchor="page3">
        <w:r>
          <w:rPr>
            <w:rFonts w:ascii="Arial" w:cs="Arial" w:eastAsia="Arial" w:hAnsi="Arial"/>
            <w:sz w:val="18"/>
            <w:szCs w:val="18"/>
            <w:u w:val="single" w:color="auto"/>
            <w:color w:val="0000FF"/>
          </w:rPr>
          <w:t>year ended September 30, 2018.</w:t>
        </w:r>
      </w:hyperlink>
    </w:p>
    <w:p>
      <w:pPr>
        <w:spacing w:after="0" w:line="139" w:lineRule="exact"/>
        <w:rPr>
          <w:rFonts w:ascii="Arial" w:cs="Arial" w:eastAsia="Arial" w:hAnsi="Arial"/>
          <w:sz w:val="18"/>
          <w:szCs w:val="18"/>
          <w:u w:val="single" w:color="auto"/>
          <w:color w:val="0000FF"/>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rFonts w:ascii="Arial" w:cs="Arial" w:eastAsia="Arial" w:hAnsi="Arial"/>
          <w:sz w:val="18"/>
          <w:szCs w:val="18"/>
          <w:u w:val="single" w:color="auto"/>
          <w:color w:val="0000FF"/>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rFonts w:ascii="Arial" w:cs="Arial" w:eastAsia="Arial" w:hAnsi="Arial"/>
          <w:sz w:val="18"/>
          <w:szCs w:val="18"/>
          <w:u w:val="single" w:color="auto"/>
          <w:color w:val="0000FF"/>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rFonts w:ascii="Arial" w:cs="Arial" w:eastAsia="Arial" w:hAnsi="Arial"/>
          <w:sz w:val="18"/>
          <w:szCs w:val="18"/>
          <w:u w:val="single" w:color="auto"/>
          <w:color w:val="0000FF"/>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November 14,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McGuire</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rFonts w:ascii="Arial" w:cs="Arial" w:eastAsia="Arial" w:hAnsi="Arial"/>
          <w:sz w:val="18"/>
          <w:szCs w:val="18"/>
          <w:u w:val="single" w:color="auto"/>
          <w:color w:val="0000FF"/>
        </w:rPr>
      </w:pPr>
    </w:p>
    <w:p>
      <w:pPr>
        <w:ind w:left="6980"/>
        <w:spacing w:after="0"/>
        <w:rPr>
          <w:sz w:val="20"/>
          <w:szCs w:val="20"/>
          <w:color w:val="auto"/>
        </w:rPr>
      </w:pPr>
      <w:r>
        <w:rPr>
          <w:rFonts w:ascii="Arial" w:cs="Arial" w:eastAsia="Arial" w:hAnsi="Arial"/>
          <w:sz w:val="18"/>
          <w:szCs w:val="18"/>
          <w:color w:val="auto"/>
        </w:rPr>
        <w:t>David McGuire</w:t>
      </w:r>
    </w:p>
    <w:p>
      <w:pPr>
        <w:spacing w:after="0" w:line="63" w:lineRule="exact"/>
        <w:rPr>
          <w:rFonts w:ascii="Arial" w:cs="Arial" w:eastAsia="Arial" w:hAnsi="Arial"/>
          <w:sz w:val="18"/>
          <w:szCs w:val="18"/>
          <w:u w:val="single" w:color="auto"/>
          <w:color w:val="0000FF"/>
        </w:rPr>
      </w:pPr>
    </w:p>
    <w:p>
      <w:pPr>
        <w:ind w:left="6980"/>
        <w:spacing w:after="0"/>
        <w:rPr>
          <w:sz w:val="20"/>
          <w:szCs w:val="20"/>
          <w:color w:val="auto"/>
        </w:rPr>
      </w:pPr>
      <w:r>
        <w:rPr>
          <w:rFonts w:ascii="Arial" w:cs="Arial" w:eastAsia="Arial" w:hAnsi="Arial"/>
          <w:sz w:val="18"/>
          <w:szCs w:val="18"/>
          <w:color w:val="auto"/>
        </w:rPr>
        <w:t>Deputy Chief Financial Officer and Chief Accounting</w:t>
      </w:r>
    </w:p>
    <w:p>
      <w:pPr>
        <w:spacing w:after="0" w:line="23" w:lineRule="exact"/>
        <w:rPr>
          <w:rFonts w:ascii="Arial" w:cs="Arial" w:eastAsia="Arial" w:hAnsi="Arial"/>
          <w:sz w:val="18"/>
          <w:szCs w:val="18"/>
          <w:u w:val="single" w:color="auto"/>
          <w:color w:val="0000FF"/>
        </w:rPr>
      </w:pPr>
    </w:p>
    <w:p>
      <w:pPr>
        <w:ind w:left="69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340"/>
          </w:cols>
          <w:pgMar w:left="240" w:top="742" w:right="319" w:bottom="1440" w:gutter="0" w:footer="0" w:header="0"/>
        </w:sectPr>
      </w:pPr>
    </w:p>
    <w:bookmarkStart w:id="2" w:name="page3"/>
    <w:bookmarkEnd w:id="2"/>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2781935</wp:posOffset>
            </wp:positionH>
            <wp:positionV relativeFrom="page">
              <wp:posOffset>380365</wp:posOffset>
            </wp:positionV>
            <wp:extent cx="2006600" cy="351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4"/>
          <w:szCs w:val="24"/>
          <w:b w:val="1"/>
          <w:bCs w:val="1"/>
          <w:color w:val="auto"/>
        </w:rPr>
        <w:t>EZCORP Reports Fourth Quarter and Fiscal Year 2018 Results</w:t>
      </w:r>
    </w:p>
    <w:p>
      <w:pPr>
        <w:spacing w:after="0" w:line="355"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Austin, Texas (November 14, 2018) — </w:t>
      </w:r>
      <w:r>
        <w:rPr>
          <w:rFonts w:ascii="Arial" w:cs="Arial" w:eastAsia="Arial" w:hAnsi="Arial"/>
          <w:sz w:val="18"/>
          <w:szCs w:val="18"/>
          <w:color w:val="auto"/>
        </w:rPr>
        <w:t>EZCORP, Inc. (NASDAQ: EZPW) today announced results for its fourth quarter and fiscal year ended September</w:t>
      </w:r>
      <w:r>
        <w:rPr>
          <w:rFonts w:ascii="Arial" w:cs="Arial" w:eastAsia="Arial" w:hAnsi="Arial"/>
          <w:sz w:val="18"/>
          <w:szCs w:val="18"/>
          <w:b w:val="1"/>
          <w:bCs w:val="1"/>
          <w:color w:val="auto"/>
        </w:rPr>
        <w:t xml:space="preserve"> </w:t>
      </w:r>
      <w:r>
        <w:rPr>
          <w:rFonts w:ascii="Arial" w:cs="Arial" w:eastAsia="Arial" w:hAnsi="Arial"/>
          <w:sz w:val="18"/>
          <w:szCs w:val="18"/>
          <w:color w:val="auto"/>
        </w:rPr>
        <w:t>30, 2018.</w:t>
      </w:r>
    </w:p>
    <w:p>
      <w:pPr>
        <w:spacing w:after="0" w:line="116"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i w:val="1"/>
          <w:iCs w:val="1"/>
          <w:color w:val="auto"/>
        </w:rPr>
        <w:t>All amounts in this release are from continuing operations and conform with U.S. generally accepted accounting principles (GAAP) unless otherwise noted. Comparisons are made to the same period in the prior year unless otherwise noted.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175" w:lineRule="exact"/>
        <w:rPr>
          <w:sz w:val="20"/>
          <w:szCs w:val="20"/>
          <w:color w:val="auto"/>
        </w:rPr>
      </w:pPr>
    </w:p>
    <w:p>
      <w:pPr>
        <w:ind w:left="660" w:right="280" w:hanging="328"/>
        <w:spacing w:after="0" w:line="226"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Profit before tax was $3.7 million in the quarter and $57.1 million for the year. Adjusted profit before tax</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increased 38% to $16.2 million in the quarter and increased 33% to $64.4 million in the year. The adjusted profit before tax improvement in both periods reflects successful pawn store acquisitions and strong organic growth in Latin America.</w:t>
      </w:r>
    </w:p>
    <w:p>
      <w:pPr>
        <w:spacing w:after="0" w:line="149"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Pawn fundamentals remain strong:</w:t>
      </w:r>
    </w:p>
    <w:p>
      <w:pPr>
        <w:spacing w:after="0" w:line="171" w:lineRule="exact"/>
        <w:rPr>
          <w:rFonts w:ascii="Arial" w:cs="Arial" w:eastAsia="Arial" w:hAnsi="Arial"/>
          <w:sz w:val="18"/>
          <w:szCs w:val="18"/>
          <w:color w:val="auto"/>
        </w:rPr>
      </w:pPr>
    </w:p>
    <w:p>
      <w:pPr>
        <w:ind w:left="1300" w:hanging="320"/>
        <w:spacing w:after="0" w:line="264"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Pawn loans outstanding (PLO) expanded 17% to $198.5 million, and pawn service charges (PSC) rose 16% in the quarter driven by the contribution of acquired stores in Latin America and same store growth in both the U.S. and Latin America. For the full year, PSC increased 12%.</w:t>
      </w:r>
    </w:p>
    <w:p>
      <w:pPr>
        <w:spacing w:after="0" w:line="127" w:lineRule="exact"/>
        <w:rPr>
          <w:rFonts w:ascii="Arial" w:cs="Arial" w:eastAsia="Arial" w:hAnsi="Arial"/>
          <w:sz w:val="18"/>
          <w:szCs w:val="18"/>
          <w:color w:val="auto"/>
        </w:rPr>
      </w:pPr>
    </w:p>
    <w:p>
      <w:pPr>
        <w:ind w:left="1300" w:right="300" w:hanging="320"/>
        <w:spacing w:after="0" w:line="326" w:lineRule="auto"/>
        <w:tabs>
          <w:tab w:leader="none" w:pos="1300" w:val="left"/>
        </w:tabs>
        <w:numPr>
          <w:ilvl w:val="1"/>
          <w:numId w:val="3"/>
        </w:numPr>
        <w:rPr>
          <w:rFonts w:ascii="Arial" w:cs="Arial" w:eastAsia="Arial" w:hAnsi="Arial"/>
          <w:sz w:val="16"/>
          <w:szCs w:val="16"/>
          <w:color w:val="auto"/>
        </w:rPr>
      </w:pPr>
      <w:r>
        <w:rPr>
          <w:rFonts w:ascii="Arial" w:cs="Arial" w:eastAsia="Arial" w:hAnsi="Arial"/>
          <w:sz w:val="16"/>
          <w:szCs w:val="16"/>
          <w:color w:val="auto"/>
        </w:rPr>
        <w:t>Latin America Pawn's quarterly segment contribution expanded 63% to $9.4 million (69% higher to $9.8 million on a constant currency basis</w:t>
      </w:r>
      <w:r>
        <w:rPr>
          <w:rFonts w:ascii="Arial" w:cs="Arial" w:eastAsia="Arial" w:hAnsi="Arial"/>
          <w:sz w:val="22"/>
          <w:szCs w:val="22"/>
          <w:color w:val="auto"/>
          <w:vertAlign w:val="superscript"/>
        </w:rPr>
        <w:t>2</w:t>
      </w:r>
      <w:r>
        <w:rPr>
          <w:rFonts w:ascii="Arial" w:cs="Arial" w:eastAsia="Arial" w:hAnsi="Arial"/>
          <w:sz w:val="16"/>
          <w:szCs w:val="16"/>
          <w:color w:val="auto"/>
        </w:rPr>
        <w:t>). For the year, segment contribution grew 84% to $34.3 million (up 83% to $34.2 million on a constant currency basis).</w:t>
      </w:r>
    </w:p>
    <w:p>
      <w:pPr>
        <w:ind w:left="1300" w:right="40" w:hanging="320"/>
        <w:spacing w:after="0" w:line="264"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U.S. Pawn's quarterly segment contribution grew 13% on industry-high same store PLO growth of 5%, monthly PLO yield improvement of 54 basis points (bps) to 14%, and a 240bps expansion of merchandise sales margin to 39%. The segment posted industry leading PLO per store at $305,000, the highest year-end balance in seven years.</w:t>
      </w:r>
    </w:p>
    <w:p>
      <w:pPr>
        <w:spacing w:after="0" w:line="127"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color w:val="auto"/>
        </w:rPr>
        <w:t>Latin America Pawn store count increased 84% in the year. This segment now comprises 47% of the company's total consolidated pawn stores, up from 32% a year ago. It produced 25% of consolidated pawn contribution in fiscal 2018, up from 15%.</w:t>
      </w:r>
    </w:p>
    <w:p>
      <w:pPr>
        <w:spacing w:after="0" w:line="116" w:lineRule="exact"/>
        <w:rPr>
          <w:rFonts w:ascii="Arial" w:cs="Arial" w:eastAsia="Arial" w:hAnsi="Arial"/>
          <w:sz w:val="18"/>
          <w:szCs w:val="18"/>
          <w:b w:val="1"/>
          <w:bCs w:val="1"/>
          <w:i w:val="1"/>
          <w:iCs w:val="1"/>
          <w:color w:val="auto"/>
        </w:rPr>
      </w:pPr>
    </w:p>
    <w:p>
      <w:pPr>
        <w:ind w:left="660" w:right="1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and cash equivalents rose 74% to $286.0 million, enhancing the company's ability to capitalize on attractive acquisition opportunities. The improved liquidity was driven by $167.0 million of net proceeds from a convertible debt issuance combined with strong cash flow from operations and $38.0 million of collections under two notes receivable.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COMMENTARY AND OUTLOOK</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Chief Executive Officer Stuart Grimshaw commented, "It was pleasing to see our fourth quarter earnings momentum accelerating, underlining the important progress we have made this year in customer service excellence. The biggest contributor to the company's outstanding performance was our terrific execution in Latin America, through both acquisitions and organic growth. Profit improvement was exceptional and our pawn store count in Latin America jumped 84%, growing by 207 stores. Those acquired stores have exceeded our expectations, providing strategic bases for further penetration and expansion in existing and neighboring geographies.</w:t>
      </w:r>
    </w:p>
    <w:p>
      <w:pPr>
        <w:spacing w:after="0" w:line="13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 the U.S. Pawn segment, our disciplined lending and relentless focus on servicing and satisfying our customers' needs for cash delivered industry leading same store PLO growth, PLO yield, and per store averages of both PLO and PSC. We effectively managed our inventory again this quarter in relation to the PLO growth, while maintaining industry leading merchandise sales margins. These results reflect a well-balanced execution in excelling in customer service that underpins the growth of the business.</w:t>
      </w:r>
    </w:p>
    <w:p>
      <w:pPr>
        <w:spacing w:after="0" w:line="13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“We’ll begin fiscal 2019 with strong momentum as a result of the improved activity coming out of this year’s fourth quarter and will continue to leverage opportunities that will further our successful growth strategy. By maintaining our intense focus on</w:t>
      </w:r>
    </w:p>
    <w:p>
      <w:pPr>
        <w:sectPr>
          <w:pgSz w:w="11900" w:h="16838" w:orient="portrait"/>
          <w:cols w:equalWidth="0" w:num="1">
            <w:col w:w="11400"/>
          </w:cols>
          <w:pgMar w:left="240" w:top="1440" w:right="259" w:bottom="1440" w:gutter="0" w:footer="0" w:header="0"/>
        </w:sectPr>
      </w:pPr>
    </w:p>
    <w:bookmarkStart w:id="3" w:name="page4"/>
    <w:bookmarkEnd w:id="3"/>
    <w:p>
      <w:pPr>
        <w:ind w:right="80"/>
        <w:spacing w:after="0" w:line="276" w:lineRule="auto"/>
        <w:rPr>
          <w:sz w:val="20"/>
          <w:szCs w:val="20"/>
          <w:color w:val="auto"/>
        </w:rPr>
      </w:pPr>
      <w:r>
        <w:rPr>
          <w:rFonts w:ascii="Arial" w:cs="Arial" w:eastAsia="Arial" w:hAnsi="Arial"/>
          <w:sz w:val="17"/>
          <w:szCs w:val="17"/>
          <w:color w:val="auto"/>
        </w:rPr>
        <w:t>outstanding customer service and meeting customers' desire for cash, this will underpin our industry leading store operating performance for the future. We will invest in the core pawn businesses, and open and acquire more pawn stores, particularly in Latin America, to further expand our geographically diversified earnings platform, where the right opportunities present themselves. We will continue to support our customers where they have a strong need for cash and there are many more locations where we believe we can be relevant to them. We maintain a discipline in assessment of opportunities that when coupled with our proven customer service focus, will drive long-term shareholder value."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175" w:lineRule="exact"/>
        <w:rPr>
          <w:sz w:val="20"/>
          <w:szCs w:val="20"/>
          <w:color w:val="auto"/>
        </w:rPr>
      </w:pPr>
    </w:p>
    <w:p>
      <w:pPr>
        <w:jc w:val="both"/>
        <w:ind w:left="660" w:right="38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Profit before tax was $3.7 million in the quarter and $57.1 million for the year. Adjusted profit before tax increased 38% to $16.2 million in the quarter. For the year, adjusted profit before tax increased 33% to $64.4 million. Successful pawn store acquisitions and strong organic growth in Latin America drove the improvements in both the quarter and the full fiscal year.</w:t>
      </w:r>
    </w:p>
    <w:p>
      <w:pPr>
        <w:spacing w:after="0" w:line="127" w:lineRule="exact"/>
        <w:rPr>
          <w:rFonts w:ascii="Arial" w:cs="Arial" w:eastAsia="Arial" w:hAnsi="Arial"/>
          <w:sz w:val="18"/>
          <w:szCs w:val="18"/>
          <w:color w:val="auto"/>
        </w:rPr>
      </w:pPr>
    </w:p>
    <w:p>
      <w:pPr>
        <w:ind w:left="660" w:right="20" w:hanging="328"/>
        <w:spacing w:after="0" w:line="279"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10% increase in average PLO during the year led to a 12% improvement in annual PSC and 11% higher net revenues to $482.9 million (up 11% to $482.9 million on a constant currency basis). PLO ended the year 17% above the balance at the end of fiscal 2017. Consolidated merchandise sales gross profit for the year grew 9% to $161.8 million on a 6% rise in merchandise sales, while merchandise sales margin increased 120bps to 37%. On a constant currency basis, PSC expanded 12% and merchandise sales gross profit grew 9%.</w:t>
      </w:r>
    </w:p>
    <w:p>
      <w:pPr>
        <w:spacing w:after="0" w:line="117" w:lineRule="exact"/>
        <w:rPr>
          <w:rFonts w:ascii="Arial" w:cs="Arial" w:eastAsia="Arial" w:hAnsi="Arial"/>
          <w:sz w:val="17"/>
          <w:szCs w:val="17"/>
          <w:color w:val="auto"/>
        </w:rPr>
      </w:pPr>
    </w:p>
    <w:p>
      <w:pPr>
        <w:ind w:left="660" w:right="18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Operations expenses rose 10% to $334.6 million for the year (the same on a constant currency basis) due primarily to acquired stores. As a percentage of net revenues, operations expenses improved to 69% for the year from 70% in fiscal 2017, and to 69% in the quarter from 72% in the prior-year quarter.</w:t>
      </w:r>
    </w:p>
    <w:p>
      <w:pPr>
        <w:spacing w:after="0" w:line="127" w:lineRule="exact"/>
        <w:rPr>
          <w:rFonts w:ascii="Arial" w:cs="Arial" w:eastAsia="Arial" w:hAnsi="Arial"/>
          <w:sz w:val="18"/>
          <w:szCs w:val="18"/>
          <w:color w:val="auto"/>
        </w:rPr>
      </w:pPr>
    </w:p>
    <w:p>
      <w:pPr>
        <w:ind w:left="660" w:right="10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Included in the quarter was an $11.7 million ($9.2 million net of tax) non-cash impairment of our investment in Cash Converters International Limited, an unconsolidated affiliate. This revalued our investments made in prior years to the value of the Cash Converters' stock at fiscal year-end, equaling the price at which Cash Converters raised additional equity in June 2018.</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and cash equivalents at the end of the year improved 74% to $286.0 million. During the year, the company completed a $172.5 million offering of convertible senior notes due 2025, yielding net proceeds of $167.0 million, and collected $38.0 million in principal and interest, as scheduled, on the notes receivable related to the 2016 sale of Grupo Finmart.</w:t>
      </w:r>
    </w:p>
    <w:p>
      <w:pPr>
        <w:spacing w:after="0" w:line="127" w:lineRule="exact"/>
        <w:rPr>
          <w:rFonts w:ascii="Arial" w:cs="Arial" w:eastAsia="Arial" w:hAnsi="Arial"/>
          <w:sz w:val="18"/>
          <w:szCs w:val="18"/>
          <w:color w:val="auto"/>
        </w:rPr>
      </w:pPr>
    </w:p>
    <w:p>
      <w:pPr>
        <w:ind w:left="660" w:right="60" w:hanging="328"/>
        <w:spacing w:after="0" w:line="30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Basic EPS grew 18% to $0.73 and diluted EPS rose 11% to $0.69 for the year. On an adjusted basis, basic EPS was $0.84 (up 31%) and diluted EPS was $0.79 (up 23%). The fully diluted shares calculation includes the hypothetical conversion of our convertible notes to the extent the company's average share price in the period exceeded the conversion price of the notes. However, the 2019 convertible notes must be settled in cash and the company may choose to satisfy all or some of its 2024 and 2025 convertible notes with cash rather than shares to minimize actual share dilution.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U.S. Pawn</w:t>
      </w:r>
    </w:p>
    <w:p>
      <w:pPr>
        <w:spacing w:after="0" w:line="171" w:lineRule="exact"/>
        <w:rPr>
          <w:sz w:val="20"/>
          <w:szCs w:val="20"/>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U.S. Pawn segment reported a 5% increase in same store PLO, with improved monthly yield, indicating the quality of loan growth. The segment delivered industry leading PLO per store at $305,000. This was driven by disciplined lending practices and our focus on meeting customers' need for cash. In stores unaffected by hurricanes in the prior year, same store PLO increased 2%.</w:t>
      </w:r>
    </w:p>
    <w:p>
      <w:pPr>
        <w:spacing w:after="0" w:line="127"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Merchandise sales gross profit increased 9% in the quarter to $31.1 million and 5% for the year to $134.3 million. Merchandise margins increased 240bps to an industry high 39% in the quarter, and were 38% for the full year.</w:t>
      </w:r>
    </w:p>
    <w:p>
      <w:pPr>
        <w:spacing w:after="0" w:line="116" w:lineRule="exact"/>
        <w:rPr>
          <w:rFonts w:ascii="Arial" w:cs="Arial" w:eastAsia="Arial" w:hAnsi="Arial"/>
          <w:sz w:val="18"/>
          <w:szCs w:val="18"/>
          <w:color w:val="auto"/>
        </w:rPr>
      </w:pPr>
    </w:p>
    <w:p>
      <w:pPr>
        <w:ind w:left="660" w:right="140" w:hanging="328"/>
        <w:spacing w:after="0" w:line="28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Net revenues improved 5% and profit rose 13% in the quarter. For the year, net revenues were up 1% and profit remained relatively flat. This reflected the PSC impact of last year's hurricanes on PLO, as well as higher expenses. Expenses reflect a higher number of team members per store and other investments implemented in our third quarter to improve customer experience and drive future profit growth.</w:t>
      </w:r>
    </w:p>
    <w:p>
      <w:pPr>
        <w:sectPr>
          <w:pgSz w:w="11900" w:h="16838" w:orient="portrait"/>
          <w:cols w:equalWidth="0" w:num="1">
            <w:col w:w="11400"/>
          </w:cols>
          <w:pgMar w:left="240" w:top="746"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Latin America Pawn</w:t>
      </w:r>
    </w:p>
    <w:p>
      <w:pPr>
        <w:spacing w:after="0" w:line="171" w:lineRule="exact"/>
        <w:rPr>
          <w:sz w:val="20"/>
          <w:szCs w:val="20"/>
          <w:color w:val="auto"/>
        </w:rPr>
      </w:pPr>
    </w:p>
    <w:p>
      <w:pPr>
        <w:ind w:left="660" w:right="1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Latin America Pawn continued to deliver outstanding growth. Its contribution increased 63% in the quarter to $9.4 million (up 69% to $9.8 million on a constant currency basis) and rose 84% for the year to $34.3 million (up 83% to $34.2 million on a constant currency basis).</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Pawn store count expanded 84% in fiscal 2018, with 196 stores acquired and 12 stores opened.</w:t>
      </w:r>
    </w:p>
    <w:p>
      <w:pPr>
        <w:spacing w:after="0" w:line="171"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acquired stores offer significant opportunity for higher revenue and profit by increasing focus on general merchandise pawn loan and retail activities, and implementing EZCORP's systems and operating practices. The company continues to see a robust pipeline of acquisition opportunities in Latin America.</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a percentage of net revenues, segment operating expenses improved 200bps in both the quarter and the full year, at 62% and 63%, respectively.</w:t>
      </w:r>
    </w:p>
    <w:p>
      <w:pPr>
        <w:spacing w:after="0" w:line="194"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PLO rose 106% to $43.5 million (up 110% to $44.3 million on a constant currency basis). Industry leading same store PLO increased 4% (7% higher on a constant currency basis).</w:t>
      </w:r>
    </w:p>
    <w:p>
      <w:pPr>
        <w:spacing w:after="0" w:line="116" w:lineRule="exact"/>
        <w:rPr>
          <w:rFonts w:ascii="Arial" w:cs="Arial" w:eastAsia="Arial" w:hAnsi="Arial"/>
          <w:sz w:val="18"/>
          <w:szCs w:val="18"/>
          <w:color w:val="auto"/>
        </w:rPr>
      </w:pPr>
    </w:p>
    <w:p>
      <w:pPr>
        <w:ind w:left="660" w:right="38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revenues expanded 74% to $26.8 million in the quarter (up 82% to $28.0 million on a constant currency basis). PSC jumped 90% to $19.3 million (increasing 99% to $20.1 million on a constant currency basis), reflecting the significantly higher PLO from acquired stores and organic growth at same stores. For the full year, net revenues increased 74%.</w:t>
      </w:r>
    </w:p>
    <w:p>
      <w:pPr>
        <w:spacing w:after="0" w:line="127"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Merchandise sales improved 50% in total and 4% on a same store basis in the quarter (up 57% in total and 4% in same stores on a constant currency basis). Combined with a 90bps improvement in merchandise sales margins, this drove a 54% increase in merchandise sales gross profit (63% on a constant currency basis). For the year, merchandise sales increased 39% and 7% on a same store basis (39% and 6%, respectively, on a constant currency basis).</w:t>
      </w:r>
    </w:p>
    <w:p>
      <w:pPr>
        <w:sectPr>
          <w:pgSz w:w="11900" w:h="16838" w:orient="portrait"/>
          <w:cols w:equalWidth="0" w:num="1">
            <w:col w:w="11400"/>
          </w:cols>
          <w:pgMar w:left="240" w:top="746"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CONFERENCE CALL</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EZCORP will host a conference call on Thursday, November 15, 2018, at 7:30 a.m. Central Time to discuss fourth quarter and fiscal year-end results. Analysts and institutional investors may participate by dialing (877) 201-0168, Conference ID: 1292208, international dialing (647) 788-4901. The call will be webcast simultaneously to the public through this link: </w:t>
      </w:r>
      <w:r>
        <w:rPr>
          <w:rFonts w:ascii="Arial" w:cs="Arial" w:eastAsia="Arial" w:hAnsi="Arial"/>
          <w:sz w:val="18"/>
          <w:szCs w:val="18"/>
          <w:u w:val="single" w:color="auto"/>
          <w:color w:val="0000FF"/>
        </w:rPr>
        <w:t>http://investors.ezcorp.com/</w:t>
      </w:r>
      <w:r>
        <w:rPr>
          <w:rFonts w:ascii="Arial" w:cs="Arial" w:eastAsia="Arial" w:hAnsi="Arial"/>
          <w:sz w:val="18"/>
          <w:szCs w:val="18"/>
          <w:color w:val="auto"/>
        </w:rPr>
        <w:t xml:space="preserve">. A replay will be available online at </w:t>
      </w:r>
      <w:r>
        <w:rPr>
          <w:rFonts w:ascii="Arial" w:cs="Arial" w:eastAsia="Arial" w:hAnsi="Arial"/>
          <w:sz w:val="18"/>
          <w:szCs w:val="18"/>
          <w:u w:val="single" w:color="auto"/>
          <w:color w:val="0000FF"/>
        </w:rPr>
        <w:t>http://investors.ezcorp.com/</w:t>
      </w:r>
      <w:r>
        <w:rPr>
          <w:rFonts w:ascii="Arial" w:cs="Arial" w:eastAsia="Arial" w:hAnsi="Arial"/>
          <w:sz w:val="18"/>
          <w:szCs w:val="18"/>
          <w:color w:val="auto"/>
        </w:rPr>
        <w:t xml:space="preserve"> shortly after the call.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17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Formed in 1989, EZCORP has grown into a leading provider of pawn loans in the United States and Latin America. It also sells merchandise, primarily collateral forfeited from pawn lending operations and used merchandise purchased from customers. We are dedicated to satisfying the short-term cash needs of consumers who are both cash and credit constrained, focusing on an industry-leading customer experience. EZCORP is traded on NASDAQ under the symbol EZPW and is a member of the Russell 2000 Index, S&amp;P SmallCap 600 Index, S&amp;P 1000 Index and Nasdaq Composite Index.</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news release contains forward-looking statements on the company’s strategy, initiatives and expected performance. These statements are based on management’s current expectations on the outcome and timing of future events. All statements other than historical facts-including those on the company's strategy, initiatives and future performance, which address activities or results that the company plans, expects, believes, projects, estimates or anticipates, will, should or may occur in the future, including future financial or operating results-are forward-looking statements. Actual results for future periods may differ materially from those expressed or implied here, due to a number of uncertainties and other factors. These include operating risks, liquidity risks, legislative or regulatory developments, market factors, or current or future litigation. For a discussion of these and other factors affecting the company’s business and prospects, see EZCORP’s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Jeff Christensen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jeff_christensen@ezcorp.com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(512) 437-3545</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All industry comparisons are based on available information from similar publicly traded companies.</w:t>
      </w:r>
    </w:p>
    <w:p>
      <w:pPr>
        <w:spacing w:after="0" w:line="13" w:lineRule="exact"/>
        <w:rPr>
          <w:sz w:val="20"/>
          <w:szCs w:val="20"/>
          <w:color w:val="auto"/>
        </w:rPr>
      </w:pPr>
    </w:p>
    <w:p>
      <w:pPr>
        <w:ind w:right="200"/>
        <w:spacing w:after="0" w:line="213" w:lineRule="auto"/>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6"/>
          <w:szCs w:val="16"/>
          <w:i w:val="1"/>
          <w:iCs w:val="1"/>
          <w:color w:val="auto"/>
        </w:rPr>
        <w:t>Adjusted basis, which is a non-GAAP measure, excludes certain items. For additional information about these calculations, as well as a reconciliation to the comparable GAAP financial measures, see “Non-GAAP Financial Information” at the end of this release.</w:t>
      </w:r>
    </w:p>
    <w:p>
      <w:pPr>
        <w:spacing w:after="0" w:line="1" w:lineRule="exact"/>
        <w:rPr>
          <w:sz w:val="20"/>
          <w:szCs w:val="20"/>
          <w:color w:val="auto"/>
        </w:rPr>
      </w:pPr>
    </w:p>
    <w:p>
      <w:pPr>
        <w:ind w:right="360"/>
        <w:spacing w:after="0" w:line="230" w:lineRule="auto"/>
        <w:rPr>
          <w:sz w:val="20"/>
          <w:szCs w:val="20"/>
          <w:color w:val="auto"/>
        </w:rPr>
      </w:pPr>
      <w:r>
        <w:rPr>
          <w:rFonts w:ascii="Arial" w:cs="Arial" w:eastAsia="Arial" w:hAnsi="Arial"/>
          <w:sz w:val="20"/>
          <w:szCs w:val="20"/>
          <w:i w:val="1"/>
          <w:iCs w:val="1"/>
          <w:color w:val="auto"/>
          <w:vertAlign w:val="superscript"/>
        </w:rPr>
        <w:t>2</w:t>
      </w:r>
      <w:r>
        <w:rPr>
          <w:rFonts w:ascii="Arial" w:cs="Arial" w:eastAsia="Arial" w:hAnsi="Arial"/>
          <w:sz w:val="15"/>
          <w:szCs w:val="15"/>
          <w:i w:val="1"/>
          <w:iCs w:val="1"/>
          <w:color w:val="auto"/>
        </w:rPr>
        <w:t>“Constant currency” basis, which is a non-GAAP measure, excludes the impact of foreign currency exchange rate fluctuations. For additional information about these calculations, as well as a reconciliation to the comparable GAAP financial measures, see “Non-GAAP Financial Information” at the end of this release.</w:t>
      </w:r>
    </w:p>
    <w:p>
      <w:pPr>
        <w:sectPr>
          <w:pgSz w:w="11900" w:h="16838" w:orient="portrait"/>
          <w:cols w:equalWidth="0" w:num="1">
            <w:col w:w="11260"/>
          </w:cols>
          <w:pgMar w:left="240" w:top="742" w:right="39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4"/>
              </w:rPr>
              <w:t>Three Months Ended September 30,</w:t>
            </w:r>
          </w:p>
        </w:tc>
        <w:tc>
          <w:tcPr>
            <w:tcW w:w="200" w:type="dxa"/>
            <w:vAlign w:val="bottom"/>
          </w:tcPr>
          <w:p>
            <w:pPr>
              <w:spacing w:after="0"/>
              <w:rPr>
                <w:sz w:val="16"/>
                <w:szCs w:val="16"/>
                <w:color w:val="auto"/>
              </w:rPr>
            </w:pPr>
          </w:p>
        </w:tc>
        <w:tc>
          <w:tcPr>
            <w:tcW w:w="2400" w:type="dxa"/>
            <w:vAlign w:val="bottom"/>
            <w:gridSpan w:val="4"/>
          </w:tcPr>
          <w:p>
            <w:pPr>
              <w:jc w:val="right"/>
              <w:ind w:right="179"/>
              <w:spacing w:after="0"/>
              <w:rPr>
                <w:sz w:val="20"/>
                <w:szCs w:val="20"/>
                <w:color w:val="auto"/>
              </w:rPr>
            </w:pPr>
            <w:r>
              <w:rPr>
                <w:rFonts w:ascii="Arial" w:cs="Arial" w:eastAsia="Arial" w:hAnsi="Arial"/>
                <w:sz w:val="14"/>
                <w:szCs w:val="14"/>
                <w:b w:val="1"/>
                <w:bCs w:val="1"/>
                <w:color w:val="auto"/>
                <w:w w:val="96"/>
              </w:rPr>
              <w:t>Fiscal Year Ended September 30,</w:t>
            </w:r>
          </w:p>
        </w:tc>
      </w:tr>
      <w:tr>
        <w:trPr>
          <w:trHeight w:val="264"/>
        </w:trPr>
        <w:tc>
          <w:tcPr>
            <w:tcW w:w="558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r>
      <w:tr>
        <w:trPr>
          <w:trHeight w:val="379"/>
        </w:trPr>
        <w:tc>
          <w:tcPr>
            <w:tcW w:w="5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7"/>
              </w:rPr>
              <w:t>(Unaudited)</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gridSpan w:val="5"/>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49"/>
        </w:trPr>
        <w:tc>
          <w:tcPr>
            <w:tcW w:w="5580" w:type="dxa"/>
            <w:vAlign w:val="bottom"/>
          </w:tcPr>
          <w:p>
            <w:pPr>
              <w:spacing w:after="0"/>
              <w:rPr>
                <w:sz w:val="20"/>
                <w:szCs w:val="20"/>
                <w:color w:val="auto"/>
              </w:rPr>
            </w:pPr>
            <w:r>
              <w:rPr>
                <w:rFonts w:ascii="Arial" w:cs="Arial" w:eastAsia="Arial" w:hAnsi="Arial"/>
                <w:sz w:val="16"/>
                <w:szCs w:val="16"/>
                <w:color w:val="auto"/>
              </w:rPr>
              <w:t>Revenues: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0"/>
        </w:trPr>
        <w:tc>
          <w:tcPr>
            <w:tcW w:w="5580" w:type="dxa"/>
            <w:vAlign w:val="bottom"/>
          </w:tcPr>
          <w:p>
            <w:pPr>
              <w:ind w:left="240"/>
              <w:spacing w:after="0"/>
              <w:rPr>
                <w:sz w:val="20"/>
                <w:szCs w:val="20"/>
                <w:color w:val="auto"/>
              </w:rPr>
            </w:pPr>
            <w:r>
              <w:rPr>
                <w:rFonts w:ascii="Arial" w:cs="Arial" w:eastAsia="Arial" w:hAnsi="Arial"/>
                <w:sz w:val="16"/>
                <w:szCs w:val="16"/>
                <w:color w:val="auto"/>
              </w:rPr>
              <w:t>Merchandise sales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105,102</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95,166</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438,372</w:t>
            </w:r>
          </w:p>
        </w:tc>
        <w:tc>
          <w:tcPr>
            <w:tcW w:w="12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414,838</w:t>
            </w:r>
          </w:p>
        </w:tc>
      </w:tr>
      <w:tr>
        <w:trPr>
          <w:trHeight w:val="270"/>
        </w:trPr>
        <w:tc>
          <w:tcPr>
            <w:tcW w:w="5580" w:type="dxa"/>
            <w:vAlign w:val="bottom"/>
          </w:tcPr>
          <w:p>
            <w:pPr>
              <w:ind w:left="240"/>
              <w:spacing w:after="0"/>
              <w:rPr>
                <w:sz w:val="20"/>
                <w:szCs w:val="20"/>
                <w:color w:val="auto"/>
              </w:rPr>
            </w:pPr>
            <w:r>
              <w:rPr>
                <w:rFonts w:ascii="Arial" w:cs="Arial" w:eastAsia="Arial" w:hAnsi="Arial"/>
                <w:sz w:val="16"/>
                <w:szCs w:val="16"/>
                <w:color w:val="auto"/>
              </w:rPr>
              <w:t>Jewelry scrapping sales</w:t>
            </w:r>
          </w:p>
        </w:tc>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16,586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13,531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60,752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51,189</w:t>
            </w:r>
          </w:p>
        </w:tc>
      </w:tr>
      <w:tr>
        <w:trPr>
          <w:trHeight w:val="270"/>
        </w:trPr>
        <w:tc>
          <w:tcPr>
            <w:tcW w:w="5580" w:type="dxa"/>
            <w:vAlign w:val="bottom"/>
          </w:tcPr>
          <w:p>
            <w:pPr>
              <w:ind w:left="240"/>
              <w:spacing w:after="0"/>
              <w:rPr>
                <w:sz w:val="20"/>
                <w:szCs w:val="20"/>
                <w:color w:val="auto"/>
              </w:rPr>
            </w:pPr>
            <w:r>
              <w:rPr>
                <w:rFonts w:ascii="Arial" w:cs="Arial" w:eastAsia="Arial" w:hAnsi="Arial"/>
                <w:sz w:val="16"/>
                <w:szCs w:val="16"/>
                <w:color w:val="auto"/>
              </w:rPr>
              <w:t>Pawn service charges</w:t>
            </w:r>
          </w:p>
        </w:tc>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82,335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71,097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305,936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273,080</w:t>
            </w:r>
          </w:p>
        </w:tc>
      </w:tr>
      <w:tr>
        <w:trPr>
          <w:trHeight w:val="270"/>
        </w:trPr>
        <w:tc>
          <w:tcPr>
            <w:tcW w:w="5580" w:type="dxa"/>
            <w:vAlign w:val="bottom"/>
          </w:tcPr>
          <w:p>
            <w:pPr>
              <w:ind w:left="240"/>
              <w:spacing w:after="0"/>
              <w:rPr>
                <w:sz w:val="20"/>
                <w:szCs w:val="20"/>
                <w:color w:val="auto"/>
              </w:rPr>
            </w:pPr>
            <w:r>
              <w:rPr>
                <w:rFonts w:ascii="Arial" w:cs="Arial" w:eastAsia="Arial" w:hAnsi="Arial"/>
                <w:sz w:val="16"/>
                <w:szCs w:val="16"/>
                <w:color w:val="auto"/>
              </w:rPr>
              <w:t>Other revenues</w:t>
            </w:r>
          </w:p>
        </w:tc>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2,308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2,275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8,455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8,847</w:t>
            </w:r>
          </w:p>
        </w:tc>
      </w:tr>
      <w:tr>
        <w:trPr>
          <w:trHeight w:val="33"/>
        </w:trPr>
        <w:tc>
          <w:tcPr>
            <w:tcW w:w="5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5580" w:type="dxa"/>
            <w:vAlign w:val="bottom"/>
          </w:tcPr>
          <w:p>
            <w:pPr>
              <w:ind w:left="460"/>
              <w:spacing w:after="0"/>
              <w:rPr>
                <w:sz w:val="20"/>
                <w:szCs w:val="20"/>
                <w:color w:val="auto"/>
              </w:rPr>
            </w:pPr>
            <w:r>
              <w:rPr>
                <w:rFonts w:ascii="Arial" w:cs="Arial" w:eastAsia="Arial" w:hAnsi="Arial"/>
                <w:sz w:val="16"/>
                <w:szCs w:val="16"/>
                <w:color w:val="auto"/>
              </w:rPr>
              <w:t>Total revenues</w:t>
            </w:r>
          </w:p>
        </w:tc>
        <w:tc>
          <w:tcPr>
            <w:tcW w:w="280" w:type="dxa"/>
            <w:vAlign w:val="bottom"/>
          </w:tcPr>
          <w:p>
            <w:pPr>
              <w:spacing w:after="0"/>
              <w:rPr>
                <w:sz w:val="18"/>
                <w:szCs w:val="18"/>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206,331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182,069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813,515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747,954</w:t>
            </w: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Merchandise cost of goods sold</w:t>
            </w:r>
          </w:p>
        </w:tc>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66,335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61,685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276,618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266,525</w:t>
            </w: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Jewelry scrapping cost of goods sold</w:t>
            </w:r>
          </w:p>
        </w:tc>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14,754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11,736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52,290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43,931</w:t>
            </w: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Other cost of revenues</w:t>
            </w:r>
          </w:p>
        </w:tc>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424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1,697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1,988</w:t>
            </w:r>
          </w:p>
        </w:tc>
      </w:tr>
      <w:tr>
        <w:trPr>
          <w:trHeight w:val="33"/>
        </w:trPr>
        <w:tc>
          <w:tcPr>
            <w:tcW w:w="5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5580" w:type="dxa"/>
            <w:vAlign w:val="bottom"/>
          </w:tcPr>
          <w:p>
            <w:pPr>
              <w:ind w:left="460"/>
              <w:spacing w:after="0"/>
              <w:rPr>
                <w:sz w:val="20"/>
                <w:szCs w:val="20"/>
                <w:color w:val="auto"/>
              </w:rPr>
            </w:pPr>
            <w:r>
              <w:rPr>
                <w:rFonts w:ascii="Arial" w:cs="Arial" w:eastAsia="Arial" w:hAnsi="Arial"/>
                <w:sz w:val="16"/>
                <w:szCs w:val="16"/>
                <w:color w:val="auto"/>
              </w:rPr>
              <w:t>Net revenues</w:t>
            </w:r>
          </w:p>
        </w:tc>
        <w:tc>
          <w:tcPr>
            <w:tcW w:w="280" w:type="dxa"/>
            <w:vAlign w:val="bottom"/>
          </w:tcPr>
          <w:p>
            <w:pPr>
              <w:spacing w:after="0"/>
              <w:rPr>
                <w:sz w:val="18"/>
                <w:szCs w:val="18"/>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124,818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108,093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482,910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435,510</w:t>
            </w: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Operating expenses:</w:t>
            </w: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5580" w:type="dxa"/>
            <w:vAlign w:val="bottom"/>
          </w:tcPr>
          <w:p>
            <w:pPr>
              <w:ind w:left="240"/>
              <w:spacing w:after="0"/>
              <w:rPr>
                <w:sz w:val="20"/>
                <w:szCs w:val="20"/>
                <w:color w:val="auto"/>
              </w:rPr>
            </w:pPr>
            <w:r>
              <w:rPr>
                <w:rFonts w:ascii="Arial" w:cs="Arial" w:eastAsia="Arial" w:hAnsi="Arial"/>
                <w:sz w:val="16"/>
                <w:szCs w:val="16"/>
                <w:color w:val="auto"/>
              </w:rPr>
              <w:t>Operations</w:t>
            </w:r>
          </w:p>
        </w:tc>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85,847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78,284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334,649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304,636</w:t>
            </w:r>
          </w:p>
        </w:tc>
      </w:tr>
      <w:tr>
        <w:trPr>
          <w:trHeight w:val="270"/>
        </w:trPr>
        <w:tc>
          <w:tcPr>
            <w:tcW w:w="5580" w:type="dxa"/>
            <w:vAlign w:val="bottom"/>
          </w:tcPr>
          <w:p>
            <w:pPr>
              <w:ind w:left="240"/>
              <w:spacing w:after="0"/>
              <w:rPr>
                <w:sz w:val="20"/>
                <w:szCs w:val="20"/>
                <w:color w:val="auto"/>
              </w:rPr>
            </w:pPr>
            <w:r>
              <w:rPr>
                <w:rFonts w:ascii="Arial" w:cs="Arial" w:eastAsia="Arial" w:hAnsi="Arial"/>
                <w:sz w:val="16"/>
                <w:szCs w:val="16"/>
                <w:color w:val="auto"/>
              </w:rPr>
              <w:t>Administrative</w:t>
            </w:r>
          </w:p>
        </w:tc>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13,726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11,949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53,653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53,254</w:t>
            </w:r>
          </w:p>
        </w:tc>
      </w:tr>
      <w:tr>
        <w:trPr>
          <w:trHeight w:val="270"/>
        </w:trPr>
        <w:tc>
          <w:tcPr>
            <w:tcW w:w="558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7,186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5,415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25,484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23,661</w:t>
            </w:r>
          </w:p>
        </w:tc>
      </w:tr>
      <w:tr>
        <w:trPr>
          <w:trHeight w:val="270"/>
        </w:trPr>
        <w:tc>
          <w:tcPr>
            <w:tcW w:w="5580" w:type="dxa"/>
            <w:vAlign w:val="bottom"/>
          </w:tcPr>
          <w:p>
            <w:pPr>
              <w:ind w:left="240"/>
              <w:spacing w:after="0"/>
              <w:rPr>
                <w:sz w:val="20"/>
                <w:szCs w:val="20"/>
                <w:color w:val="auto"/>
              </w:rPr>
            </w:pPr>
            <w:r>
              <w:rPr>
                <w:rFonts w:ascii="Arial" w:cs="Arial" w:eastAsia="Arial" w:hAnsi="Arial"/>
                <w:sz w:val="16"/>
                <w:szCs w:val="16"/>
                <w:color w:val="auto"/>
              </w:rPr>
              <w:t>Loss on sale or disposal of assets</w:t>
            </w:r>
          </w:p>
        </w:tc>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463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359</w:t>
            </w:r>
          </w:p>
        </w:tc>
      </w:tr>
      <w:tr>
        <w:trPr>
          <w:trHeight w:val="33"/>
        </w:trPr>
        <w:tc>
          <w:tcPr>
            <w:tcW w:w="5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5580" w:type="dxa"/>
            <w:vAlign w:val="bottom"/>
          </w:tcPr>
          <w:p>
            <w:pPr>
              <w:ind w:left="460"/>
              <w:spacing w:after="0"/>
              <w:rPr>
                <w:sz w:val="20"/>
                <w:szCs w:val="20"/>
                <w:color w:val="auto"/>
              </w:rPr>
            </w:pPr>
            <w:r>
              <w:rPr>
                <w:rFonts w:ascii="Arial" w:cs="Arial" w:eastAsia="Arial" w:hAnsi="Arial"/>
                <w:sz w:val="16"/>
                <w:szCs w:val="16"/>
                <w:color w:val="auto"/>
              </w:rPr>
              <w:t>Total operating expenses</w:t>
            </w:r>
          </w:p>
        </w:tc>
        <w:tc>
          <w:tcPr>
            <w:tcW w:w="280" w:type="dxa"/>
            <w:vAlign w:val="bottom"/>
          </w:tcPr>
          <w:p>
            <w:pPr>
              <w:spacing w:after="0"/>
              <w:rPr>
                <w:sz w:val="18"/>
                <w:szCs w:val="18"/>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106,769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95,996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414,249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381,910</w:t>
            </w:r>
          </w:p>
        </w:tc>
      </w:tr>
      <w:tr>
        <w:trPr>
          <w:trHeight w:val="33"/>
        </w:trPr>
        <w:tc>
          <w:tcPr>
            <w:tcW w:w="5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5580" w:type="dxa"/>
            <w:vAlign w:val="bottom"/>
          </w:tcPr>
          <w:p>
            <w:pPr>
              <w:ind w:left="680"/>
              <w:spacing w:after="0"/>
              <w:rPr>
                <w:sz w:val="20"/>
                <w:szCs w:val="20"/>
                <w:color w:val="auto"/>
              </w:rPr>
            </w:pPr>
            <w:r>
              <w:rPr>
                <w:rFonts w:ascii="Arial" w:cs="Arial" w:eastAsia="Arial" w:hAnsi="Arial"/>
                <w:sz w:val="16"/>
                <w:szCs w:val="16"/>
                <w:color w:val="auto"/>
              </w:rPr>
              <w:t>Operating income</w:t>
            </w:r>
          </w:p>
        </w:tc>
        <w:tc>
          <w:tcPr>
            <w:tcW w:w="280" w:type="dxa"/>
            <w:vAlign w:val="bottom"/>
          </w:tcPr>
          <w:p>
            <w:pPr>
              <w:spacing w:after="0"/>
              <w:rPr>
                <w:sz w:val="18"/>
                <w:szCs w:val="18"/>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18,049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12,097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68,661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53,600</w:t>
            </w: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8,764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10,956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27,834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27,803</w:t>
            </w: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Interest income</w:t>
            </w: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(4,145)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(5,194)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(17,041)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(12,103)</w:t>
            </w: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Equity in net income of unconsolidated affiliate</w:t>
            </w: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(2,052)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(1,148)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(5,529)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(4,916)</w:t>
            </w: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Impairment of investment</w:t>
            </w:r>
          </w:p>
        </w:tc>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11,712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11,712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Other expense (income)</w:t>
            </w:r>
          </w:p>
        </w:tc>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(5,391)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(423)</w:t>
            </w:r>
          </w:p>
        </w:tc>
      </w:tr>
      <w:tr>
        <w:trPr>
          <w:trHeight w:val="33"/>
        </w:trPr>
        <w:tc>
          <w:tcPr>
            <w:tcW w:w="5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5580" w:type="dxa"/>
            <w:vAlign w:val="bottom"/>
          </w:tcPr>
          <w:p>
            <w:pPr>
              <w:spacing w:after="0"/>
              <w:rPr>
                <w:sz w:val="20"/>
                <w:szCs w:val="20"/>
                <w:color w:val="auto"/>
              </w:rPr>
            </w:pPr>
            <w:r>
              <w:rPr>
                <w:rFonts w:ascii="Arial" w:cs="Arial" w:eastAsia="Arial" w:hAnsi="Arial"/>
                <w:sz w:val="16"/>
                <w:szCs w:val="16"/>
                <w:color w:val="auto"/>
              </w:rPr>
              <w:t>Income from continuing operations before income taxes</w:t>
            </w:r>
          </w:p>
        </w:tc>
        <w:tc>
          <w:tcPr>
            <w:tcW w:w="280" w:type="dxa"/>
            <w:vAlign w:val="bottom"/>
          </w:tcPr>
          <w:p>
            <w:pPr>
              <w:spacing w:after="0"/>
              <w:rPr>
                <w:sz w:val="18"/>
                <w:szCs w:val="18"/>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3,688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7,612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57,076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43,239</w:t>
            </w: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3,238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(2,457)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18,149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11,206</w:t>
            </w:r>
          </w:p>
        </w:tc>
      </w:tr>
      <w:tr>
        <w:trPr>
          <w:trHeight w:val="33"/>
        </w:trPr>
        <w:tc>
          <w:tcPr>
            <w:tcW w:w="5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5580" w:type="dxa"/>
            <w:vAlign w:val="bottom"/>
          </w:tcPr>
          <w:p>
            <w:pPr>
              <w:spacing w:after="0"/>
              <w:rPr>
                <w:sz w:val="20"/>
                <w:szCs w:val="20"/>
                <w:color w:val="auto"/>
              </w:rPr>
            </w:pPr>
            <w:r>
              <w:rPr>
                <w:rFonts w:ascii="Arial" w:cs="Arial" w:eastAsia="Arial" w:hAnsi="Arial"/>
                <w:sz w:val="16"/>
                <w:szCs w:val="16"/>
                <w:color w:val="auto"/>
              </w:rPr>
              <w:t>Income from continuing operations, net of tax</w:t>
            </w:r>
          </w:p>
        </w:tc>
        <w:tc>
          <w:tcPr>
            <w:tcW w:w="280" w:type="dxa"/>
            <w:vAlign w:val="bottom"/>
          </w:tcPr>
          <w:p>
            <w:pPr>
              <w:spacing w:after="0"/>
              <w:rPr>
                <w:sz w:val="18"/>
                <w:szCs w:val="18"/>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10,069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38,927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32,033</w:t>
            </w: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(Loss) income from discontinued operations, net of tax</w:t>
            </w: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(1,825)</w:t>
            </w:r>
          </w:p>
        </w:tc>
      </w:tr>
      <w:tr>
        <w:trPr>
          <w:trHeight w:val="33"/>
        </w:trPr>
        <w:tc>
          <w:tcPr>
            <w:tcW w:w="5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5580" w:type="dxa"/>
            <w:vAlign w:val="bottom"/>
          </w:tcPr>
          <w:p>
            <w:pPr>
              <w:spacing w:after="0"/>
              <w:rPr>
                <w:sz w:val="20"/>
                <w:szCs w:val="20"/>
                <w:color w:val="auto"/>
              </w:rPr>
            </w:pPr>
            <w:r>
              <w:rPr>
                <w:rFonts w:ascii="Arial" w:cs="Arial" w:eastAsia="Arial" w:hAnsi="Arial"/>
                <w:sz w:val="16"/>
                <w:szCs w:val="16"/>
                <w:color w:val="auto"/>
              </w:rPr>
              <w:t>Net income</w:t>
            </w:r>
          </w:p>
        </w:tc>
        <w:tc>
          <w:tcPr>
            <w:tcW w:w="280" w:type="dxa"/>
            <w:vAlign w:val="bottom"/>
          </w:tcPr>
          <w:p>
            <w:pPr>
              <w:spacing w:after="0"/>
              <w:rPr>
                <w:sz w:val="18"/>
                <w:szCs w:val="18"/>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10,112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38,071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30,208</w:t>
            </w: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Net income (loss) attributable to noncontrolling interest</w:t>
            </w:r>
          </w:p>
        </w:tc>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(1,298)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(988)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(1,650)</w:t>
            </w:r>
          </w:p>
        </w:tc>
      </w:tr>
      <w:tr>
        <w:trPr>
          <w:trHeight w:val="33"/>
        </w:trPr>
        <w:tc>
          <w:tcPr>
            <w:tcW w:w="5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580" w:type="dxa"/>
            <w:vAlign w:val="bottom"/>
          </w:tcPr>
          <w:p>
            <w:pPr>
              <w:spacing w:after="0"/>
              <w:rPr>
                <w:sz w:val="20"/>
                <w:szCs w:val="20"/>
                <w:color w:val="auto"/>
              </w:rPr>
            </w:pPr>
            <w:r>
              <w:rPr>
                <w:rFonts w:ascii="Arial" w:cs="Arial" w:eastAsia="Arial" w:hAnsi="Arial"/>
                <w:sz w:val="16"/>
                <w:szCs w:val="16"/>
                <w:color w:val="auto"/>
              </w:rPr>
              <w:t>Net (loss) income attributable to EZCORP, Inc.</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11,410</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39,059</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31,858</w:t>
            </w:r>
          </w:p>
        </w:tc>
      </w:tr>
      <w:tr>
        <w:trPr>
          <w:trHeight w:val="20"/>
        </w:trPr>
        <w:tc>
          <w:tcPr>
            <w:tcW w:w="5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94"/>
        </w:trPr>
        <w:tc>
          <w:tcPr>
            <w:tcW w:w="5580" w:type="dxa"/>
            <w:vAlign w:val="bottom"/>
          </w:tcPr>
          <w:p>
            <w:pPr>
              <w:spacing w:after="0"/>
              <w:rPr>
                <w:sz w:val="20"/>
                <w:szCs w:val="20"/>
                <w:color w:val="auto"/>
              </w:rPr>
            </w:pPr>
            <w:r>
              <w:rPr>
                <w:rFonts w:ascii="Arial" w:cs="Arial" w:eastAsia="Arial" w:hAnsi="Arial"/>
                <w:sz w:val="16"/>
                <w:szCs w:val="16"/>
                <w:color w:val="auto"/>
                <w:w w:val="99"/>
              </w:rPr>
              <w:t>Basic earnings per share attributable to EZCORP, Inc. — continuing operations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0.21</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0.73</w:t>
            </w:r>
          </w:p>
        </w:tc>
        <w:tc>
          <w:tcPr>
            <w:tcW w:w="12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0.62</w:t>
            </w: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w w:val="97"/>
              </w:rPr>
              <w:t>Diluted earnings per share attributable to EZCORP, Inc. — continuing operations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0.21</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0.69</w:t>
            </w:r>
          </w:p>
        </w:tc>
        <w:tc>
          <w:tcPr>
            <w:tcW w:w="12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0.62</w:t>
            </w:r>
          </w:p>
        </w:tc>
      </w:tr>
      <w:tr>
        <w:trPr>
          <w:trHeight w:val="540"/>
        </w:trPr>
        <w:tc>
          <w:tcPr>
            <w:tcW w:w="5580" w:type="dxa"/>
            <w:vAlign w:val="bottom"/>
          </w:tcPr>
          <w:p>
            <w:pPr>
              <w:spacing w:after="0"/>
              <w:rPr>
                <w:sz w:val="20"/>
                <w:szCs w:val="20"/>
                <w:color w:val="auto"/>
              </w:rPr>
            </w:pPr>
            <w:r>
              <w:rPr>
                <w:rFonts w:ascii="Arial" w:cs="Arial" w:eastAsia="Arial" w:hAnsi="Arial"/>
                <w:sz w:val="16"/>
                <w:szCs w:val="16"/>
                <w:color w:val="auto"/>
              </w:rPr>
              <w:t>Weighted-average basic shares outstanding</w:t>
            </w:r>
          </w:p>
        </w:tc>
        <w:tc>
          <w:tcPr>
            <w:tcW w:w="280" w:type="dxa"/>
            <w:vAlign w:val="bottom"/>
          </w:tcPr>
          <w:p>
            <w:pPr>
              <w:spacing w:after="0"/>
              <w:rPr>
                <w:sz w:val="24"/>
                <w:szCs w:val="24"/>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54,466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54,298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54,456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54,260</w:t>
            </w: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Weighted-average diluted shares outstanding</w:t>
            </w:r>
          </w:p>
        </w:tc>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57,390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54,428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57,896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54,368</w:t>
            </w:r>
          </w:p>
        </w:tc>
      </w:tr>
    </w:tbl>
    <w:p>
      <w:pPr>
        <w:sectPr>
          <w:pgSz w:w="11900" w:h="16838" w:orient="portrait"/>
          <w:cols w:equalWidth="0" w:num="1">
            <w:col w:w="11380"/>
          </w:cols>
          <w:pgMar w:left="280" w:top="990" w:right="2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7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87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359"/>
        </w:trPr>
        <w:tc>
          <w:tcPr>
            <w:tcW w:w="8760" w:type="dxa"/>
            <w:vAlign w:val="bottom"/>
          </w:tcPr>
          <w:p>
            <w:pPr>
              <w:spacing w:after="0"/>
              <w:rPr>
                <w:sz w:val="20"/>
                <w:szCs w:val="20"/>
                <w:color w:val="auto"/>
              </w:rPr>
            </w:pPr>
            <w:r>
              <w:rPr>
                <w:rFonts w:ascii="Arial" w:cs="Arial" w:eastAsia="Arial" w:hAnsi="Arial"/>
                <w:sz w:val="16"/>
                <w:szCs w:val="16"/>
                <w:color w:val="auto"/>
              </w:rPr>
              <w:t>Assets: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760" w:type="dxa"/>
            <w:vAlign w:val="bottom"/>
          </w:tcPr>
          <w:p>
            <w:pPr>
              <w:ind w:left="24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760" w:type="dxa"/>
            <w:vAlign w:val="bottom"/>
          </w:tcPr>
          <w:p>
            <w:pPr>
              <w:ind w:left="460"/>
              <w:spacing w:after="0"/>
              <w:rPr>
                <w:sz w:val="20"/>
                <w:szCs w:val="20"/>
                <w:color w:val="auto"/>
              </w:rPr>
            </w:pPr>
            <w:r>
              <w:rPr>
                <w:rFonts w:ascii="Arial" w:cs="Arial" w:eastAsia="Arial" w:hAnsi="Arial"/>
                <w:sz w:val="16"/>
                <w:szCs w:val="16"/>
                <w:color w:val="auto"/>
              </w:rPr>
              <w:t>Cash and cash equivalents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286,015</w:t>
            </w:r>
          </w:p>
        </w:tc>
        <w:tc>
          <w:tcPr>
            <w:tcW w:w="120" w:type="dxa"/>
            <w:vAlign w:val="bottom"/>
          </w:tcPr>
          <w:p>
            <w:pPr>
              <w:spacing w:after="0"/>
              <w:rPr>
                <w:sz w:val="23"/>
                <w:szCs w:val="23"/>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164,393</w:t>
            </w:r>
          </w:p>
        </w:tc>
        <w:tc>
          <w:tcPr>
            <w:tcW w:w="0" w:type="dxa"/>
            <w:vAlign w:val="bottom"/>
          </w:tcPr>
          <w:p>
            <w:pPr>
              <w:spacing w:after="0"/>
              <w:rPr>
                <w:sz w:val="1"/>
                <w:szCs w:val="1"/>
                <w:color w:val="auto"/>
              </w:rPr>
            </w:pPr>
          </w:p>
        </w:tc>
      </w:tr>
      <w:tr>
        <w:trPr>
          <w:trHeight w:val="270"/>
        </w:trPr>
        <w:tc>
          <w:tcPr>
            <w:tcW w:w="8760" w:type="dxa"/>
            <w:vAlign w:val="bottom"/>
          </w:tcPr>
          <w:p>
            <w:pPr>
              <w:ind w:left="460"/>
              <w:spacing w:after="0"/>
              <w:rPr>
                <w:sz w:val="20"/>
                <w:szCs w:val="20"/>
                <w:color w:val="auto"/>
              </w:rPr>
            </w:pPr>
            <w:r>
              <w:rPr>
                <w:rFonts w:ascii="Arial" w:cs="Arial" w:eastAsia="Arial" w:hAnsi="Arial"/>
                <w:sz w:val="16"/>
                <w:szCs w:val="16"/>
                <w:color w:val="auto"/>
              </w:rPr>
              <w:t>Pawn loans</w:t>
            </w: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198,463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169,242</w:t>
            </w:r>
          </w:p>
        </w:tc>
        <w:tc>
          <w:tcPr>
            <w:tcW w:w="0" w:type="dxa"/>
            <w:vAlign w:val="bottom"/>
          </w:tcPr>
          <w:p>
            <w:pPr>
              <w:spacing w:after="0"/>
              <w:rPr>
                <w:sz w:val="1"/>
                <w:szCs w:val="1"/>
                <w:color w:val="auto"/>
              </w:rPr>
            </w:pPr>
          </w:p>
        </w:tc>
      </w:tr>
      <w:tr>
        <w:trPr>
          <w:trHeight w:val="270"/>
        </w:trPr>
        <w:tc>
          <w:tcPr>
            <w:tcW w:w="8760" w:type="dxa"/>
            <w:vAlign w:val="bottom"/>
          </w:tcPr>
          <w:p>
            <w:pPr>
              <w:ind w:left="460"/>
              <w:spacing w:after="0"/>
              <w:rPr>
                <w:sz w:val="20"/>
                <w:szCs w:val="20"/>
                <w:color w:val="auto"/>
              </w:rPr>
            </w:pPr>
            <w:r>
              <w:rPr>
                <w:rFonts w:ascii="Arial" w:cs="Arial" w:eastAsia="Arial" w:hAnsi="Arial"/>
                <w:sz w:val="16"/>
                <w:szCs w:val="16"/>
                <w:color w:val="auto"/>
              </w:rPr>
              <w:t>Pawn service charges receivable, net</w:t>
            </w: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38,318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31,548</w:t>
            </w:r>
          </w:p>
        </w:tc>
        <w:tc>
          <w:tcPr>
            <w:tcW w:w="0" w:type="dxa"/>
            <w:vAlign w:val="bottom"/>
          </w:tcPr>
          <w:p>
            <w:pPr>
              <w:spacing w:after="0"/>
              <w:rPr>
                <w:sz w:val="1"/>
                <w:szCs w:val="1"/>
                <w:color w:val="auto"/>
              </w:rPr>
            </w:pPr>
          </w:p>
        </w:tc>
      </w:tr>
      <w:tr>
        <w:trPr>
          <w:trHeight w:val="270"/>
        </w:trPr>
        <w:tc>
          <w:tcPr>
            <w:tcW w:w="8760" w:type="dxa"/>
            <w:vAlign w:val="bottom"/>
          </w:tcPr>
          <w:p>
            <w:pPr>
              <w:ind w:left="460"/>
              <w:spacing w:after="0"/>
              <w:rPr>
                <w:sz w:val="20"/>
                <w:szCs w:val="20"/>
                <w:color w:val="auto"/>
              </w:rPr>
            </w:pPr>
            <w:r>
              <w:rPr>
                <w:rFonts w:ascii="Arial" w:cs="Arial" w:eastAsia="Arial" w:hAnsi="Arial"/>
                <w:sz w:val="16"/>
                <w:szCs w:val="16"/>
                <w:color w:val="auto"/>
              </w:rPr>
              <w:t>Inventory, net</w:t>
            </w: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166,997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154,411</w:t>
            </w:r>
          </w:p>
        </w:tc>
        <w:tc>
          <w:tcPr>
            <w:tcW w:w="0" w:type="dxa"/>
            <w:vAlign w:val="bottom"/>
          </w:tcPr>
          <w:p>
            <w:pPr>
              <w:spacing w:after="0"/>
              <w:rPr>
                <w:sz w:val="1"/>
                <w:szCs w:val="1"/>
                <w:color w:val="auto"/>
              </w:rPr>
            </w:pPr>
          </w:p>
        </w:tc>
      </w:tr>
      <w:tr>
        <w:trPr>
          <w:trHeight w:val="270"/>
        </w:trPr>
        <w:tc>
          <w:tcPr>
            <w:tcW w:w="8760" w:type="dxa"/>
            <w:vAlign w:val="bottom"/>
          </w:tcPr>
          <w:p>
            <w:pPr>
              <w:ind w:left="460"/>
              <w:spacing w:after="0"/>
              <w:rPr>
                <w:sz w:val="20"/>
                <w:szCs w:val="20"/>
                <w:color w:val="auto"/>
              </w:rPr>
            </w:pPr>
            <w:r>
              <w:rPr>
                <w:rFonts w:ascii="Arial" w:cs="Arial" w:eastAsia="Arial" w:hAnsi="Arial"/>
                <w:sz w:val="16"/>
                <w:szCs w:val="16"/>
                <w:color w:val="auto"/>
              </w:rPr>
              <w:t>Notes receivable, net</w:t>
            </w: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34,199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32,598</w:t>
            </w:r>
          </w:p>
        </w:tc>
        <w:tc>
          <w:tcPr>
            <w:tcW w:w="0" w:type="dxa"/>
            <w:vAlign w:val="bottom"/>
          </w:tcPr>
          <w:p>
            <w:pPr>
              <w:spacing w:after="0"/>
              <w:rPr>
                <w:sz w:val="1"/>
                <w:szCs w:val="1"/>
                <w:color w:val="auto"/>
              </w:rPr>
            </w:pPr>
          </w:p>
        </w:tc>
      </w:tr>
      <w:tr>
        <w:trPr>
          <w:trHeight w:val="270"/>
        </w:trPr>
        <w:tc>
          <w:tcPr>
            <w:tcW w:w="8760" w:type="dxa"/>
            <w:vAlign w:val="bottom"/>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33,154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28,765</w:t>
            </w:r>
          </w:p>
        </w:tc>
        <w:tc>
          <w:tcPr>
            <w:tcW w:w="0" w:type="dxa"/>
            <w:vAlign w:val="bottom"/>
          </w:tcPr>
          <w:p>
            <w:pPr>
              <w:spacing w:after="0"/>
              <w:rPr>
                <w:sz w:val="1"/>
                <w:szCs w:val="1"/>
                <w:color w:val="auto"/>
              </w:rPr>
            </w:pPr>
          </w:p>
        </w:tc>
      </w:tr>
      <w:tr>
        <w:trPr>
          <w:trHeight w:val="33"/>
        </w:trPr>
        <w:tc>
          <w:tcPr>
            <w:tcW w:w="8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760" w:type="dxa"/>
            <w:vAlign w:val="bottom"/>
          </w:tcPr>
          <w:p>
            <w:pPr>
              <w:ind w:left="680"/>
              <w:spacing w:after="0"/>
              <w:rPr>
                <w:sz w:val="20"/>
                <w:szCs w:val="20"/>
                <w:color w:val="auto"/>
              </w:rPr>
            </w:pPr>
            <w:r>
              <w:rPr>
                <w:rFonts w:ascii="Arial" w:cs="Arial" w:eastAsia="Arial" w:hAnsi="Arial"/>
                <w:sz w:val="16"/>
                <w:szCs w:val="16"/>
                <w:color w:val="auto"/>
              </w:rPr>
              <w:t>Total current assets</w:t>
            </w: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757,146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580,957</w:t>
            </w:r>
          </w:p>
        </w:tc>
        <w:tc>
          <w:tcPr>
            <w:tcW w:w="0" w:type="dxa"/>
            <w:vAlign w:val="bottom"/>
          </w:tcPr>
          <w:p>
            <w:pPr>
              <w:spacing w:after="0"/>
              <w:rPr>
                <w:sz w:val="1"/>
                <w:szCs w:val="1"/>
                <w:color w:val="auto"/>
              </w:rPr>
            </w:pPr>
          </w:p>
        </w:tc>
      </w:tr>
      <w:tr>
        <w:trPr>
          <w:trHeight w:val="270"/>
        </w:trPr>
        <w:tc>
          <w:tcPr>
            <w:tcW w:w="8760" w:type="dxa"/>
            <w:vAlign w:val="bottom"/>
          </w:tcPr>
          <w:p>
            <w:pPr>
              <w:ind w:left="240"/>
              <w:spacing w:after="0"/>
              <w:rPr>
                <w:sz w:val="20"/>
                <w:szCs w:val="20"/>
                <w:color w:val="auto"/>
              </w:rPr>
            </w:pPr>
            <w:r>
              <w:rPr>
                <w:rFonts w:ascii="Arial" w:cs="Arial" w:eastAsia="Arial" w:hAnsi="Arial"/>
                <w:sz w:val="16"/>
                <w:szCs w:val="16"/>
                <w:color w:val="auto"/>
              </w:rPr>
              <w:t>Investment in unconsolidated affiliate</w:t>
            </w: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49,500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43,319</w:t>
            </w:r>
          </w:p>
        </w:tc>
        <w:tc>
          <w:tcPr>
            <w:tcW w:w="0" w:type="dxa"/>
            <w:vAlign w:val="bottom"/>
          </w:tcPr>
          <w:p>
            <w:pPr>
              <w:spacing w:after="0"/>
              <w:rPr>
                <w:sz w:val="1"/>
                <w:szCs w:val="1"/>
                <w:color w:val="auto"/>
              </w:rPr>
            </w:pPr>
          </w:p>
        </w:tc>
      </w:tr>
      <w:tr>
        <w:trPr>
          <w:trHeight w:val="270"/>
        </w:trPr>
        <w:tc>
          <w:tcPr>
            <w:tcW w:w="8760" w:type="dxa"/>
            <w:vAlign w:val="bottom"/>
          </w:tcPr>
          <w:p>
            <w:pPr>
              <w:ind w:left="240"/>
              <w:spacing w:after="0"/>
              <w:rPr>
                <w:sz w:val="20"/>
                <w:szCs w:val="20"/>
                <w:color w:val="auto"/>
              </w:rPr>
            </w:pPr>
            <w:r>
              <w:rPr>
                <w:rFonts w:ascii="Arial" w:cs="Arial" w:eastAsia="Arial" w:hAnsi="Arial"/>
                <w:sz w:val="16"/>
                <w:szCs w:val="16"/>
                <w:color w:val="auto"/>
              </w:rPr>
              <w:t>Property and equipment, net</w:t>
            </w: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73,649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57,959</w:t>
            </w:r>
          </w:p>
        </w:tc>
        <w:tc>
          <w:tcPr>
            <w:tcW w:w="0" w:type="dxa"/>
            <w:vAlign w:val="bottom"/>
          </w:tcPr>
          <w:p>
            <w:pPr>
              <w:spacing w:after="0"/>
              <w:rPr>
                <w:sz w:val="1"/>
                <w:szCs w:val="1"/>
                <w:color w:val="auto"/>
              </w:rPr>
            </w:pPr>
          </w:p>
        </w:tc>
      </w:tr>
      <w:tr>
        <w:trPr>
          <w:trHeight w:val="270"/>
        </w:trPr>
        <w:tc>
          <w:tcPr>
            <w:tcW w:w="8760" w:type="dxa"/>
            <w:vAlign w:val="bottom"/>
          </w:tcPr>
          <w:p>
            <w:pPr>
              <w:ind w:left="24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297,448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254,760</w:t>
            </w:r>
          </w:p>
        </w:tc>
        <w:tc>
          <w:tcPr>
            <w:tcW w:w="0" w:type="dxa"/>
            <w:vAlign w:val="bottom"/>
          </w:tcPr>
          <w:p>
            <w:pPr>
              <w:spacing w:after="0"/>
              <w:rPr>
                <w:sz w:val="1"/>
                <w:szCs w:val="1"/>
                <w:color w:val="auto"/>
              </w:rPr>
            </w:pPr>
          </w:p>
        </w:tc>
      </w:tr>
      <w:tr>
        <w:trPr>
          <w:trHeight w:val="270"/>
        </w:trPr>
        <w:tc>
          <w:tcPr>
            <w:tcW w:w="8760" w:type="dxa"/>
            <w:vAlign w:val="bottom"/>
          </w:tcPr>
          <w:p>
            <w:pPr>
              <w:ind w:left="240"/>
              <w:spacing w:after="0"/>
              <w:rPr>
                <w:sz w:val="20"/>
                <w:szCs w:val="20"/>
                <w:color w:val="auto"/>
              </w:rPr>
            </w:pPr>
            <w:r>
              <w:rPr>
                <w:rFonts w:ascii="Arial" w:cs="Arial" w:eastAsia="Arial" w:hAnsi="Arial"/>
                <w:sz w:val="16"/>
                <w:szCs w:val="16"/>
                <w:color w:val="auto"/>
              </w:rPr>
              <w:t>Intangible assets, net</w:t>
            </w: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54,923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32,420</w:t>
            </w:r>
          </w:p>
        </w:tc>
        <w:tc>
          <w:tcPr>
            <w:tcW w:w="0" w:type="dxa"/>
            <w:vAlign w:val="bottom"/>
          </w:tcPr>
          <w:p>
            <w:pPr>
              <w:spacing w:after="0"/>
              <w:rPr>
                <w:sz w:val="1"/>
                <w:szCs w:val="1"/>
                <w:color w:val="auto"/>
              </w:rPr>
            </w:pPr>
          </w:p>
        </w:tc>
      </w:tr>
      <w:tr>
        <w:trPr>
          <w:trHeight w:val="270"/>
        </w:trPr>
        <w:tc>
          <w:tcPr>
            <w:tcW w:w="8760" w:type="dxa"/>
            <w:vAlign w:val="bottom"/>
          </w:tcPr>
          <w:p>
            <w:pPr>
              <w:ind w:left="240"/>
              <w:spacing w:after="0"/>
              <w:rPr>
                <w:sz w:val="20"/>
                <w:szCs w:val="20"/>
                <w:color w:val="auto"/>
              </w:rPr>
            </w:pPr>
            <w:r>
              <w:rPr>
                <w:rFonts w:ascii="Arial" w:cs="Arial" w:eastAsia="Arial" w:hAnsi="Arial"/>
                <w:sz w:val="16"/>
                <w:szCs w:val="16"/>
                <w:color w:val="auto"/>
              </w:rPr>
              <w:t>Notes receivable, net</w:t>
            </w: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3,226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28,377</w:t>
            </w:r>
          </w:p>
        </w:tc>
        <w:tc>
          <w:tcPr>
            <w:tcW w:w="0" w:type="dxa"/>
            <w:vAlign w:val="bottom"/>
          </w:tcPr>
          <w:p>
            <w:pPr>
              <w:spacing w:after="0"/>
              <w:rPr>
                <w:sz w:val="1"/>
                <w:szCs w:val="1"/>
                <w:color w:val="auto"/>
              </w:rPr>
            </w:pPr>
          </w:p>
        </w:tc>
      </w:tr>
      <w:tr>
        <w:trPr>
          <w:trHeight w:val="270"/>
        </w:trPr>
        <w:tc>
          <w:tcPr>
            <w:tcW w:w="8760" w:type="dxa"/>
            <w:vAlign w:val="bottom"/>
          </w:tcPr>
          <w:p>
            <w:pPr>
              <w:ind w:left="240"/>
              <w:spacing w:after="0"/>
              <w:rPr>
                <w:sz w:val="20"/>
                <w:szCs w:val="20"/>
                <w:color w:val="auto"/>
              </w:rPr>
            </w:pPr>
            <w:r>
              <w:rPr>
                <w:rFonts w:ascii="Arial" w:cs="Arial" w:eastAsia="Arial" w:hAnsi="Arial"/>
                <w:sz w:val="16"/>
                <w:szCs w:val="16"/>
                <w:color w:val="auto"/>
              </w:rPr>
              <w:t>Deferred tax asset, net</w:t>
            </w: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7,165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16,856</w:t>
            </w:r>
          </w:p>
        </w:tc>
        <w:tc>
          <w:tcPr>
            <w:tcW w:w="0" w:type="dxa"/>
            <w:vAlign w:val="bottom"/>
          </w:tcPr>
          <w:p>
            <w:pPr>
              <w:spacing w:after="0"/>
              <w:rPr>
                <w:sz w:val="1"/>
                <w:szCs w:val="1"/>
                <w:color w:val="auto"/>
              </w:rPr>
            </w:pPr>
          </w:p>
        </w:tc>
      </w:tr>
      <w:tr>
        <w:trPr>
          <w:trHeight w:val="270"/>
        </w:trPr>
        <w:tc>
          <w:tcPr>
            <w:tcW w:w="8760" w:type="dxa"/>
            <w:vAlign w:val="bottom"/>
          </w:tcPr>
          <w:p>
            <w:pPr>
              <w:ind w:left="240"/>
              <w:spacing w:after="0"/>
              <w:rPr>
                <w:sz w:val="20"/>
                <w:szCs w:val="20"/>
                <w:color w:val="auto"/>
              </w:rPr>
            </w:pPr>
            <w:r>
              <w:rPr>
                <w:rFonts w:ascii="Arial" w:cs="Arial" w:eastAsia="Arial" w:hAnsi="Arial"/>
                <w:sz w:val="16"/>
                <w:szCs w:val="16"/>
                <w:color w:val="auto"/>
              </w:rPr>
              <w:t>Other assets, net</w:t>
            </w: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3,863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9,715</w:t>
            </w:r>
          </w:p>
        </w:tc>
        <w:tc>
          <w:tcPr>
            <w:tcW w:w="0" w:type="dxa"/>
            <w:vAlign w:val="bottom"/>
          </w:tcPr>
          <w:p>
            <w:pPr>
              <w:spacing w:after="0"/>
              <w:rPr>
                <w:sz w:val="1"/>
                <w:szCs w:val="1"/>
                <w:color w:val="auto"/>
              </w:rPr>
            </w:pPr>
          </w:p>
        </w:tc>
      </w:tr>
      <w:tr>
        <w:trPr>
          <w:trHeight w:val="33"/>
        </w:trPr>
        <w:tc>
          <w:tcPr>
            <w:tcW w:w="8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760" w:type="dxa"/>
            <w:vAlign w:val="bottom"/>
          </w:tcPr>
          <w:p>
            <w:pPr>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1,246,920</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1,024,363</w:t>
            </w:r>
          </w:p>
        </w:tc>
        <w:tc>
          <w:tcPr>
            <w:tcW w:w="0" w:type="dxa"/>
            <w:vAlign w:val="bottom"/>
          </w:tcPr>
          <w:p>
            <w:pPr>
              <w:spacing w:after="0"/>
              <w:rPr>
                <w:sz w:val="1"/>
                <w:szCs w:val="1"/>
                <w:color w:val="auto"/>
              </w:rPr>
            </w:pPr>
          </w:p>
        </w:tc>
      </w:tr>
      <w:tr>
        <w:trPr>
          <w:trHeight w:val="20"/>
        </w:trPr>
        <w:tc>
          <w:tcPr>
            <w:tcW w:w="8760" w:type="dxa"/>
            <w:vAlign w:val="bottom"/>
            <w:vMerge w:val="restart"/>
          </w:tcPr>
          <w:p>
            <w:pPr>
              <w:spacing w:after="0"/>
              <w:rPr>
                <w:sz w:val="20"/>
                <w:szCs w:val="20"/>
                <w:color w:val="auto"/>
              </w:rPr>
            </w:pPr>
            <w:r>
              <w:rPr>
                <w:rFonts w:ascii="Arial" w:cs="Arial" w:eastAsia="Arial" w:hAnsi="Arial"/>
                <w:sz w:val="16"/>
                <w:szCs w:val="16"/>
                <w:color w:val="auto"/>
              </w:rPr>
              <w:t>Liabilities and equity:</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87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760" w:type="dxa"/>
            <w:vAlign w:val="bottom"/>
          </w:tcPr>
          <w:p>
            <w:pPr>
              <w:ind w:left="24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760" w:type="dxa"/>
            <w:vAlign w:val="bottom"/>
          </w:tcPr>
          <w:p>
            <w:pPr>
              <w:ind w:left="460"/>
              <w:spacing w:after="0"/>
              <w:rPr>
                <w:sz w:val="20"/>
                <w:szCs w:val="20"/>
                <w:color w:val="auto"/>
              </w:rPr>
            </w:pPr>
            <w:r>
              <w:rPr>
                <w:rFonts w:ascii="Arial" w:cs="Arial" w:eastAsia="Arial" w:hAnsi="Arial"/>
                <w:sz w:val="16"/>
                <w:szCs w:val="16"/>
                <w:color w:val="auto"/>
              </w:rPr>
              <w:t>Accounts payable, accrued expenses and other current liabilities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57,800</w:t>
            </w:r>
          </w:p>
        </w:tc>
        <w:tc>
          <w:tcPr>
            <w:tcW w:w="120" w:type="dxa"/>
            <w:vAlign w:val="bottom"/>
          </w:tcPr>
          <w:p>
            <w:pPr>
              <w:spacing w:after="0"/>
              <w:rPr>
                <w:sz w:val="23"/>
                <w:szCs w:val="23"/>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61,543</w:t>
            </w:r>
          </w:p>
        </w:tc>
        <w:tc>
          <w:tcPr>
            <w:tcW w:w="0" w:type="dxa"/>
            <w:vAlign w:val="bottom"/>
          </w:tcPr>
          <w:p>
            <w:pPr>
              <w:spacing w:after="0"/>
              <w:rPr>
                <w:sz w:val="1"/>
                <w:szCs w:val="1"/>
                <w:color w:val="auto"/>
              </w:rPr>
            </w:pPr>
          </w:p>
        </w:tc>
      </w:tr>
      <w:tr>
        <w:trPr>
          <w:trHeight w:val="270"/>
        </w:trPr>
        <w:tc>
          <w:tcPr>
            <w:tcW w:w="8760" w:type="dxa"/>
            <w:vAlign w:val="bottom"/>
          </w:tcPr>
          <w:p>
            <w:pPr>
              <w:ind w:left="460"/>
              <w:spacing w:after="0"/>
              <w:rPr>
                <w:sz w:val="20"/>
                <w:szCs w:val="20"/>
                <w:color w:val="auto"/>
              </w:rPr>
            </w:pPr>
            <w:r>
              <w:rPr>
                <w:rFonts w:ascii="Arial" w:cs="Arial" w:eastAsia="Arial" w:hAnsi="Arial"/>
                <w:sz w:val="16"/>
                <w:szCs w:val="16"/>
                <w:color w:val="auto"/>
              </w:rPr>
              <w:t>Current Maturities of long-term debt</w:t>
            </w: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190,181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760" w:type="dxa"/>
            <w:vAlign w:val="bottom"/>
          </w:tcPr>
          <w:p>
            <w:pPr>
              <w:ind w:left="460"/>
              <w:spacing w:after="0"/>
              <w:rPr>
                <w:sz w:val="20"/>
                <w:szCs w:val="20"/>
                <w:color w:val="auto"/>
              </w:rPr>
            </w:pPr>
            <w:r>
              <w:rPr>
                <w:rFonts w:ascii="Arial" w:cs="Arial" w:eastAsia="Arial" w:hAnsi="Arial"/>
                <w:sz w:val="16"/>
                <w:szCs w:val="16"/>
                <w:color w:val="auto"/>
              </w:rPr>
              <w:t>Customer layaway deposits</w:t>
            </w: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11,824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11,032</w:t>
            </w:r>
          </w:p>
        </w:tc>
        <w:tc>
          <w:tcPr>
            <w:tcW w:w="0" w:type="dxa"/>
            <w:vAlign w:val="bottom"/>
          </w:tcPr>
          <w:p>
            <w:pPr>
              <w:spacing w:after="0"/>
              <w:rPr>
                <w:sz w:val="1"/>
                <w:szCs w:val="1"/>
                <w:color w:val="auto"/>
              </w:rPr>
            </w:pPr>
          </w:p>
        </w:tc>
      </w:tr>
      <w:tr>
        <w:trPr>
          <w:trHeight w:val="33"/>
        </w:trPr>
        <w:tc>
          <w:tcPr>
            <w:tcW w:w="8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760" w:type="dxa"/>
            <w:vAlign w:val="bottom"/>
          </w:tcPr>
          <w:p>
            <w:pPr>
              <w:ind w:left="680"/>
              <w:spacing w:after="0"/>
              <w:rPr>
                <w:sz w:val="20"/>
                <w:szCs w:val="20"/>
                <w:color w:val="auto"/>
              </w:rPr>
            </w:pPr>
            <w:r>
              <w:rPr>
                <w:rFonts w:ascii="Arial" w:cs="Arial" w:eastAsia="Arial" w:hAnsi="Arial"/>
                <w:sz w:val="16"/>
                <w:szCs w:val="16"/>
                <w:color w:val="auto"/>
              </w:rPr>
              <w:t>Total current liabilities</w:t>
            </w: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259,805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72,575</w:t>
            </w:r>
          </w:p>
        </w:tc>
        <w:tc>
          <w:tcPr>
            <w:tcW w:w="0" w:type="dxa"/>
            <w:vAlign w:val="bottom"/>
          </w:tcPr>
          <w:p>
            <w:pPr>
              <w:spacing w:after="0"/>
              <w:rPr>
                <w:sz w:val="1"/>
                <w:szCs w:val="1"/>
                <w:color w:val="auto"/>
              </w:rPr>
            </w:pPr>
          </w:p>
        </w:tc>
      </w:tr>
      <w:tr>
        <w:trPr>
          <w:trHeight w:val="270"/>
        </w:trPr>
        <w:tc>
          <w:tcPr>
            <w:tcW w:w="8760" w:type="dxa"/>
            <w:vAlign w:val="bottom"/>
          </w:tcPr>
          <w:p>
            <w:pPr>
              <w:ind w:left="240"/>
              <w:spacing w:after="0"/>
              <w:rPr>
                <w:sz w:val="20"/>
                <w:szCs w:val="20"/>
                <w:color w:val="auto"/>
              </w:rPr>
            </w:pPr>
            <w:r>
              <w:rPr>
                <w:rFonts w:ascii="Arial" w:cs="Arial" w:eastAsia="Arial" w:hAnsi="Arial"/>
                <w:sz w:val="16"/>
                <w:szCs w:val="16"/>
                <w:color w:val="auto"/>
              </w:rPr>
              <w:t>Long-term debt, net</w:t>
            </w: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226,702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284,807</w:t>
            </w:r>
          </w:p>
        </w:tc>
        <w:tc>
          <w:tcPr>
            <w:tcW w:w="0" w:type="dxa"/>
            <w:vAlign w:val="bottom"/>
          </w:tcPr>
          <w:p>
            <w:pPr>
              <w:spacing w:after="0"/>
              <w:rPr>
                <w:sz w:val="1"/>
                <w:szCs w:val="1"/>
                <w:color w:val="auto"/>
              </w:rPr>
            </w:pPr>
          </w:p>
        </w:tc>
      </w:tr>
      <w:tr>
        <w:trPr>
          <w:trHeight w:val="270"/>
        </w:trPr>
        <w:tc>
          <w:tcPr>
            <w:tcW w:w="8760" w:type="dxa"/>
            <w:vAlign w:val="bottom"/>
          </w:tcPr>
          <w:p>
            <w:pPr>
              <w:ind w:left="240"/>
              <w:spacing w:after="0"/>
              <w:rPr>
                <w:sz w:val="20"/>
                <w:szCs w:val="20"/>
                <w:color w:val="auto"/>
              </w:rPr>
            </w:pPr>
            <w:r>
              <w:rPr>
                <w:rFonts w:ascii="Arial" w:cs="Arial" w:eastAsia="Arial" w:hAnsi="Arial"/>
                <w:sz w:val="16"/>
                <w:szCs w:val="16"/>
                <w:color w:val="auto"/>
              </w:rPr>
              <w:t>Deferred tax liability</w:t>
            </w: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8,817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760" w:type="dxa"/>
            <w:vAlign w:val="bottom"/>
          </w:tcPr>
          <w:p>
            <w:pPr>
              <w:ind w:left="240"/>
              <w:spacing w:after="0"/>
              <w:rPr>
                <w:sz w:val="20"/>
                <w:szCs w:val="20"/>
                <w:color w:val="auto"/>
              </w:rPr>
            </w:pPr>
            <w:r>
              <w:rPr>
                <w:rFonts w:ascii="Arial" w:cs="Arial" w:eastAsia="Arial" w:hAnsi="Arial"/>
                <w:sz w:val="16"/>
                <w:szCs w:val="16"/>
                <w:color w:val="auto"/>
              </w:rPr>
              <w:t>Other long-term liabilities</w:t>
            </w: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6,890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7,055</w:t>
            </w:r>
          </w:p>
        </w:tc>
        <w:tc>
          <w:tcPr>
            <w:tcW w:w="0" w:type="dxa"/>
            <w:vAlign w:val="bottom"/>
          </w:tcPr>
          <w:p>
            <w:pPr>
              <w:spacing w:after="0"/>
              <w:rPr>
                <w:sz w:val="1"/>
                <w:szCs w:val="1"/>
                <w:color w:val="auto"/>
              </w:rPr>
            </w:pPr>
          </w:p>
        </w:tc>
      </w:tr>
      <w:tr>
        <w:trPr>
          <w:trHeight w:val="33"/>
        </w:trPr>
        <w:tc>
          <w:tcPr>
            <w:tcW w:w="8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760" w:type="dxa"/>
            <w:vAlign w:val="bottom"/>
          </w:tcPr>
          <w:p>
            <w:pPr>
              <w:ind w:left="880"/>
              <w:spacing w:after="0"/>
              <w:rPr>
                <w:sz w:val="20"/>
                <w:szCs w:val="20"/>
                <w:color w:val="auto"/>
              </w:rPr>
            </w:pPr>
            <w:r>
              <w:rPr>
                <w:rFonts w:ascii="Arial" w:cs="Arial" w:eastAsia="Arial" w:hAnsi="Arial"/>
                <w:sz w:val="16"/>
                <w:szCs w:val="16"/>
                <w:color w:val="auto"/>
              </w:rPr>
              <w:t>Total liabilities</w:t>
            </w: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502,214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364,437</w:t>
            </w:r>
          </w:p>
        </w:tc>
        <w:tc>
          <w:tcPr>
            <w:tcW w:w="0" w:type="dxa"/>
            <w:vAlign w:val="bottom"/>
          </w:tcPr>
          <w:p>
            <w:pPr>
              <w:spacing w:after="0"/>
              <w:rPr>
                <w:sz w:val="1"/>
                <w:szCs w:val="1"/>
                <w:color w:val="auto"/>
              </w:rPr>
            </w:pPr>
          </w:p>
        </w:tc>
      </w:tr>
      <w:tr>
        <w:trPr>
          <w:trHeight w:val="270"/>
        </w:trPr>
        <w:tc>
          <w:tcPr>
            <w:tcW w:w="8760" w:type="dxa"/>
            <w:vAlign w:val="bottom"/>
          </w:tcPr>
          <w:p>
            <w:pPr>
              <w:ind w:left="240"/>
              <w:spacing w:after="0"/>
              <w:rPr>
                <w:sz w:val="20"/>
                <w:szCs w:val="20"/>
                <w:color w:val="auto"/>
              </w:rPr>
            </w:pPr>
            <w:r>
              <w:rPr>
                <w:rFonts w:ascii="Arial" w:cs="Arial" w:eastAsia="Arial" w:hAnsi="Arial"/>
                <w:sz w:val="16"/>
                <w:szCs w:val="16"/>
                <w:color w:val="auto"/>
              </w:rPr>
              <w:t>Stockholders’ equity:</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8760" w:type="dxa"/>
            <w:vAlign w:val="bottom"/>
          </w:tcPr>
          <w:p>
            <w:pPr>
              <w:ind w:left="460"/>
              <w:spacing w:after="0"/>
              <w:rPr>
                <w:sz w:val="20"/>
                <w:szCs w:val="20"/>
                <w:color w:val="auto"/>
              </w:rPr>
            </w:pPr>
            <w:r>
              <w:rPr>
                <w:rFonts w:ascii="Arial" w:cs="Arial" w:eastAsia="Arial" w:hAnsi="Arial"/>
                <w:sz w:val="16"/>
                <w:szCs w:val="16"/>
                <w:color w:val="auto"/>
                <w:w w:val="99"/>
              </w:rPr>
              <w:t>Class A Non-Voting Common Stock, par value $.01 per share; shares authorized: 100 million; issued and outstanding:</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8760" w:type="dxa"/>
            <w:vAlign w:val="bottom"/>
          </w:tcPr>
          <w:p>
            <w:pPr>
              <w:ind w:left="460"/>
              <w:spacing w:after="0"/>
              <w:rPr>
                <w:sz w:val="20"/>
                <w:szCs w:val="20"/>
                <w:color w:val="auto"/>
              </w:rPr>
            </w:pPr>
            <w:r>
              <w:rPr>
                <w:rFonts w:ascii="Arial" w:cs="Arial" w:eastAsia="Arial" w:hAnsi="Arial"/>
                <w:sz w:val="16"/>
                <w:szCs w:val="16"/>
                <w:color w:val="auto"/>
              </w:rPr>
              <w:t>51,614,746 as of September 30, 2018 and 51,427,832 as of September 30, 2017</w:t>
            </w:r>
          </w:p>
        </w:tc>
        <w:tc>
          <w:tcPr>
            <w:tcW w:w="300" w:type="dxa"/>
            <w:vAlign w:val="bottom"/>
          </w:tcPr>
          <w:p>
            <w:pPr>
              <w:spacing w:after="0"/>
              <w:rPr>
                <w:sz w:val="17"/>
                <w:szCs w:val="17"/>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516</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53"/>
        </w:trPr>
        <w:tc>
          <w:tcPr>
            <w:tcW w:w="8760" w:type="dxa"/>
            <w:vAlign w:val="bottom"/>
          </w:tcPr>
          <w:p>
            <w:pPr>
              <w:ind w:left="460"/>
              <w:spacing w:after="0"/>
              <w:rPr>
                <w:sz w:val="20"/>
                <w:szCs w:val="20"/>
                <w:color w:val="auto"/>
              </w:rPr>
            </w:pPr>
            <w:r>
              <w:rPr>
                <w:rFonts w:ascii="Arial" w:cs="Arial" w:eastAsia="Arial" w:hAnsi="Arial"/>
                <w:sz w:val="16"/>
                <w:szCs w:val="16"/>
                <w:color w:val="auto"/>
                <w:w w:val="95"/>
              </w:rPr>
              <w:t>Class B Voting Common Stock, convertible, par value $.01 per share; shares authorized: 3 million; issued and outstanding:</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8760" w:type="dxa"/>
            <w:vAlign w:val="bottom"/>
          </w:tcPr>
          <w:p>
            <w:pPr>
              <w:ind w:left="460"/>
              <w:spacing w:after="0"/>
              <w:rPr>
                <w:sz w:val="20"/>
                <w:szCs w:val="20"/>
                <w:color w:val="auto"/>
              </w:rPr>
            </w:pPr>
            <w:r>
              <w:rPr>
                <w:rFonts w:ascii="Arial" w:cs="Arial" w:eastAsia="Arial" w:hAnsi="Arial"/>
                <w:sz w:val="16"/>
                <w:szCs w:val="16"/>
                <w:color w:val="auto"/>
              </w:rPr>
              <w:t>2,970,171</w:t>
            </w:r>
          </w:p>
        </w:tc>
        <w:tc>
          <w:tcPr>
            <w:tcW w:w="300" w:type="dxa"/>
            <w:vAlign w:val="bottom"/>
          </w:tcPr>
          <w:p>
            <w:pPr>
              <w:spacing w:after="0"/>
              <w:rPr>
                <w:sz w:val="17"/>
                <w:szCs w:val="17"/>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70"/>
        </w:trPr>
        <w:tc>
          <w:tcPr>
            <w:tcW w:w="8760" w:type="dxa"/>
            <w:vAlign w:val="bottom"/>
          </w:tcPr>
          <w:p>
            <w:pPr>
              <w:ind w:left="460"/>
              <w:spacing w:after="0"/>
              <w:rPr>
                <w:sz w:val="20"/>
                <w:szCs w:val="20"/>
                <w:color w:val="auto"/>
              </w:rPr>
            </w:pPr>
            <w:r>
              <w:rPr>
                <w:rFonts w:ascii="Arial" w:cs="Arial" w:eastAsia="Arial" w:hAnsi="Arial"/>
                <w:sz w:val="16"/>
                <w:szCs w:val="16"/>
                <w:color w:val="auto"/>
              </w:rPr>
              <w:t>Additional paid-in capital</w:t>
            </w: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397,927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348,532</w:t>
            </w:r>
          </w:p>
        </w:tc>
        <w:tc>
          <w:tcPr>
            <w:tcW w:w="0" w:type="dxa"/>
            <w:vAlign w:val="bottom"/>
          </w:tcPr>
          <w:p>
            <w:pPr>
              <w:spacing w:after="0"/>
              <w:rPr>
                <w:sz w:val="1"/>
                <w:szCs w:val="1"/>
                <w:color w:val="auto"/>
              </w:rPr>
            </w:pPr>
          </w:p>
        </w:tc>
      </w:tr>
      <w:tr>
        <w:trPr>
          <w:trHeight w:val="270"/>
        </w:trPr>
        <w:tc>
          <w:tcPr>
            <w:tcW w:w="8760" w:type="dxa"/>
            <w:vAlign w:val="bottom"/>
          </w:tcPr>
          <w:p>
            <w:pPr>
              <w:ind w:left="460"/>
              <w:spacing w:after="0"/>
              <w:rPr>
                <w:sz w:val="20"/>
                <w:szCs w:val="20"/>
                <w:color w:val="auto"/>
              </w:rPr>
            </w:pPr>
            <w:r>
              <w:rPr>
                <w:rFonts w:ascii="Arial" w:cs="Arial" w:eastAsia="Arial" w:hAnsi="Arial"/>
                <w:sz w:val="16"/>
                <w:szCs w:val="16"/>
                <w:color w:val="auto"/>
              </w:rPr>
              <w:t>Retained earnings</w:t>
            </w: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392,180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351,666</w:t>
            </w:r>
          </w:p>
        </w:tc>
        <w:tc>
          <w:tcPr>
            <w:tcW w:w="0" w:type="dxa"/>
            <w:vAlign w:val="bottom"/>
          </w:tcPr>
          <w:p>
            <w:pPr>
              <w:spacing w:after="0"/>
              <w:rPr>
                <w:sz w:val="1"/>
                <w:szCs w:val="1"/>
                <w:color w:val="auto"/>
              </w:rPr>
            </w:pPr>
          </w:p>
        </w:tc>
      </w:tr>
      <w:tr>
        <w:trPr>
          <w:trHeight w:val="270"/>
        </w:trPr>
        <w:tc>
          <w:tcPr>
            <w:tcW w:w="8760" w:type="dxa"/>
            <w:vAlign w:val="bottom"/>
          </w:tcPr>
          <w:p>
            <w:pPr>
              <w:ind w:left="46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(42,616)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(38,367)</w:t>
            </w:r>
          </w:p>
        </w:tc>
        <w:tc>
          <w:tcPr>
            <w:tcW w:w="0" w:type="dxa"/>
            <w:vAlign w:val="bottom"/>
          </w:tcPr>
          <w:p>
            <w:pPr>
              <w:spacing w:after="0"/>
              <w:rPr>
                <w:sz w:val="1"/>
                <w:szCs w:val="1"/>
                <w:color w:val="auto"/>
              </w:rPr>
            </w:pPr>
          </w:p>
        </w:tc>
      </w:tr>
      <w:tr>
        <w:trPr>
          <w:trHeight w:val="33"/>
        </w:trPr>
        <w:tc>
          <w:tcPr>
            <w:tcW w:w="8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760" w:type="dxa"/>
            <w:vAlign w:val="bottom"/>
          </w:tcPr>
          <w:p>
            <w:pPr>
              <w:ind w:left="680"/>
              <w:spacing w:after="0"/>
              <w:rPr>
                <w:sz w:val="20"/>
                <w:szCs w:val="20"/>
                <w:color w:val="auto"/>
              </w:rPr>
            </w:pPr>
            <w:r>
              <w:rPr>
                <w:rFonts w:ascii="Arial" w:cs="Arial" w:eastAsia="Arial" w:hAnsi="Arial"/>
                <w:sz w:val="16"/>
                <w:szCs w:val="16"/>
                <w:color w:val="auto"/>
              </w:rPr>
              <w:t>EZCORP, Inc. stockholders’ equity</w:t>
            </w: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748,037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662,375</w:t>
            </w:r>
          </w:p>
        </w:tc>
        <w:tc>
          <w:tcPr>
            <w:tcW w:w="0" w:type="dxa"/>
            <w:vAlign w:val="bottom"/>
          </w:tcPr>
          <w:p>
            <w:pPr>
              <w:spacing w:after="0"/>
              <w:rPr>
                <w:sz w:val="1"/>
                <w:szCs w:val="1"/>
                <w:color w:val="auto"/>
              </w:rPr>
            </w:pPr>
          </w:p>
        </w:tc>
      </w:tr>
      <w:tr>
        <w:trPr>
          <w:trHeight w:val="270"/>
        </w:trPr>
        <w:tc>
          <w:tcPr>
            <w:tcW w:w="8760" w:type="dxa"/>
            <w:vAlign w:val="bottom"/>
          </w:tcPr>
          <w:p>
            <w:pPr>
              <w:ind w:left="460"/>
              <w:spacing w:after="0"/>
              <w:rPr>
                <w:sz w:val="20"/>
                <w:szCs w:val="20"/>
                <w:color w:val="auto"/>
              </w:rPr>
            </w:pPr>
            <w:r>
              <w:rPr>
                <w:rFonts w:ascii="Arial" w:cs="Arial" w:eastAsia="Arial" w:hAnsi="Arial"/>
                <w:sz w:val="16"/>
                <w:szCs w:val="16"/>
                <w:color w:val="auto"/>
              </w:rPr>
              <w:t>Noncontrolling interest</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(3,331)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(2,449)</w:t>
            </w:r>
          </w:p>
        </w:tc>
        <w:tc>
          <w:tcPr>
            <w:tcW w:w="0" w:type="dxa"/>
            <w:vAlign w:val="bottom"/>
          </w:tcPr>
          <w:p>
            <w:pPr>
              <w:spacing w:after="0"/>
              <w:rPr>
                <w:sz w:val="1"/>
                <w:szCs w:val="1"/>
                <w:color w:val="auto"/>
              </w:rPr>
            </w:pPr>
          </w:p>
        </w:tc>
      </w:tr>
      <w:tr>
        <w:trPr>
          <w:trHeight w:val="33"/>
        </w:trPr>
        <w:tc>
          <w:tcPr>
            <w:tcW w:w="8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760" w:type="dxa"/>
            <w:vAlign w:val="bottom"/>
          </w:tcPr>
          <w:p>
            <w:pPr>
              <w:ind w:left="880"/>
              <w:spacing w:after="0"/>
              <w:rPr>
                <w:sz w:val="20"/>
                <w:szCs w:val="20"/>
                <w:color w:val="auto"/>
              </w:rPr>
            </w:pPr>
            <w:r>
              <w:rPr>
                <w:rFonts w:ascii="Arial" w:cs="Arial" w:eastAsia="Arial" w:hAnsi="Arial"/>
                <w:sz w:val="16"/>
                <w:szCs w:val="16"/>
                <w:color w:val="auto"/>
              </w:rPr>
              <w:t>Total equity</w:t>
            </w: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744,706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659,926</w:t>
            </w:r>
          </w:p>
        </w:tc>
        <w:tc>
          <w:tcPr>
            <w:tcW w:w="0" w:type="dxa"/>
            <w:vAlign w:val="bottom"/>
          </w:tcPr>
          <w:p>
            <w:pPr>
              <w:spacing w:after="0"/>
              <w:rPr>
                <w:sz w:val="1"/>
                <w:szCs w:val="1"/>
                <w:color w:val="auto"/>
              </w:rPr>
            </w:pPr>
          </w:p>
        </w:tc>
      </w:tr>
      <w:tr>
        <w:trPr>
          <w:trHeight w:val="33"/>
        </w:trPr>
        <w:tc>
          <w:tcPr>
            <w:tcW w:w="8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760" w:type="dxa"/>
            <w:vAlign w:val="bottom"/>
          </w:tcPr>
          <w:p>
            <w:pPr>
              <w:spacing w:after="0"/>
              <w:rPr>
                <w:sz w:val="20"/>
                <w:szCs w:val="20"/>
                <w:color w:val="auto"/>
              </w:rPr>
            </w:pPr>
            <w:r>
              <w:rPr>
                <w:rFonts w:ascii="Arial" w:cs="Arial" w:eastAsia="Arial" w:hAnsi="Arial"/>
                <w:sz w:val="16"/>
                <w:szCs w:val="16"/>
                <w:color w:val="auto"/>
              </w:rPr>
              <w:t>Total liabilities and equity</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1,246,920</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1,024,363</w:t>
            </w: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774" w:right="2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4"/>
                <w:szCs w:val="14"/>
                <w:b w:val="1"/>
                <w:bCs w:val="1"/>
                <w:color w:val="auto"/>
                <w:w w:val="96"/>
              </w:rPr>
              <w:t>Fiscal Year Ended September 30,</w:t>
            </w:r>
          </w:p>
        </w:tc>
        <w:tc>
          <w:tcPr>
            <w:tcW w:w="0" w:type="dxa"/>
            <w:vAlign w:val="bottom"/>
          </w:tcPr>
          <w:p>
            <w:pPr>
              <w:spacing w:after="0"/>
              <w:rPr>
                <w:sz w:val="1"/>
                <w:szCs w:val="1"/>
                <w:color w:val="auto"/>
              </w:rPr>
            </w:pPr>
          </w:p>
        </w:tc>
      </w:tr>
      <w:tr>
        <w:trPr>
          <w:trHeight w:val="264"/>
        </w:trPr>
        <w:tc>
          <w:tcPr>
            <w:tcW w:w="87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312"/>
        </w:trPr>
        <w:tc>
          <w:tcPr>
            <w:tcW w:w="8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760" w:type="dxa"/>
            <w:vAlign w:val="bottom"/>
          </w:tcPr>
          <w:p>
            <w:pPr>
              <w:spacing w:after="0"/>
              <w:rPr>
                <w:sz w:val="20"/>
                <w:szCs w:val="20"/>
                <w:color w:val="auto"/>
              </w:rPr>
            </w:pPr>
            <w:r>
              <w:rPr>
                <w:rFonts w:ascii="Arial" w:cs="Arial" w:eastAsia="Arial" w:hAnsi="Arial"/>
                <w:sz w:val="14"/>
                <w:szCs w:val="14"/>
                <w:color w:val="auto"/>
              </w:rPr>
              <w:t>Operating activities:</w:t>
            </w: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76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38,071</w:t>
            </w:r>
          </w:p>
        </w:tc>
        <w:tc>
          <w:tcPr>
            <w:tcW w:w="12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30,208</w:t>
            </w:r>
          </w:p>
        </w:tc>
        <w:tc>
          <w:tcPr>
            <w:tcW w:w="0" w:type="dxa"/>
            <w:vAlign w:val="bottom"/>
          </w:tcPr>
          <w:p>
            <w:pPr>
              <w:spacing w:after="0"/>
              <w:rPr>
                <w:sz w:val="1"/>
                <w:szCs w:val="1"/>
                <w:color w:val="auto"/>
              </w:rPr>
            </w:pPr>
          </w:p>
        </w:tc>
      </w:tr>
      <w:tr>
        <w:trPr>
          <w:trHeight w:val="270"/>
        </w:trPr>
        <w:tc>
          <w:tcPr>
            <w:tcW w:w="8760" w:type="dxa"/>
            <w:vAlign w:val="bottom"/>
          </w:tcPr>
          <w:p>
            <w:pPr>
              <w:ind w:left="460"/>
              <w:spacing w:after="0"/>
              <w:rPr>
                <w:sz w:val="20"/>
                <w:szCs w:val="20"/>
                <w:color w:val="auto"/>
              </w:rPr>
            </w:pPr>
            <w:r>
              <w:rPr>
                <w:rFonts w:ascii="Arial" w:cs="Arial" w:eastAsia="Arial" w:hAnsi="Arial"/>
                <w:sz w:val="14"/>
                <w:szCs w:val="14"/>
                <w:color w:val="auto"/>
              </w:rPr>
              <w:t>Adjustments to reconcile net income to net cash flows from operating activities:</w:t>
            </w: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760" w:type="dxa"/>
            <w:vAlign w:val="bottom"/>
          </w:tcPr>
          <w:p>
            <w:pPr>
              <w:ind w:left="68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25,484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23,661</w:t>
            </w:r>
          </w:p>
        </w:tc>
        <w:tc>
          <w:tcPr>
            <w:tcW w:w="0" w:type="dxa"/>
            <w:vAlign w:val="bottom"/>
          </w:tcPr>
          <w:p>
            <w:pPr>
              <w:spacing w:after="0"/>
              <w:rPr>
                <w:sz w:val="1"/>
                <w:szCs w:val="1"/>
                <w:color w:val="auto"/>
              </w:rPr>
            </w:pPr>
          </w:p>
        </w:tc>
      </w:tr>
      <w:tr>
        <w:trPr>
          <w:trHeight w:val="270"/>
        </w:trPr>
        <w:tc>
          <w:tcPr>
            <w:tcW w:w="8760" w:type="dxa"/>
            <w:vAlign w:val="bottom"/>
          </w:tcPr>
          <w:p>
            <w:pPr>
              <w:ind w:left="680"/>
              <w:spacing w:after="0"/>
              <w:rPr>
                <w:sz w:val="20"/>
                <w:szCs w:val="20"/>
                <w:color w:val="auto"/>
              </w:rPr>
            </w:pPr>
            <w:r>
              <w:rPr>
                <w:rFonts w:ascii="Arial" w:cs="Arial" w:eastAsia="Arial" w:hAnsi="Arial"/>
                <w:sz w:val="14"/>
                <w:szCs w:val="14"/>
                <w:color w:val="auto"/>
              </w:rPr>
              <w:t>Amortization of debt discount and deferred financing costs</w:t>
            </w:r>
          </w:p>
        </w:tc>
        <w:tc>
          <w:tcPr>
            <w:tcW w:w="20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17,595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12,303</w:t>
            </w:r>
          </w:p>
        </w:tc>
        <w:tc>
          <w:tcPr>
            <w:tcW w:w="0" w:type="dxa"/>
            <w:vAlign w:val="bottom"/>
          </w:tcPr>
          <w:p>
            <w:pPr>
              <w:spacing w:after="0"/>
              <w:rPr>
                <w:sz w:val="1"/>
                <w:szCs w:val="1"/>
                <w:color w:val="auto"/>
              </w:rPr>
            </w:pPr>
          </w:p>
        </w:tc>
      </w:tr>
      <w:tr>
        <w:trPr>
          <w:trHeight w:val="270"/>
        </w:trPr>
        <w:tc>
          <w:tcPr>
            <w:tcW w:w="8760" w:type="dxa"/>
            <w:vAlign w:val="bottom"/>
          </w:tcPr>
          <w:p>
            <w:pPr>
              <w:ind w:left="680"/>
              <w:spacing w:after="0"/>
              <w:rPr>
                <w:sz w:val="20"/>
                <w:szCs w:val="20"/>
                <w:color w:val="auto"/>
              </w:rPr>
            </w:pPr>
            <w:r>
              <w:rPr>
                <w:rFonts w:ascii="Arial" w:cs="Arial" w:eastAsia="Arial" w:hAnsi="Arial"/>
                <w:sz w:val="14"/>
                <w:szCs w:val="14"/>
                <w:color w:val="auto"/>
              </w:rPr>
              <w:t>Accretion of notes receivable discount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(9,150)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(3,788)</w:t>
            </w:r>
          </w:p>
        </w:tc>
        <w:tc>
          <w:tcPr>
            <w:tcW w:w="0" w:type="dxa"/>
            <w:vAlign w:val="bottom"/>
          </w:tcPr>
          <w:p>
            <w:pPr>
              <w:spacing w:after="0"/>
              <w:rPr>
                <w:sz w:val="1"/>
                <w:szCs w:val="1"/>
                <w:color w:val="auto"/>
              </w:rPr>
            </w:pPr>
          </w:p>
        </w:tc>
      </w:tr>
      <w:tr>
        <w:trPr>
          <w:trHeight w:val="270"/>
        </w:trPr>
        <w:tc>
          <w:tcPr>
            <w:tcW w:w="8760" w:type="dxa"/>
            <w:vAlign w:val="bottom"/>
          </w:tcPr>
          <w:p>
            <w:pPr>
              <w:ind w:left="680"/>
              <w:spacing w:after="0"/>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7,978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6,046</w:t>
            </w:r>
          </w:p>
        </w:tc>
        <w:tc>
          <w:tcPr>
            <w:tcW w:w="0" w:type="dxa"/>
            <w:vAlign w:val="bottom"/>
          </w:tcPr>
          <w:p>
            <w:pPr>
              <w:spacing w:after="0"/>
              <w:rPr>
                <w:sz w:val="1"/>
                <w:szCs w:val="1"/>
                <w:color w:val="auto"/>
              </w:rPr>
            </w:pPr>
          </w:p>
        </w:tc>
      </w:tr>
      <w:tr>
        <w:trPr>
          <w:trHeight w:val="270"/>
        </w:trPr>
        <w:tc>
          <w:tcPr>
            <w:tcW w:w="8760" w:type="dxa"/>
            <w:vAlign w:val="bottom"/>
          </w:tcPr>
          <w:p>
            <w:pPr>
              <w:ind w:left="680"/>
              <w:spacing w:after="0"/>
              <w:rPr>
                <w:sz w:val="20"/>
                <w:szCs w:val="20"/>
                <w:color w:val="auto"/>
              </w:rPr>
            </w:pPr>
            <w:r>
              <w:rPr>
                <w:rFonts w:ascii="Arial" w:cs="Arial" w:eastAsia="Arial" w:hAnsi="Arial"/>
                <w:sz w:val="14"/>
                <w:szCs w:val="14"/>
                <w:color w:val="auto"/>
              </w:rPr>
              <w:t>Other adjustments</w:t>
            </w:r>
          </w:p>
        </w:tc>
        <w:tc>
          <w:tcPr>
            <w:tcW w:w="20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2,607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2,364</w:t>
            </w:r>
          </w:p>
        </w:tc>
        <w:tc>
          <w:tcPr>
            <w:tcW w:w="0" w:type="dxa"/>
            <w:vAlign w:val="bottom"/>
          </w:tcPr>
          <w:p>
            <w:pPr>
              <w:spacing w:after="0"/>
              <w:rPr>
                <w:sz w:val="1"/>
                <w:szCs w:val="1"/>
                <w:color w:val="auto"/>
              </w:rPr>
            </w:pPr>
          </w:p>
        </w:tc>
      </w:tr>
      <w:tr>
        <w:trPr>
          <w:trHeight w:val="270"/>
        </w:trPr>
        <w:tc>
          <w:tcPr>
            <w:tcW w:w="8760" w:type="dxa"/>
            <w:vAlign w:val="bottom"/>
          </w:tcPr>
          <w:p>
            <w:pPr>
              <w:ind w:left="680"/>
              <w:spacing w:after="0"/>
              <w:rPr>
                <w:sz w:val="20"/>
                <w:szCs w:val="20"/>
                <w:color w:val="auto"/>
              </w:rPr>
            </w:pPr>
            <w:r>
              <w:rPr>
                <w:rFonts w:ascii="Arial" w:cs="Arial" w:eastAsia="Arial" w:hAnsi="Arial"/>
                <w:sz w:val="14"/>
                <w:szCs w:val="14"/>
                <w:color w:val="auto"/>
              </w:rPr>
              <w:t>Gain on restructured notes receivable</w:t>
            </w: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(3,048)</w:t>
            </w:r>
          </w:p>
        </w:tc>
        <w:tc>
          <w:tcPr>
            <w:tcW w:w="0" w:type="dxa"/>
            <w:vAlign w:val="bottom"/>
          </w:tcPr>
          <w:p>
            <w:pPr>
              <w:spacing w:after="0"/>
              <w:rPr>
                <w:sz w:val="1"/>
                <w:szCs w:val="1"/>
                <w:color w:val="auto"/>
              </w:rPr>
            </w:pPr>
          </w:p>
        </w:tc>
      </w:tr>
      <w:tr>
        <w:trPr>
          <w:trHeight w:val="270"/>
        </w:trPr>
        <w:tc>
          <w:tcPr>
            <w:tcW w:w="8760" w:type="dxa"/>
            <w:vAlign w:val="bottom"/>
          </w:tcPr>
          <w:p>
            <w:pPr>
              <w:ind w:left="680"/>
              <w:spacing w:after="0"/>
              <w:rPr>
                <w:sz w:val="20"/>
                <w:szCs w:val="20"/>
                <w:color w:val="auto"/>
              </w:rPr>
            </w:pPr>
            <w:r>
              <w:rPr>
                <w:rFonts w:ascii="Arial" w:cs="Arial" w:eastAsia="Arial" w:hAnsi="Arial"/>
                <w:sz w:val="14"/>
                <w:szCs w:val="14"/>
                <w:color w:val="auto"/>
              </w:rPr>
              <w:t>Loss on extinguishment of debt and other</w:t>
            </w: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5,250</w:t>
            </w:r>
          </w:p>
        </w:tc>
        <w:tc>
          <w:tcPr>
            <w:tcW w:w="0" w:type="dxa"/>
            <w:vAlign w:val="bottom"/>
          </w:tcPr>
          <w:p>
            <w:pPr>
              <w:spacing w:after="0"/>
              <w:rPr>
                <w:sz w:val="1"/>
                <w:szCs w:val="1"/>
                <w:color w:val="auto"/>
              </w:rPr>
            </w:pPr>
          </w:p>
        </w:tc>
      </w:tr>
      <w:tr>
        <w:trPr>
          <w:trHeight w:val="270"/>
        </w:trPr>
        <w:tc>
          <w:tcPr>
            <w:tcW w:w="8760" w:type="dxa"/>
            <w:vAlign w:val="bottom"/>
          </w:tcPr>
          <w:p>
            <w:pPr>
              <w:ind w:left="680"/>
              <w:spacing w:after="0"/>
              <w:rPr>
                <w:sz w:val="20"/>
                <w:szCs w:val="20"/>
                <w:color w:val="auto"/>
              </w:rPr>
            </w:pPr>
            <w:r>
              <w:rPr>
                <w:rFonts w:ascii="Arial" w:cs="Arial" w:eastAsia="Arial" w:hAnsi="Arial"/>
                <w:sz w:val="14"/>
                <w:szCs w:val="14"/>
                <w:color w:val="auto"/>
              </w:rPr>
              <w:t>Stock compensation expense</w:t>
            </w:r>
          </w:p>
        </w:tc>
        <w:tc>
          <w:tcPr>
            <w:tcW w:w="20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10,784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5,866</w:t>
            </w:r>
          </w:p>
        </w:tc>
        <w:tc>
          <w:tcPr>
            <w:tcW w:w="0" w:type="dxa"/>
            <w:vAlign w:val="bottom"/>
          </w:tcPr>
          <w:p>
            <w:pPr>
              <w:spacing w:after="0"/>
              <w:rPr>
                <w:sz w:val="1"/>
                <w:szCs w:val="1"/>
                <w:color w:val="auto"/>
              </w:rPr>
            </w:pPr>
          </w:p>
        </w:tc>
      </w:tr>
      <w:tr>
        <w:trPr>
          <w:trHeight w:val="270"/>
        </w:trPr>
        <w:tc>
          <w:tcPr>
            <w:tcW w:w="8760" w:type="dxa"/>
            <w:vAlign w:val="bottom"/>
          </w:tcPr>
          <w:p>
            <w:pPr>
              <w:ind w:left="680"/>
              <w:spacing w:after="0"/>
              <w:rPr>
                <w:sz w:val="20"/>
                <w:szCs w:val="20"/>
                <w:color w:val="auto"/>
              </w:rPr>
            </w:pPr>
            <w:r>
              <w:rPr>
                <w:rFonts w:ascii="Arial" w:cs="Arial" w:eastAsia="Arial" w:hAnsi="Arial"/>
                <w:sz w:val="14"/>
                <w:szCs w:val="14"/>
                <w:color w:val="auto"/>
              </w:rPr>
              <w:t>Income from investment in unconsolidated affiliate</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(5,529)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(4,916)</w:t>
            </w:r>
          </w:p>
        </w:tc>
        <w:tc>
          <w:tcPr>
            <w:tcW w:w="0" w:type="dxa"/>
            <w:vAlign w:val="bottom"/>
          </w:tcPr>
          <w:p>
            <w:pPr>
              <w:spacing w:after="0"/>
              <w:rPr>
                <w:sz w:val="1"/>
                <w:szCs w:val="1"/>
                <w:color w:val="auto"/>
              </w:rPr>
            </w:pPr>
          </w:p>
        </w:tc>
      </w:tr>
      <w:tr>
        <w:trPr>
          <w:trHeight w:val="270"/>
        </w:trPr>
        <w:tc>
          <w:tcPr>
            <w:tcW w:w="8760" w:type="dxa"/>
            <w:vAlign w:val="bottom"/>
          </w:tcPr>
          <w:p>
            <w:pPr>
              <w:ind w:left="680"/>
              <w:spacing w:after="0"/>
              <w:rPr>
                <w:sz w:val="20"/>
                <w:szCs w:val="20"/>
                <w:color w:val="auto"/>
              </w:rPr>
            </w:pPr>
            <w:r>
              <w:rPr>
                <w:rFonts w:ascii="Arial" w:cs="Arial" w:eastAsia="Arial" w:hAnsi="Arial"/>
                <w:sz w:val="14"/>
                <w:szCs w:val="14"/>
                <w:color w:val="auto"/>
              </w:rPr>
              <w:t>Impairment of investments in unconsolidated affiliate</w:t>
            </w:r>
          </w:p>
        </w:tc>
        <w:tc>
          <w:tcPr>
            <w:tcW w:w="20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11,712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8760" w:type="dxa"/>
            <w:vAlign w:val="bottom"/>
          </w:tcPr>
          <w:p>
            <w:pPr>
              <w:ind w:left="240"/>
              <w:spacing w:after="0"/>
              <w:rPr>
                <w:sz w:val="20"/>
                <w:szCs w:val="20"/>
                <w:color w:val="auto"/>
              </w:rPr>
            </w:pPr>
            <w:r>
              <w:rPr>
                <w:rFonts w:ascii="Arial" w:cs="Arial" w:eastAsia="Arial" w:hAnsi="Arial"/>
                <w:sz w:val="14"/>
                <w:szCs w:val="14"/>
                <w:color w:val="auto"/>
              </w:rPr>
              <w:t>Changes in operating assets and liabilities:</w:t>
            </w: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760" w:type="dxa"/>
            <w:vAlign w:val="bottom"/>
          </w:tcPr>
          <w:p>
            <w:pPr>
              <w:ind w:left="460"/>
              <w:spacing w:after="0"/>
              <w:rPr>
                <w:sz w:val="20"/>
                <w:szCs w:val="20"/>
                <w:color w:val="auto"/>
              </w:rPr>
            </w:pPr>
            <w:r>
              <w:rPr>
                <w:rFonts w:ascii="Arial" w:cs="Arial" w:eastAsia="Arial" w:hAnsi="Arial"/>
                <w:sz w:val="14"/>
                <w:szCs w:val="14"/>
                <w:color w:val="auto"/>
              </w:rPr>
              <w:t>Service charges and fees receivable</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(3,153)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270"/>
        </w:trPr>
        <w:tc>
          <w:tcPr>
            <w:tcW w:w="8760" w:type="dxa"/>
            <w:vAlign w:val="bottom"/>
          </w:tcPr>
          <w:p>
            <w:pPr>
              <w:ind w:left="460"/>
              <w:spacing w:after="0"/>
              <w:rPr>
                <w:sz w:val="20"/>
                <w:szCs w:val="20"/>
                <w:color w:val="auto"/>
              </w:rPr>
            </w:pPr>
            <w:r>
              <w:rPr>
                <w:rFonts w:ascii="Arial" w:cs="Arial" w:eastAsia="Arial" w:hAnsi="Arial"/>
                <w:sz w:val="14"/>
                <w:szCs w:val="14"/>
                <w:color w:val="auto"/>
              </w:rPr>
              <w:t>Inventory</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(1,074)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721</w:t>
            </w:r>
          </w:p>
        </w:tc>
        <w:tc>
          <w:tcPr>
            <w:tcW w:w="0" w:type="dxa"/>
            <w:vAlign w:val="bottom"/>
          </w:tcPr>
          <w:p>
            <w:pPr>
              <w:spacing w:after="0"/>
              <w:rPr>
                <w:sz w:val="1"/>
                <w:szCs w:val="1"/>
                <w:color w:val="auto"/>
              </w:rPr>
            </w:pPr>
          </w:p>
        </w:tc>
      </w:tr>
      <w:tr>
        <w:trPr>
          <w:trHeight w:val="270"/>
        </w:trPr>
        <w:tc>
          <w:tcPr>
            <w:tcW w:w="8760" w:type="dxa"/>
            <w:vAlign w:val="bottom"/>
          </w:tcPr>
          <w:p>
            <w:pPr>
              <w:ind w:left="460"/>
              <w:spacing w:after="0"/>
              <w:rPr>
                <w:sz w:val="20"/>
                <w:szCs w:val="20"/>
                <w:color w:val="auto"/>
              </w:rPr>
            </w:pPr>
            <w:r>
              <w:rPr>
                <w:rFonts w:ascii="Arial" w:cs="Arial" w:eastAsia="Arial" w:hAnsi="Arial"/>
                <w:sz w:val="14"/>
                <w:szCs w:val="14"/>
                <w:color w:val="auto"/>
              </w:rPr>
              <w:t>Prepaid expenses, other current assets and other assets</w:t>
            </w:r>
          </w:p>
        </w:tc>
        <w:tc>
          <w:tcPr>
            <w:tcW w:w="20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11,314</w:t>
            </w:r>
          </w:p>
        </w:tc>
        <w:tc>
          <w:tcPr>
            <w:tcW w:w="0" w:type="dxa"/>
            <w:vAlign w:val="bottom"/>
          </w:tcPr>
          <w:p>
            <w:pPr>
              <w:spacing w:after="0"/>
              <w:rPr>
                <w:sz w:val="1"/>
                <w:szCs w:val="1"/>
                <w:color w:val="auto"/>
              </w:rPr>
            </w:pPr>
          </w:p>
        </w:tc>
      </w:tr>
      <w:tr>
        <w:trPr>
          <w:trHeight w:val="270"/>
        </w:trPr>
        <w:tc>
          <w:tcPr>
            <w:tcW w:w="8760" w:type="dxa"/>
            <w:vAlign w:val="bottom"/>
          </w:tcPr>
          <w:p>
            <w:pPr>
              <w:ind w:left="460"/>
              <w:spacing w:after="0"/>
              <w:rPr>
                <w:sz w:val="20"/>
                <w:szCs w:val="20"/>
                <w:color w:val="auto"/>
              </w:rPr>
            </w:pPr>
            <w:r>
              <w:rPr>
                <w:rFonts w:ascii="Arial" w:cs="Arial" w:eastAsia="Arial" w:hAnsi="Arial"/>
                <w:sz w:val="14"/>
                <w:szCs w:val="14"/>
                <w:color w:val="auto"/>
              </w:rPr>
              <w:t>Accounts payable, accrued expenses and other liabilities</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(3,902)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(31,041)</w:t>
            </w:r>
          </w:p>
        </w:tc>
        <w:tc>
          <w:tcPr>
            <w:tcW w:w="0" w:type="dxa"/>
            <w:vAlign w:val="bottom"/>
          </w:tcPr>
          <w:p>
            <w:pPr>
              <w:spacing w:after="0"/>
              <w:rPr>
                <w:sz w:val="1"/>
                <w:szCs w:val="1"/>
                <w:color w:val="auto"/>
              </w:rPr>
            </w:pPr>
          </w:p>
        </w:tc>
      </w:tr>
      <w:tr>
        <w:trPr>
          <w:trHeight w:val="270"/>
        </w:trPr>
        <w:tc>
          <w:tcPr>
            <w:tcW w:w="8760" w:type="dxa"/>
            <w:vAlign w:val="bottom"/>
          </w:tcPr>
          <w:p>
            <w:pPr>
              <w:ind w:left="460"/>
              <w:spacing w:after="0"/>
              <w:rPr>
                <w:sz w:val="20"/>
                <w:szCs w:val="20"/>
                <w:color w:val="auto"/>
              </w:rPr>
            </w:pPr>
            <w:r>
              <w:rPr>
                <w:rFonts w:ascii="Arial" w:cs="Arial" w:eastAsia="Arial" w:hAnsi="Arial"/>
                <w:sz w:val="14"/>
                <w:szCs w:val="14"/>
                <w:color w:val="auto"/>
              </w:rPr>
              <w:t>Customer layaway deposits</w:t>
            </w:r>
          </w:p>
        </w:tc>
        <w:tc>
          <w:tcPr>
            <w:tcW w:w="20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709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276"/>
        </w:trPr>
        <w:tc>
          <w:tcPr>
            <w:tcW w:w="8760" w:type="dxa"/>
            <w:vAlign w:val="bottom"/>
          </w:tcPr>
          <w:p>
            <w:pPr>
              <w:ind w:left="460"/>
              <w:spacing w:after="0"/>
              <w:rPr>
                <w:sz w:val="20"/>
                <w:szCs w:val="20"/>
                <w:color w:val="auto"/>
              </w:rPr>
            </w:pPr>
            <w:r>
              <w:rPr>
                <w:rFonts w:ascii="Arial" w:cs="Arial" w:eastAsia="Arial" w:hAnsi="Arial"/>
                <w:sz w:val="14"/>
                <w:szCs w:val="14"/>
                <w:color w:val="auto"/>
              </w:rPr>
              <w:t>Income taxes, net of excess tax benefit from stock compensation</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(3,622)</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3,027</w:t>
            </w:r>
          </w:p>
        </w:tc>
        <w:tc>
          <w:tcPr>
            <w:tcW w:w="0" w:type="dxa"/>
            <w:vAlign w:val="bottom"/>
          </w:tcPr>
          <w:p>
            <w:pPr>
              <w:spacing w:after="0"/>
              <w:rPr>
                <w:sz w:val="1"/>
                <w:szCs w:val="1"/>
                <w:color w:val="auto"/>
              </w:rPr>
            </w:pPr>
          </w:p>
        </w:tc>
      </w:tr>
      <w:tr>
        <w:trPr>
          <w:trHeight w:val="244"/>
        </w:trPr>
        <w:tc>
          <w:tcPr>
            <w:tcW w:w="8760" w:type="dxa"/>
            <w:vAlign w:val="bottom"/>
          </w:tcPr>
          <w:p>
            <w:pPr>
              <w:ind w:left="780"/>
              <w:spacing w:after="0"/>
              <w:rPr>
                <w:sz w:val="20"/>
                <w:szCs w:val="20"/>
                <w:color w:val="auto"/>
              </w:rPr>
            </w:pPr>
            <w:r>
              <w:rPr>
                <w:rFonts w:ascii="Arial" w:cs="Arial" w:eastAsia="Arial" w:hAnsi="Arial"/>
                <w:sz w:val="14"/>
                <w:szCs w:val="14"/>
                <w:color w:val="auto"/>
              </w:rPr>
              <w:t>Net cash provided by operating activities</w:t>
            </w:r>
          </w:p>
        </w:tc>
        <w:tc>
          <w:tcPr>
            <w:tcW w:w="20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88,724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57,984</w:t>
            </w:r>
          </w:p>
        </w:tc>
        <w:tc>
          <w:tcPr>
            <w:tcW w:w="0" w:type="dxa"/>
            <w:vAlign w:val="bottom"/>
          </w:tcPr>
          <w:p>
            <w:pPr>
              <w:spacing w:after="0"/>
              <w:rPr>
                <w:sz w:val="1"/>
                <w:szCs w:val="1"/>
                <w:color w:val="auto"/>
              </w:rPr>
            </w:pPr>
          </w:p>
        </w:tc>
      </w:tr>
      <w:tr>
        <w:trPr>
          <w:trHeight w:val="270"/>
        </w:trPr>
        <w:tc>
          <w:tcPr>
            <w:tcW w:w="8760" w:type="dxa"/>
            <w:vAlign w:val="bottom"/>
          </w:tcPr>
          <w:p>
            <w:pPr>
              <w:spacing w:after="0"/>
              <w:rPr>
                <w:sz w:val="20"/>
                <w:szCs w:val="20"/>
                <w:color w:val="auto"/>
              </w:rPr>
            </w:pPr>
            <w:r>
              <w:rPr>
                <w:rFonts w:ascii="Arial" w:cs="Arial" w:eastAsia="Arial" w:hAnsi="Arial"/>
                <w:sz w:val="14"/>
                <w:szCs w:val="14"/>
                <w:color w:val="auto"/>
              </w:rPr>
              <w:t>Investing activities:</w:t>
            </w: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760" w:type="dxa"/>
            <w:vAlign w:val="bottom"/>
          </w:tcPr>
          <w:p>
            <w:pPr>
              <w:ind w:left="240"/>
              <w:spacing w:after="0"/>
              <w:rPr>
                <w:sz w:val="20"/>
                <w:szCs w:val="20"/>
                <w:color w:val="auto"/>
              </w:rPr>
            </w:pPr>
            <w:r>
              <w:rPr>
                <w:rFonts w:ascii="Arial" w:cs="Arial" w:eastAsia="Arial" w:hAnsi="Arial"/>
                <w:sz w:val="14"/>
                <w:szCs w:val="14"/>
                <w:color w:val="auto"/>
              </w:rPr>
              <w:t>Loans made</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(707,220)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(646,625)</w:t>
            </w:r>
          </w:p>
        </w:tc>
        <w:tc>
          <w:tcPr>
            <w:tcW w:w="0" w:type="dxa"/>
            <w:vAlign w:val="bottom"/>
          </w:tcPr>
          <w:p>
            <w:pPr>
              <w:spacing w:after="0"/>
              <w:rPr>
                <w:sz w:val="1"/>
                <w:szCs w:val="1"/>
                <w:color w:val="auto"/>
              </w:rPr>
            </w:pPr>
          </w:p>
        </w:tc>
      </w:tr>
      <w:tr>
        <w:trPr>
          <w:trHeight w:val="270"/>
        </w:trPr>
        <w:tc>
          <w:tcPr>
            <w:tcW w:w="8760" w:type="dxa"/>
            <w:vAlign w:val="bottom"/>
          </w:tcPr>
          <w:p>
            <w:pPr>
              <w:ind w:left="240"/>
              <w:spacing w:after="0"/>
              <w:rPr>
                <w:sz w:val="20"/>
                <w:szCs w:val="20"/>
                <w:color w:val="auto"/>
              </w:rPr>
            </w:pPr>
            <w:r>
              <w:rPr>
                <w:rFonts w:ascii="Arial" w:cs="Arial" w:eastAsia="Arial" w:hAnsi="Arial"/>
                <w:sz w:val="14"/>
                <w:szCs w:val="14"/>
                <w:color w:val="auto"/>
              </w:rPr>
              <w:t>Loans repaid</w:t>
            </w:r>
          </w:p>
        </w:tc>
        <w:tc>
          <w:tcPr>
            <w:tcW w:w="20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421,331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386,383</w:t>
            </w:r>
          </w:p>
        </w:tc>
        <w:tc>
          <w:tcPr>
            <w:tcW w:w="0" w:type="dxa"/>
            <w:vAlign w:val="bottom"/>
          </w:tcPr>
          <w:p>
            <w:pPr>
              <w:spacing w:after="0"/>
              <w:rPr>
                <w:sz w:val="1"/>
                <w:szCs w:val="1"/>
                <w:color w:val="auto"/>
              </w:rPr>
            </w:pPr>
          </w:p>
        </w:tc>
      </w:tr>
      <w:tr>
        <w:trPr>
          <w:trHeight w:val="270"/>
        </w:trPr>
        <w:tc>
          <w:tcPr>
            <w:tcW w:w="8760" w:type="dxa"/>
            <w:vAlign w:val="bottom"/>
          </w:tcPr>
          <w:p>
            <w:pPr>
              <w:ind w:left="240"/>
              <w:spacing w:after="0"/>
              <w:rPr>
                <w:sz w:val="20"/>
                <w:szCs w:val="20"/>
                <w:color w:val="auto"/>
              </w:rPr>
            </w:pPr>
            <w:r>
              <w:rPr>
                <w:rFonts w:ascii="Arial" w:cs="Arial" w:eastAsia="Arial" w:hAnsi="Arial"/>
                <w:sz w:val="14"/>
                <w:szCs w:val="14"/>
                <w:color w:val="auto"/>
              </w:rPr>
              <w:t>Recovery of pawn loan principal through sale of forfeited collateral</w:t>
            </w:r>
          </w:p>
        </w:tc>
        <w:tc>
          <w:tcPr>
            <w:tcW w:w="20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266,962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244,632</w:t>
            </w:r>
          </w:p>
        </w:tc>
        <w:tc>
          <w:tcPr>
            <w:tcW w:w="0" w:type="dxa"/>
            <w:vAlign w:val="bottom"/>
          </w:tcPr>
          <w:p>
            <w:pPr>
              <w:spacing w:after="0"/>
              <w:rPr>
                <w:sz w:val="1"/>
                <w:szCs w:val="1"/>
                <w:color w:val="auto"/>
              </w:rPr>
            </w:pPr>
          </w:p>
        </w:tc>
      </w:tr>
      <w:tr>
        <w:trPr>
          <w:trHeight w:val="270"/>
        </w:trPr>
        <w:tc>
          <w:tcPr>
            <w:tcW w:w="8760" w:type="dxa"/>
            <w:vAlign w:val="bottom"/>
          </w:tcPr>
          <w:p>
            <w:pPr>
              <w:ind w:left="240"/>
              <w:spacing w:after="0"/>
              <w:rPr>
                <w:sz w:val="20"/>
                <w:szCs w:val="20"/>
                <w:color w:val="auto"/>
              </w:rPr>
            </w:pPr>
            <w:r>
              <w:rPr>
                <w:rFonts w:ascii="Arial" w:cs="Arial" w:eastAsia="Arial" w:hAnsi="Arial"/>
                <w:sz w:val="14"/>
                <w:szCs w:val="14"/>
                <w:color w:val="auto"/>
              </w:rPr>
              <w:t>Additions to property and equipment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(40,474)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(25,001)</w:t>
            </w:r>
          </w:p>
        </w:tc>
        <w:tc>
          <w:tcPr>
            <w:tcW w:w="0" w:type="dxa"/>
            <w:vAlign w:val="bottom"/>
          </w:tcPr>
          <w:p>
            <w:pPr>
              <w:spacing w:after="0"/>
              <w:rPr>
                <w:sz w:val="1"/>
                <w:szCs w:val="1"/>
                <w:color w:val="auto"/>
              </w:rPr>
            </w:pPr>
          </w:p>
        </w:tc>
      </w:tr>
      <w:tr>
        <w:trPr>
          <w:trHeight w:val="270"/>
        </w:trPr>
        <w:tc>
          <w:tcPr>
            <w:tcW w:w="8760" w:type="dxa"/>
            <w:vAlign w:val="bottom"/>
          </w:tcPr>
          <w:p>
            <w:pPr>
              <w:ind w:left="240"/>
              <w:spacing w:after="0"/>
              <w:rPr>
                <w:sz w:val="20"/>
                <w:szCs w:val="20"/>
                <w:color w:val="auto"/>
              </w:rPr>
            </w:pPr>
            <w:r>
              <w:rPr>
                <w:rFonts w:ascii="Arial" w:cs="Arial" w:eastAsia="Arial" w:hAnsi="Arial"/>
                <w:sz w:val="14"/>
                <w:szCs w:val="14"/>
                <w:color w:val="auto"/>
              </w:rPr>
              <w:t>Acquisitions, net of cash acquired</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(93,165)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(2,250)</w:t>
            </w:r>
          </w:p>
        </w:tc>
        <w:tc>
          <w:tcPr>
            <w:tcW w:w="0" w:type="dxa"/>
            <w:vAlign w:val="bottom"/>
          </w:tcPr>
          <w:p>
            <w:pPr>
              <w:spacing w:after="0"/>
              <w:rPr>
                <w:sz w:val="1"/>
                <w:szCs w:val="1"/>
                <w:color w:val="auto"/>
              </w:rPr>
            </w:pPr>
          </w:p>
        </w:tc>
      </w:tr>
      <w:tr>
        <w:trPr>
          <w:trHeight w:val="270"/>
        </w:trPr>
        <w:tc>
          <w:tcPr>
            <w:tcW w:w="8760" w:type="dxa"/>
            <w:vAlign w:val="bottom"/>
          </w:tcPr>
          <w:p>
            <w:pPr>
              <w:ind w:left="240"/>
              <w:spacing w:after="0"/>
              <w:rPr>
                <w:sz w:val="20"/>
                <w:szCs w:val="20"/>
                <w:color w:val="auto"/>
              </w:rPr>
            </w:pPr>
            <w:r>
              <w:rPr>
                <w:rFonts w:ascii="Arial" w:cs="Arial" w:eastAsia="Arial" w:hAnsi="Arial"/>
                <w:sz w:val="14"/>
                <w:szCs w:val="14"/>
                <w:color w:val="auto"/>
              </w:rPr>
              <w:t>Investment in unconsolidated affiliate</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(14,036)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760" w:type="dxa"/>
            <w:vAlign w:val="bottom"/>
          </w:tcPr>
          <w:p>
            <w:pPr>
              <w:ind w:left="240"/>
              <w:spacing w:after="0"/>
              <w:rPr>
                <w:sz w:val="20"/>
                <w:szCs w:val="20"/>
                <w:color w:val="auto"/>
              </w:rPr>
            </w:pPr>
            <w:r>
              <w:rPr>
                <w:rFonts w:ascii="Arial" w:cs="Arial" w:eastAsia="Arial" w:hAnsi="Arial"/>
                <w:sz w:val="14"/>
                <w:szCs w:val="14"/>
                <w:color w:val="auto"/>
              </w:rPr>
              <w:t>Principal collections on notes receivable</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32,396</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29,458</w:t>
            </w:r>
          </w:p>
        </w:tc>
        <w:tc>
          <w:tcPr>
            <w:tcW w:w="0" w:type="dxa"/>
            <w:vAlign w:val="bottom"/>
          </w:tcPr>
          <w:p>
            <w:pPr>
              <w:spacing w:after="0"/>
              <w:rPr>
                <w:sz w:val="1"/>
                <w:szCs w:val="1"/>
                <w:color w:val="auto"/>
              </w:rPr>
            </w:pPr>
          </w:p>
        </w:tc>
      </w:tr>
      <w:tr>
        <w:trPr>
          <w:trHeight w:val="244"/>
        </w:trPr>
        <w:tc>
          <w:tcPr>
            <w:tcW w:w="8760" w:type="dxa"/>
            <w:vAlign w:val="bottom"/>
          </w:tcPr>
          <w:p>
            <w:pPr>
              <w:ind w:left="780"/>
              <w:spacing w:after="0"/>
              <w:rPr>
                <w:sz w:val="20"/>
                <w:szCs w:val="20"/>
                <w:color w:val="auto"/>
              </w:rPr>
            </w:pPr>
            <w:r>
              <w:rPr>
                <w:rFonts w:ascii="Arial" w:cs="Arial" w:eastAsia="Arial" w:hAnsi="Arial"/>
                <w:sz w:val="14"/>
                <w:szCs w:val="14"/>
                <w:color w:val="auto"/>
              </w:rPr>
              <w:t>Net cash used in investing activities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(134,206)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(13,403)</w:t>
            </w:r>
          </w:p>
        </w:tc>
        <w:tc>
          <w:tcPr>
            <w:tcW w:w="0" w:type="dxa"/>
            <w:vAlign w:val="bottom"/>
          </w:tcPr>
          <w:p>
            <w:pPr>
              <w:spacing w:after="0"/>
              <w:rPr>
                <w:sz w:val="1"/>
                <w:szCs w:val="1"/>
                <w:color w:val="auto"/>
              </w:rPr>
            </w:pPr>
          </w:p>
        </w:tc>
      </w:tr>
      <w:tr>
        <w:trPr>
          <w:trHeight w:val="270"/>
        </w:trPr>
        <w:tc>
          <w:tcPr>
            <w:tcW w:w="8760" w:type="dxa"/>
            <w:vAlign w:val="bottom"/>
          </w:tcPr>
          <w:p>
            <w:pPr>
              <w:spacing w:after="0"/>
              <w:rPr>
                <w:sz w:val="20"/>
                <w:szCs w:val="20"/>
                <w:color w:val="auto"/>
              </w:rPr>
            </w:pPr>
            <w:r>
              <w:rPr>
                <w:rFonts w:ascii="Arial" w:cs="Arial" w:eastAsia="Arial" w:hAnsi="Arial"/>
                <w:sz w:val="14"/>
                <w:szCs w:val="14"/>
                <w:color w:val="auto"/>
              </w:rPr>
              <w:t>Financing activities:</w:t>
            </w: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760" w:type="dxa"/>
            <w:vAlign w:val="bottom"/>
          </w:tcPr>
          <w:p>
            <w:pPr>
              <w:ind w:left="240"/>
              <w:spacing w:after="0"/>
              <w:rPr>
                <w:sz w:val="20"/>
                <w:szCs w:val="20"/>
                <w:color w:val="auto"/>
              </w:rPr>
            </w:pPr>
            <w:r>
              <w:rPr>
                <w:rFonts w:ascii="Arial" w:cs="Arial" w:eastAsia="Arial" w:hAnsi="Arial"/>
                <w:sz w:val="14"/>
                <w:szCs w:val="14"/>
                <w:color w:val="auto"/>
              </w:rPr>
              <w:t>Taxes paid related to net share settlement of equity awards</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(767)</w:t>
            </w:r>
          </w:p>
        </w:tc>
        <w:tc>
          <w:tcPr>
            <w:tcW w:w="0" w:type="dxa"/>
            <w:vAlign w:val="bottom"/>
          </w:tcPr>
          <w:p>
            <w:pPr>
              <w:spacing w:after="0"/>
              <w:rPr>
                <w:sz w:val="1"/>
                <w:szCs w:val="1"/>
                <w:color w:val="auto"/>
              </w:rPr>
            </w:pPr>
          </w:p>
        </w:tc>
      </w:tr>
      <w:tr>
        <w:trPr>
          <w:trHeight w:val="270"/>
        </w:trPr>
        <w:tc>
          <w:tcPr>
            <w:tcW w:w="8760" w:type="dxa"/>
            <w:vAlign w:val="bottom"/>
          </w:tcPr>
          <w:p>
            <w:pPr>
              <w:ind w:left="240"/>
              <w:spacing w:after="0"/>
              <w:rPr>
                <w:sz w:val="20"/>
                <w:szCs w:val="20"/>
                <w:color w:val="auto"/>
              </w:rPr>
            </w:pPr>
            <w:r>
              <w:rPr>
                <w:rFonts w:ascii="Arial" w:cs="Arial" w:eastAsia="Arial" w:hAnsi="Arial"/>
                <w:sz w:val="14"/>
                <w:szCs w:val="14"/>
                <w:color w:val="auto"/>
              </w:rPr>
              <w:t>Proceeds from borrowings, net of issuance costs</w:t>
            </w:r>
          </w:p>
        </w:tc>
        <w:tc>
          <w:tcPr>
            <w:tcW w:w="20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171,409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139,506</w:t>
            </w:r>
          </w:p>
        </w:tc>
        <w:tc>
          <w:tcPr>
            <w:tcW w:w="0" w:type="dxa"/>
            <w:vAlign w:val="bottom"/>
          </w:tcPr>
          <w:p>
            <w:pPr>
              <w:spacing w:after="0"/>
              <w:rPr>
                <w:sz w:val="1"/>
                <w:szCs w:val="1"/>
                <w:color w:val="auto"/>
              </w:rPr>
            </w:pPr>
          </w:p>
        </w:tc>
      </w:tr>
      <w:tr>
        <w:trPr>
          <w:trHeight w:val="276"/>
        </w:trPr>
        <w:tc>
          <w:tcPr>
            <w:tcW w:w="8760" w:type="dxa"/>
            <w:vAlign w:val="bottom"/>
          </w:tcPr>
          <w:p>
            <w:pPr>
              <w:ind w:left="240"/>
              <w:spacing w:after="0"/>
              <w:rPr>
                <w:sz w:val="20"/>
                <w:szCs w:val="20"/>
                <w:color w:val="auto"/>
              </w:rPr>
            </w:pPr>
            <w:r>
              <w:rPr>
                <w:rFonts w:ascii="Arial" w:cs="Arial" w:eastAsia="Arial" w:hAnsi="Arial"/>
                <w:sz w:val="14"/>
                <w:szCs w:val="14"/>
                <w:color w:val="auto"/>
              </w:rPr>
              <w:t>Payments on borrowings</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(3,510)</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(85,388)</w:t>
            </w:r>
          </w:p>
        </w:tc>
        <w:tc>
          <w:tcPr>
            <w:tcW w:w="0" w:type="dxa"/>
            <w:vAlign w:val="bottom"/>
          </w:tcPr>
          <w:p>
            <w:pPr>
              <w:spacing w:after="0"/>
              <w:rPr>
                <w:sz w:val="1"/>
                <w:szCs w:val="1"/>
                <w:color w:val="auto"/>
              </w:rPr>
            </w:pPr>
          </w:p>
        </w:tc>
      </w:tr>
      <w:tr>
        <w:trPr>
          <w:trHeight w:val="244"/>
        </w:trPr>
        <w:tc>
          <w:tcPr>
            <w:tcW w:w="8760" w:type="dxa"/>
            <w:vAlign w:val="bottom"/>
          </w:tcPr>
          <w:p>
            <w:pPr>
              <w:ind w:left="780"/>
              <w:spacing w:after="0"/>
              <w:rPr>
                <w:sz w:val="20"/>
                <w:szCs w:val="20"/>
                <w:color w:val="auto"/>
              </w:rPr>
            </w:pPr>
            <w:r>
              <w:rPr>
                <w:rFonts w:ascii="Arial" w:cs="Arial" w:eastAsia="Arial" w:hAnsi="Arial"/>
                <w:sz w:val="14"/>
                <w:szCs w:val="14"/>
                <w:color w:val="auto"/>
              </w:rPr>
              <w:t>Net cash provided by financing activities</w:t>
            </w:r>
          </w:p>
        </w:tc>
        <w:tc>
          <w:tcPr>
            <w:tcW w:w="20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167,588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53,351</w:t>
            </w:r>
          </w:p>
        </w:tc>
        <w:tc>
          <w:tcPr>
            <w:tcW w:w="0" w:type="dxa"/>
            <w:vAlign w:val="bottom"/>
          </w:tcPr>
          <w:p>
            <w:pPr>
              <w:spacing w:after="0"/>
              <w:rPr>
                <w:sz w:val="1"/>
                <w:szCs w:val="1"/>
                <w:color w:val="auto"/>
              </w:rPr>
            </w:pPr>
          </w:p>
        </w:tc>
      </w:tr>
      <w:tr>
        <w:trPr>
          <w:trHeight w:val="276"/>
        </w:trPr>
        <w:tc>
          <w:tcPr>
            <w:tcW w:w="876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724</w:t>
            </w:r>
          </w:p>
        </w:tc>
        <w:tc>
          <w:tcPr>
            <w:tcW w:w="0" w:type="dxa"/>
            <w:vAlign w:val="bottom"/>
          </w:tcPr>
          <w:p>
            <w:pPr>
              <w:spacing w:after="0"/>
              <w:rPr>
                <w:sz w:val="1"/>
                <w:szCs w:val="1"/>
                <w:color w:val="auto"/>
              </w:rPr>
            </w:pPr>
          </w:p>
        </w:tc>
      </w:tr>
      <w:tr>
        <w:trPr>
          <w:trHeight w:val="244"/>
        </w:trPr>
        <w:tc>
          <w:tcPr>
            <w:tcW w:w="8760" w:type="dxa"/>
            <w:vAlign w:val="bottom"/>
          </w:tcPr>
          <w:p>
            <w:pPr>
              <w:spacing w:after="0"/>
              <w:rPr>
                <w:sz w:val="20"/>
                <w:szCs w:val="20"/>
                <w:color w:val="auto"/>
              </w:rPr>
            </w:pPr>
            <w:r>
              <w:rPr>
                <w:rFonts w:ascii="Arial" w:cs="Arial" w:eastAsia="Arial" w:hAnsi="Arial"/>
                <w:sz w:val="14"/>
                <w:szCs w:val="14"/>
                <w:color w:val="auto"/>
              </w:rPr>
              <w:t>Net increase in cash and cash equivalents</w:t>
            </w:r>
          </w:p>
        </w:tc>
        <w:tc>
          <w:tcPr>
            <w:tcW w:w="20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121,622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98,656</w:t>
            </w:r>
          </w:p>
        </w:tc>
        <w:tc>
          <w:tcPr>
            <w:tcW w:w="0" w:type="dxa"/>
            <w:vAlign w:val="bottom"/>
          </w:tcPr>
          <w:p>
            <w:pPr>
              <w:spacing w:after="0"/>
              <w:rPr>
                <w:sz w:val="1"/>
                <w:szCs w:val="1"/>
                <w:color w:val="auto"/>
              </w:rPr>
            </w:pPr>
          </w:p>
        </w:tc>
      </w:tr>
      <w:tr>
        <w:trPr>
          <w:trHeight w:val="276"/>
        </w:trPr>
        <w:tc>
          <w:tcPr>
            <w:tcW w:w="8760" w:type="dxa"/>
            <w:vAlign w:val="bottom"/>
          </w:tcPr>
          <w:p>
            <w:pPr>
              <w:spacing w:after="0"/>
              <w:rPr>
                <w:sz w:val="20"/>
                <w:szCs w:val="20"/>
                <w:color w:val="auto"/>
              </w:rPr>
            </w:pPr>
            <w:r>
              <w:rPr>
                <w:rFonts w:ascii="Arial" w:cs="Arial" w:eastAsia="Arial" w:hAnsi="Arial"/>
                <w:sz w:val="14"/>
                <w:szCs w:val="14"/>
                <w:color w:val="auto"/>
              </w:rPr>
              <w:t>Cash and cash equivalents at beginning of period</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164,393</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65,737</w:t>
            </w:r>
          </w:p>
        </w:tc>
        <w:tc>
          <w:tcPr>
            <w:tcW w:w="0" w:type="dxa"/>
            <w:vAlign w:val="bottom"/>
          </w:tcPr>
          <w:p>
            <w:pPr>
              <w:spacing w:after="0"/>
              <w:rPr>
                <w:sz w:val="1"/>
                <w:szCs w:val="1"/>
                <w:color w:val="auto"/>
              </w:rPr>
            </w:pPr>
          </w:p>
        </w:tc>
      </w:tr>
      <w:tr>
        <w:trPr>
          <w:trHeight w:val="243"/>
        </w:trPr>
        <w:tc>
          <w:tcPr>
            <w:tcW w:w="8760" w:type="dxa"/>
            <w:vAlign w:val="bottom"/>
          </w:tcPr>
          <w:p>
            <w:pPr>
              <w:spacing w:after="0"/>
              <w:rPr>
                <w:sz w:val="20"/>
                <w:szCs w:val="20"/>
                <w:color w:val="auto"/>
              </w:rPr>
            </w:pPr>
            <w:r>
              <w:rPr>
                <w:rFonts w:ascii="Arial" w:cs="Arial" w:eastAsia="Arial" w:hAnsi="Arial"/>
                <w:sz w:val="14"/>
                <w:szCs w:val="14"/>
                <w:color w:val="auto"/>
              </w:rPr>
              <w:t>Cash and cash equivalents at end of period</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286,015</w:t>
            </w:r>
          </w:p>
        </w:tc>
        <w:tc>
          <w:tcPr>
            <w:tcW w:w="120" w:type="dxa"/>
            <w:vAlign w:val="bottom"/>
          </w:tcPr>
          <w:p>
            <w:pPr>
              <w:spacing w:after="0"/>
              <w:rPr>
                <w:sz w:val="21"/>
                <w:szCs w:val="21"/>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164,393</w:t>
            </w:r>
          </w:p>
        </w:tc>
        <w:tc>
          <w:tcPr>
            <w:tcW w:w="0" w:type="dxa"/>
            <w:vAlign w:val="bottom"/>
          </w:tcPr>
          <w:p>
            <w:pPr>
              <w:spacing w:after="0"/>
              <w:rPr>
                <w:sz w:val="1"/>
                <w:szCs w:val="1"/>
                <w:color w:val="auto"/>
              </w:rPr>
            </w:pPr>
          </w:p>
        </w:tc>
      </w:tr>
      <w:tr>
        <w:trPr>
          <w:trHeight w:val="20"/>
        </w:trPr>
        <w:tc>
          <w:tcPr>
            <w:tcW w:w="8760" w:type="dxa"/>
            <w:vAlign w:val="bottom"/>
            <w:vMerge w:val="restart"/>
          </w:tcPr>
          <w:p>
            <w:pPr>
              <w:spacing w:after="0"/>
              <w:rPr>
                <w:sz w:val="20"/>
                <w:szCs w:val="20"/>
                <w:color w:val="auto"/>
              </w:rPr>
            </w:pPr>
            <w:r>
              <w:rPr>
                <w:rFonts w:ascii="Arial" w:cs="Arial" w:eastAsia="Arial" w:hAnsi="Arial"/>
                <w:sz w:val="14"/>
                <w:szCs w:val="14"/>
                <w:color w:val="auto"/>
              </w:rPr>
              <w:t>Non-cash investing and financing activities:</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87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760" w:type="dxa"/>
            <w:vAlign w:val="bottom"/>
          </w:tcPr>
          <w:p>
            <w:pPr>
              <w:ind w:left="240"/>
              <w:spacing w:after="0"/>
              <w:rPr>
                <w:sz w:val="20"/>
                <w:szCs w:val="20"/>
                <w:color w:val="auto"/>
              </w:rPr>
            </w:pPr>
            <w:r>
              <w:rPr>
                <w:rFonts w:ascii="Arial" w:cs="Arial" w:eastAsia="Arial" w:hAnsi="Arial"/>
                <w:sz w:val="14"/>
                <w:szCs w:val="14"/>
                <w:color w:val="auto"/>
              </w:rPr>
              <w:t>Pawn loans forfeited and transferred to inventory</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274,590</w:t>
            </w:r>
          </w:p>
        </w:tc>
        <w:tc>
          <w:tcPr>
            <w:tcW w:w="12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257,388</w:t>
            </w:r>
          </w:p>
        </w:tc>
        <w:tc>
          <w:tcPr>
            <w:tcW w:w="0" w:type="dxa"/>
            <w:vAlign w:val="bottom"/>
          </w:tcPr>
          <w:p>
            <w:pPr>
              <w:spacing w:after="0"/>
              <w:rPr>
                <w:sz w:val="1"/>
                <w:szCs w:val="1"/>
                <w:color w:val="auto"/>
              </w:rPr>
            </w:pPr>
          </w:p>
        </w:tc>
      </w:tr>
    </w:tbl>
    <w:p>
      <w:pPr>
        <w:sectPr>
          <w:pgSz w:w="11900" w:h="16838" w:orient="portrait"/>
          <w:cols w:equalWidth="0" w:num="1">
            <w:col w:w="11380"/>
          </w:cols>
          <w:pgMar w:left="280" w:top="936" w:right="2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6"/>
          <w:szCs w:val="16"/>
          <w:b w:val="1"/>
          <w:bCs w:val="1"/>
          <w:color w:val="auto"/>
        </w:rPr>
        <w:t>EZCORP, Inc.</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OPERATING SEGMENT RESULTS (UNAUDITED)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3"/>
              </w:rPr>
              <w:t>Three Months Ended September 30, 2018</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rPr>
              <w:t>Latin</w:t>
            </w:r>
          </w:p>
        </w:tc>
        <w:tc>
          <w:tcPr>
            <w:tcW w:w="140" w:type="dxa"/>
            <w:vAlign w:val="bottom"/>
          </w:tcPr>
          <w:p>
            <w:pPr>
              <w:spacing w:after="0"/>
              <w:rPr>
                <w:sz w:val="13"/>
                <w:szCs w:val="13"/>
                <w:color w:val="auto"/>
              </w:rPr>
            </w:pPr>
          </w:p>
        </w:tc>
        <w:tc>
          <w:tcPr>
            <w:tcW w:w="13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Other</w:t>
            </w: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7"/>
              </w:rPr>
              <w:t>U.S. Pawn</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America</w:t>
            </w: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5"/>
              </w:rPr>
              <w:t>Total Segments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2"/>
              </w:rPr>
              <w:t>Pawn</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International</w:t>
            </w:r>
          </w:p>
        </w:tc>
        <w:tc>
          <w:tcPr>
            <w:tcW w:w="120" w:type="dxa"/>
            <w:vAlign w:val="bottom"/>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4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180" w:type="dxa"/>
            <w:vAlign w:val="bottom"/>
          </w:tcPr>
          <w:p>
            <w:pPr>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Merchandise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80,554</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24,548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105,102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105,102</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Jewelry scrapping sales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13,230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3,356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16,586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16,586</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Pawn service charges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63,022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19,313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82,335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82,335</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Other revenues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2,766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2,308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2,308</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Pr>
          <w:p>
            <w:pPr>
              <w:ind w:left="460"/>
              <w:spacing w:after="0"/>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156,851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46,714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2,766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206,331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206,331</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color w:val="auto"/>
              </w:rPr>
              <w:t>Merchandise cost of goods sold</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49,443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16,892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66,335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66,335</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color w:val="auto"/>
              </w:rPr>
              <w:t>Jewelry scrapping cost of goods sold</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11,734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3,020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14,754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14,754</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color w:val="auto"/>
              </w:rPr>
              <w:t>Other cost of revenues</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Pr>
          <w:p>
            <w:pPr>
              <w:ind w:left="460"/>
              <w:spacing w:after="0"/>
              <w:rPr>
                <w:sz w:val="20"/>
                <w:szCs w:val="20"/>
                <w:color w:val="auto"/>
              </w:rPr>
            </w:pPr>
            <w:r>
              <w:rPr>
                <w:rFonts w:ascii="Arial" w:cs="Arial" w:eastAsia="Arial" w:hAnsi="Arial"/>
                <w:sz w:val="18"/>
                <w:szCs w:val="18"/>
                <w:color w:val="auto"/>
              </w:rPr>
              <w:t>Net revenues</w:t>
            </w:r>
          </w:p>
        </w:tc>
        <w:tc>
          <w:tcPr>
            <w:tcW w:w="18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95,674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26,802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2,342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124,818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124,818</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color w:val="auto"/>
              </w:rPr>
              <w:t>Segment and corporate expenses (income):</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66,346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16,583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2,918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85,847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85,847</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Administrative</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13,726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13,726</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3,529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1,356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4,927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2,259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7,186</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Loss (gain) on sale or disposal of assets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8,674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8,764</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(3,598)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(4,145)</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Equity in net income of unconsolidated affiliate</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(2,052)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(2,052)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(2,052)</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Impairment of investment</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11,712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11,712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11,712</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80" w:type="dxa"/>
            <w:vAlign w:val="bottom"/>
          </w:tcPr>
          <w:p>
            <w:pPr>
              <w:spacing w:after="0"/>
              <w:rPr>
                <w:sz w:val="20"/>
                <w:szCs w:val="20"/>
                <w:color w:val="auto"/>
              </w:rPr>
            </w:pPr>
            <w:r>
              <w:rPr>
                <w:rFonts w:ascii="Arial" w:cs="Arial" w:eastAsia="Arial" w:hAnsi="Arial"/>
                <w:sz w:val="18"/>
                <w:szCs w:val="18"/>
                <w:color w:val="auto"/>
              </w:rPr>
              <w:t>Segment contribution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25,722</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9,448</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(10,264)</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24,906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180" w:type="dxa"/>
            <w:vAlign w:val="bottom"/>
          </w:tcPr>
          <w:p>
            <w:pPr>
              <w:spacing w:after="0"/>
              <w:rPr>
                <w:sz w:val="20"/>
                <w:szCs w:val="20"/>
                <w:color w:val="auto"/>
              </w:rPr>
            </w:pPr>
            <w:r>
              <w:rPr>
                <w:rFonts w:ascii="Arial" w:cs="Arial" w:eastAsia="Arial" w:hAnsi="Arial"/>
                <w:sz w:val="18"/>
                <w:szCs w:val="18"/>
                <w:color w:val="auto"/>
                <w:w w:val="93"/>
              </w:rPr>
              <w:t>Income from continuing operations before income taxes</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24,906</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(21,218)</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3,688</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40"/>
          </w:cols>
          <w:pgMar w:left="300" w:top="585" w:right="25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6"/>
          <w:szCs w:val="16"/>
          <w:b w:val="1"/>
          <w:bCs w:val="1"/>
          <w:color w:val="auto"/>
        </w:rPr>
        <w:t>EZCORP, Inc.</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OPERATING SEGMENT RESULTS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4"/>
              </w:rPr>
              <w:t>Twelve Months Ended September 30, 2018</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7"/>
              </w:rPr>
              <w:t>U.S. Pawn</w:t>
            </w:r>
          </w:p>
        </w:tc>
        <w:tc>
          <w:tcPr>
            <w:tcW w:w="100" w:type="dxa"/>
            <w:vAlign w:val="bottom"/>
            <w:vMerge w:val="restart"/>
          </w:tcPr>
          <w:p>
            <w:pPr>
              <w:spacing w:after="0"/>
              <w:rPr>
                <w:sz w:val="13"/>
                <w:szCs w:val="13"/>
                <w:color w:val="auto"/>
              </w:rPr>
            </w:pPr>
          </w:p>
        </w:tc>
        <w:tc>
          <w:tcPr>
            <w:tcW w:w="114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Latin America</w:t>
            </w:r>
          </w:p>
        </w:tc>
        <w:tc>
          <w:tcPr>
            <w:tcW w:w="200" w:type="dxa"/>
            <w:vAlign w:val="bottom"/>
          </w:tcPr>
          <w:p>
            <w:pPr>
              <w:spacing w:after="0"/>
              <w:rPr>
                <w:sz w:val="13"/>
                <w:szCs w:val="13"/>
                <w:color w:val="auto"/>
              </w:rPr>
            </w:pPr>
          </w:p>
        </w:tc>
        <w:tc>
          <w:tcPr>
            <w:tcW w:w="126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Segments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Pawn</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4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080" w:type="dxa"/>
            <w:vAlign w:val="bottom"/>
          </w:tcPr>
          <w:p>
            <w:pPr>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Merchandise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350,699</w:t>
            </w:r>
          </w:p>
        </w:tc>
        <w:tc>
          <w:tcPr>
            <w:tcW w:w="100" w:type="dxa"/>
            <w:vAlign w:val="bottom"/>
          </w:tcPr>
          <w:p>
            <w:pPr>
              <w:spacing w:after="0"/>
              <w:rPr>
                <w:sz w:val="23"/>
                <w:szCs w:val="23"/>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87,673</w:t>
            </w:r>
          </w:p>
        </w:tc>
        <w:tc>
          <w:tcPr>
            <w:tcW w:w="120" w:type="dxa"/>
            <w:vAlign w:val="bottom"/>
          </w:tcPr>
          <w:p>
            <w:pPr>
              <w:spacing w:after="0"/>
              <w:rPr>
                <w:sz w:val="23"/>
                <w:szCs w:val="23"/>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438,372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438,372</w:t>
            </w: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Jewelry scrapping sales</w:t>
            </w:r>
          </w:p>
        </w:tc>
        <w:tc>
          <w:tcPr>
            <w:tcW w:w="18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47,745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13,007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60,752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60,752</w:t>
            </w: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Pawn service charges</w:t>
            </w:r>
          </w:p>
        </w:tc>
        <w:tc>
          <w:tcPr>
            <w:tcW w:w="18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237,461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68,475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305,936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305,936</w:t>
            </w: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Other revenues</w:t>
            </w:r>
          </w:p>
        </w:tc>
        <w:tc>
          <w:tcPr>
            <w:tcW w:w="18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8,120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8,455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8,455</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460"/>
              <w:spacing w:after="0"/>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636,155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169,240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8,120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813,515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813,515</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Merchandise cost of goods sold</w:t>
            </w:r>
          </w:p>
        </w:tc>
        <w:tc>
          <w:tcPr>
            <w:tcW w:w="18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216,408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60,210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276,618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276,618</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Jewelry scrapping cost of goods sold</w:t>
            </w:r>
          </w:p>
        </w:tc>
        <w:tc>
          <w:tcPr>
            <w:tcW w:w="18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40,417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11,873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52,290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52,290</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Other cost of revenues</w:t>
            </w:r>
          </w:p>
        </w:tc>
        <w:tc>
          <w:tcPr>
            <w:tcW w:w="18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1,697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460"/>
              <w:spacing w:after="0"/>
              <w:rPr>
                <w:sz w:val="20"/>
                <w:szCs w:val="20"/>
                <w:color w:val="auto"/>
              </w:rPr>
            </w:pPr>
            <w:r>
              <w:rPr>
                <w:rFonts w:ascii="Arial" w:cs="Arial" w:eastAsia="Arial" w:hAnsi="Arial"/>
                <w:sz w:val="18"/>
                <w:szCs w:val="18"/>
                <w:color w:val="auto"/>
              </w:rPr>
              <w:t>Net revenues</w:t>
            </w:r>
          </w:p>
        </w:tc>
        <w:tc>
          <w:tcPr>
            <w:tcW w:w="18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379,330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97,157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6,423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482,910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482,910</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Segment and corporate expenses (income):</w:t>
            </w: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18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263,094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61,361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10,194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334,649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334,649</w:t>
            </w: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Administrative</w:t>
            </w:r>
          </w:p>
        </w:tc>
        <w:tc>
          <w:tcPr>
            <w:tcW w:w="18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53,653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53,653</w:t>
            </w: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12,869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4,068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17,121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8,363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25,484</w:t>
            </w: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Loss on sale or disposal of assets</w:t>
            </w:r>
          </w:p>
        </w:tc>
        <w:tc>
          <w:tcPr>
            <w:tcW w:w="18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27,738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27,834</w:t>
            </w: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(2,619)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(17,041)</w:t>
            </w: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Equity in net income of unconsolidated affiliate</w:t>
            </w:r>
          </w:p>
        </w:tc>
        <w:tc>
          <w:tcPr>
            <w:tcW w:w="18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(5,529)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(5,529)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(5,529)</w:t>
            </w: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Impairment of investments</w:t>
            </w:r>
          </w:p>
        </w:tc>
        <w:tc>
          <w:tcPr>
            <w:tcW w:w="18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11,712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11,712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11,712</w:t>
            </w: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(5,214)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(5,391)</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0"/>
                <w:szCs w:val="20"/>
                <w:color w:val="auto"/>
              </w:rPr>
            </w:pPr>
            <w:r>
              <w:rPr>
                <w:rFonts w:ascii="Arial" w:cs="Arial" w:eastAsia="Arial" w:hAnsi="Arial"/>
                <w:sz w:val="18"/>
                <w:szCs w:val="18"/>
                <w:color w:val="auto"/>
              </w:rPr>
              <w:t>Segment contribution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103,096</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34,337</w:t>
            </w:r>
          </w:p>
        </w:tc>
        <w:tc>
          <w:tcPr>
            <w:tcW w:w="120" w:type="dxa"/>
            <w:vAlign w:val="bottom"/>
          </w:tcPr>
          <w:p>
            <w:pPr>
              <w:spacing w:after="0"/>
              <w:rPr>
                <w:sz w:val="22"/>
                <w:szCs w:val="22"/>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(10,006)</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127,427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080" w:type="dxa"/>
            <w:vAlign w:val="bottom"/>
          </w:tcPr>
          <w:p>
            <w:pPr>
              <w:spacing w:after="0"/>
              <w:rPr>
                <w:sz w:val="20"/>
                <w:szCs w:val="20"/>
                <w:color w:val="auto"/>
              </w:rPr>
            </w:pPr>
            <w:r>
              <w:rPr>
                <w:rFonts w:ascii="Arial" w:cs="Arial" w:eastAsia="Arial" w:hAnsi="Arial"/>
                <w:sz w:val="18"/>
                <w:szCs w:val="18"/>
                <w:color w:val="auto"/>
                <w:w w:val="91"/>
              </w:rPr>
              <w:t>Income from continuing operations before income taxes</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127,427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(70,351)</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57,076</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585" w:right="239" w:bottom="1440" w:gutter="0" w:footer="0" w:header="0"/>
        </w:sectPr>
      </w:pPr>
    </w:p>
    <w:bookmarkStart w:id="11" w:name="page12"/>
    <w:bookmarkEnd w:id="11"/>
    <w:p>
      <w:pPr>
        <w:jc w:val="center"/>
        <w:ind w:right="40"/>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OPERATING SEGMENT RESULTS (UNAUDITED)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2"/>
              </w:rPr>
              <w:t>Three Months Ended September 30, 2017</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Latin</w:t>
            </w:r>
          </w:p>
        </w:tc>
        <w:tc>
          <w:tcPr>
            <w:tcW w:w="160" w:type="dxa"/>
            <w:vAlign w:val="bottom"/>
          </w:tcPr>
          <w:p>
            <w:pPr>
              <w:spacing w:after="0"/>
              <w:rPr>
                <w:sz w:val="13"/>
                <w:szCs w:val="13"/>
                <w:color w:val="auto"/>
              </w:rPr>
            </w:pPr>
          </w:p>
        </w:tc>
        <w:tc>
          <w:tcPr>
            <w:tcW w:w="13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Other</w:t>
            </w: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1"/>
              </w:rPr>
              <w:t>U.S. Pawn</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America</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Segments</w:t>
            </w:r>
          </w:p>
        </w:tc>
        <w:tc>
          <w:tcPr>
            <w:tcW w:w="1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2"/>
              </w:rPr>
              <w:t>Pawn</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4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320" w:type="dxa"/>
            <w:vAlign w:val="bottom"/>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240"/>
              <w:spacing w:after="0"/>
              <w:rPr>
                <w:sz w:val="20"/>
                <w:szCs w:val="20"/>
                <w:color w:val="auto"/>
              </w:rPr>
            </w:pPr>
            <w:r>
              <w:rPr>
                <w:rFonts w:ascii="Arial" w:cs="Arial" w:eastAsia="Arial" w:hAnsi="Arial"/>
                <w:sz w:val="18"/>
                <w:szCs w:val="18"/>
                <w:color w:val="auto"/>
              </w:rPr>
              <w:t>Merchandise sales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78,753</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16,410</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440" w:type="dxa"/>
            <w:vAlign w:val="bottom"/>
          </w:tcPr>
          <w:p>
            <w:pPr>
              <w:jc w:val="right"/>
              <w:ind w:right="234"/>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95,166</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95,166</w:t>
            </w:r>
          </w:p>
        </w:tc>
        <w:tc>
          <w:tcPr>
            <w:tcW w:w="0" w:type="dxa"/>
            <w:vAlign w:val="bottom"/>
          </w:tcPr>
          <w:p>
            <w:pPr>
              <w:spacing w:after="0"/>
              <w:rPr>
                <w:sz w:val="1"/>
                <w:szCs w:val="1"/>
                <w:color w:val="auto"/>
              </w:rPr>
            </w:pPr>
          </w:p>
        </w:tc>
      </w:tr>
      <w:tr>
        <w:trPr>
          <w:trHeight w:val="270"/>
        </w:trPr>
        <w:tc>
          <w:tcPr>
            <w:tcW w:w="4320" w:type="dxa"/>
            <w:vAlign w:val="bottom"/>
          </w:tcPr>
          <w:p>
            <w:pPr>
              <w:ind w:left="240"/>
              <w:spacing w:after="0"/>
              <w:rPr>
                <w:sz w:val="20"/>
                <w:szCs w:val="20"/>
                <w:color w:val="auto"/>
              </w:rPr>
            </w:pPr>
            <w:r>
              <w:rPr>
                <w:rFonts w:ascii="Arial" w:cs="Arial" w:eastAsia="Arial" w:hAnsi="Arial"/>
                <w:sz w:val="18"/>
                <w:szCs w:val="18"/>
                <w:color w:val="auto"/>
              </w:rPr>
              <w:t>Jewelry scrapping sales</w:t>
            </w:r>
          </w:p>
        </w:tc>
        <w:tc>
          <w:tcPr>
            <w:tcW w:w="14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13,045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13,531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13,531</w:t>
            </w:r>
          </w:p>
        </w:tc>
        <w:tc>
          <w:tcPr>
            <w:tcW w:w="0" w:type="dxa"/>
            <w:vAlign w:val="bottom"/>
          </w:tcPr>
          <w:p>
            <w:pPr>
              <w:spacing w:after="0"/>
              <w:rPr>
                <w:sz w:val="1"/>
                <w:szCs w:val="1"/>
                <w:color w:val="auto"/>
              </w:rPr>
            </w:pPr>
          </w:p>
        </w:tc>
      </w:tr>
      <w:tr>
        <w:trPr>
          <w:trHeight w:val="270"/>
        </w:trPr>
        <w:tc>
          <w:tcPr>
            <w:tcW w:w="4320" w:type="dxa"/>
            <w:vAlign w:val="bottom"/>
          </w:tcPr>
          <w:p>
            <w:pPr>
              <w:ind w:left="240"/>
              <w:spacing w:after="0"/>
              <w:rPr>
                <w:sz w:val="20"/>
                <w:szCs w:val="20"/>
                <w:color w:val="auto"/>
              </w:rPr>
            </w:pPr>
            <w:r>
              <w:rPr>
                <w:rFonts w:ascii="Arial" w:cs="Arial" w:eastAsia="Arial" w:hAnsi="Arial"/>
                <w:sz w:val="18"/>
                <w:szCs w:val="18"/>
                <w:color w:val="auto"/>
              </w:rPr>
              <w:t>Pawn service charges</w:t>
            </w:r>
          </w:p>
        </w:tc>
        <w:tc>
          <w:tcPr>
            <w:tcW w:w="14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60,957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10,140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71,097</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71,097</w:t>
            </w:r>
          </w:p>
        </w:tc>
        <w:tc>
          <w:tcPr>
            <w:tcW w:w="0" w:type="dxa"/>
            <w:vAlign w:val="bottom"/>
          </w:tcPr>
          <w:p>
            <w:pPr>
              <w:spacing w:after="0"/>
              <w:rPr>
                <w:sz w:val="1"/>
                <w:szCs w:val="1"/>
                <w:color w:val="auto"/>
              </w:rPr>
            </w:pPr>
          </w:p>
        </w:tc>
      </w:tr>
      <w:tr>
        <w:trPr>
          <w:trHeight w:val="270"/>
        </w:trPr>
        <w:tc>
          <w:tcPr>
            <w:tcW w:w="4320" w:type="dxa"/>
            <w:vAlign w:val="bottom"/>
          </w:tcPr>
          <w:p>
            <w:pPr>
              <w:ind w:left="240"/>
              <w:spacing w:after="0"/>
              <w:rPr>
                <w:sz w:val="20"/>
                <w:szCs w:val="20"/>
                <w:color w:val="auto"/>
              </w:rPr>
            </w:pPr>
            <w:r>
              <w:rPr>
                <w:rFonts w:ascii="Arial" w:cs="Arial" w:eastAsia="Arial" w:hAnsi="Arial"/>
                <w:sz w:val="18"/>
                <w:szCs w:val="18"/>
                <w:color w:val="auto"/>
              </w:rPr>
              <w:t>Other revenues</w:t>
            </w:r>
          </w:p>
        </w:tc>
        <w:tc>
          <w:tcPr>
            <w:tcW w:w="14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2,275</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20" w:type="dxa"/>
            <w:vAlign w:val="bottom"/>
          </w:tcPr>
          <w:p>
            <w:pPr>
              <w:ind w:left="460"/>
              <w:spacing w:after="0"/>
              <w:rPr>
                <w:sz w:val="20"/>
                <w:szCs w:val="20"/>
                <w:color w:val="auto"/>
              </w:rPr>
            </w:pPr>
            <w:r>
              <w:rPr>
                <w:rFonts w:ascii="Arial" w:cs="Arial" w:eastAsia="Arial" w:hAnsi="Arial"/>
                <w:sz w:val="18"/>
                <w:szCs w:val="18"/>
                <w:color w:val="auto"/>
              </w:rPr>
              <w:t>Total revenues</w:t>
            </w:r>
          </w:p>
        </w:tc>
        <w:tc>
          <w:tcPr>
            <w:tcW w:w="14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152,817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27,224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182,069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182,069</w:t>
            </w:r>
          </w:p>
        </w:tc>
        <w:tc>
          <w:tcPr>
            <w:tcW w:w="0" w:type="dxa"/>
            <w:vAlign w:val="bottom"/>
          </w:tcPr>
          <w:p>
            <w:pPr>
              <w:spacing w:after="0"/>
              <w:rPr>
                <w:sz w:val="1"/>
                <w:szCs w:val="1"/>
                <w:color w:val="auto"/>
              </w:rPr>
            </w:pPr>
          </w:p>
        </w:tc>
      </w:tr>
      <w:tr>
        <w:trPr>
          <w:trHeight w:val="270"/>
        </w:trPr>
        <w:tc>
          <w:tcPr>
            <w:tcW w:w="4320" w:type="dxa"/>
            <w:vAlign w:val="bottom"/>
          </w:tcPr>
          <w:p>
            <w:pPr>
              <w:spacing w:after="0"/>
              <w:rPr>
                <w:sz w:val="20"/>
                <w:szCs w:val="20"/>
                <w:color w:val="auto"/>
              </w:rPr>
            </w:pPr>
            <w:r>
              <w:rPr>
                <w:rFonts w:ascii="Arial" w:cs="Arial" w:eastAsia="Arial" w:hAnsi="Arial"/>
                <w:sz w:val="18"/>
                <w:szCs w:val="18"/>
                <w:color w:val="auto"/>
              </w:rPr>
              <w:t>Merchandise cost of goods sold</w:t>
            </w:r>
          </w:p>
        </w:tc>
        <w:tc>
          <w:tcPr>
            <w:tcW w:w="14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50,240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11,445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61,685</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61,685</w:t>
            </w:r>
          </w:p>
        </w:tc>
        <w:tc>
          <w:tcPr>
            <w:tcW w:w="0" w:type="dxa"/>
            <w:vAlign w:val="bottom"/>
          </w:tcPr>
          <w:p>
            <w:pPr>
              <w:spacing w:after="0"/>
              <w:rPr>
                <w:sz w:val="1"/>
                <w:szCs w:val="1"/>
                <w:color w:val="auto"/>
              </w:rPr>
            </w:pPr>
          </w:p>
        </w:tc>
      </w:tr>
      <w:tr>
        <w:trPr>
          <w:trHeight w:val="270"/>
        </w:trPr>
        <w:tc>
          <w:tcPr>
            <w:tcW w:w="4320" w:type="dxa"/>
            <w:vAlign w:val="bottom"/>
          </w:tcPr>
          <w:p>
            <w:pPr>
              <w:spacing w:after="0"/>
              <w:rPr>
                <w:sz w:val="20"/>
                <w:szCs w:val="20"/>
                <w:color w:val="auto"/>
              </w:rPr>
            </w:pPr>
            <w:r>
              <w:rPr>
                <w:rFonts w:ascii="Arial" w:cs="Arial" w:eastAsia="Arial" w:hAnsi="Arial"/>
                <w:sz w:val="18"/>
                <w:szCs w:val="18"/>
                <w:color w:val="auto"/>
              </w:rPr>
              <w:t>Jewelry scrapping cost of goods sold</w:t>
            </w:r>
          </w:p>
        </w:tc>
        <w:tc>
          <w:tcPr>
            <w:tcW w:w="14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11,320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11,736</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11,736</w:t>
            </w:r>
          </w:p>
        </w:tc>
        <w:tc>
          <w:tcPr>
            <w:tcW w:w="0" w:type="dxa"/>
            <w:vAlign w:val="bottom"/>
          </w:tcPr>
          <w:p>
            <w:pPr>
              <w:spacing w:after="0"/>
              <w:rPr>
                <w:sz w:val="1"/>
                <w:szCs w:val="1"/>
                <w:color w:val="auto"/>
              </w:rPr>
            </w:pPr>
          </w:p>
        </w:tc>
      </w:tr>
      <w:tr>
        <w:trPr>
          <w:trHeight w:val="270"/>
        </w:trPr>
        <w:tc>
          <w:tcPr>
            <w:tcW w:w="4320" w:type="dxa"/>
            <w:vAlign w:val="bottom"/>
          </w:tcPr>
          <w:p>
            <w:pPr>
              <w:spacing w:after="0"/>
              <w:rPr>
                <w:sz w:val="20"/>
                <w:szCs w:val="20"/>
                <w:color w:val="auto"/>
              </w:rPr>
            </w:pPr>
            <w:r>
              <w:rPr>
                <w:rFonts w:ascii="Arial" w:cs="Arial" w:eastAsia="Arial" w:hAnsi="Arial"/>
                <w:sz w:val="18"/>
                <w:szCs w:val="18"/>
                <w:color w:val="auto"/>
              </w:rPr>
              <w:t>Other cost of revenues</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20" w:type="dxa"/>
            <w:vAlign w:val="bottom"/>
          </w:tcPr>
          <w:p>
            <w:pPr>
              <w:ind w:left="460"/>
              <w:spacing w:after="0"/>
              <w:rPr>
                <w:sz w:val="20"/>
                <w:szCs w:val="20"/>
                <w:color w:val="auto"/>
              </w:rPr>
            </w:pPr>
            <w:r>
              <w:rPr>
                <w:rFonts w:ascii="Arial" w:cs="Arial" w:eastAsia="Arial" w:hAnsi="Arial"/>
                <w:sz w:val="18"/>
                <w:szCs w:val="18"/>
                <w:color w:val="auto"/>
              </w:rPr>
              <w:t>Net revenues</w:t>
            </w:r>
          </w:p>
        </w:tc>
        <w:tc>
          <w:tcPr>
            <w:tcW w:w="14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91,257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15,363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108,093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108,093</w:t>
            </w:r>
          </w:p>
        </w:tc>
        <w:tc>
          <w:tcPr>
            <w:tcW w:w="0" w:type="dxa"/>
            <w:vAlign w:val="bottom"/>
          </w:tcPr>
          <w:p>
            <w:pPr>
              <w:spacing w:after="0"/>
              <w:rPr>
                <w:sz w:val="1"/>
                <w:szCs w:val="1"/>
                <w:color w:val="auto"/>
              </w:rPr>
            </w:pPr>
          </w:p>
        </w:tc>
      </w:tr>
      <w:tr>
        <w:trPr>
          <w:trHeight w:val="270"/>
        </w:trPr>
        <w:tc>
          <w:tcPr>
            <w:tcW w:w="4320" w:type="dxa"/>
            <w:vAlign w:val="bottom"/>
          </w:tcPr>
          <w:p>
            <w:pPr>
              <w:spacing w:after="0"/>
              <w:rPr>
                <w:sz w:val="20"/>
                <w:szCs w:val="20"/>
                <w:color w:val="auto"/>
              </w:rPr>
            </w:pPr>
            <w:r>
              <w:rPr>
                <w:rFonts w:ascii="Arial" w:cs="Arial" w:eastAsia="Arial" w:hAnsi="Arial"/>
                <w:sz w:val="18"/>
                <w:szCs w:val="18"/>
                <w:color w:val="auto"/>
              </w:rPr>
              <w:t>Segment and corporate expenses (income):</w:t>
            </w: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14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65,478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9,772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3,034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78,284</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78,284</w:t>
            </w:r>
          </w:p>
        </w:tc>
        <w:tc>
          <w:tcPr>
            <w:tcW w:w="0" w:type="dxa"/>
            <w:vAlign w:val="bottom"/>
          </w:tcPr>
          <w:p>
            <w:pPr>
              <w:spacing w:after="0"/>
              <w:rPr>
                <w:sz w:val="1"/>
                <w:szCs w:val="1"/>
                <w:color w:val="auto"/>
              </w:rPr>
            </w:pPr>
          </w:p>
        </w:tc>
      </w:tr>
      <w:tr>
        <w:trPr>
          <w:trHeight w:val="270"/>
        </w:trPr>
        <w:tc>
          <w:tcPr>
            <w:tcW w:w="4320" w:type="dxa"/>
            <w:vAlign w:val="bottom"/>
          </w:tcPr>
          <w:p>
            <w:pPr>
              <w:ind w:left="240"/>
              <w:spacing w:after="0"/>
              <w:rPr>
                <w:sz w:val="20"/>
                <w:szCs w:val="20"/>
                <w:color w:val="auto"/>
              </w:rPr>
            </w:pPr>
            <w:r>
              <w:rPr>
                <w:rFonts w:ascii="Arial" w:cs="Arial" w:eastAsia="Arial" w:hAnsi="Arial"/>
                <w:sz w:val="18"/>
                <w:szCs w:val="18"/>
                <w:color w:val="auto"/>
              </w:rPr>
              <w:t>Administrative</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11,949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11,949</w:t>
            </w:r>
          </w:p>
        </w:tc>
        <w:tc>
          <w:tcPr>
            <w:tcW w:w="0" w:type="dxa"/>
            <w:vAlign w:val="bottom"/>
          </w:tcPr>
          <w:p>
            <w:pPr>
              <w:spacing w:after="0"/>
              <w:rPr>
                <w:sz w:val="1"/>
                <w:szCs w:val="1"/>
                <w:color w:val="auto"/>
              </w:rPr>
            </w:pPr>
          </w:p>
        </w:tc>
      </w:tr>
      <w:tr>
        <w:trPr>
          <w:trHeight w:val="270"/>
        </w:trPr>
        <w:tc>
          <w:tcPr>
            <w:tcW w:w="43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2,684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3,496</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1,919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5,415</w:t>
            </w:r>
          </w:p>
        </w:tc>
        <w:tc>
          <w:tcPr>
            <w:tcW w:w="0" w:type="dxa"/>
            <w:vAlign w:val="bottom"/>
          </w:tcPr>
          <w:p>
            <w:pPr>
              <w:spacing w:after="0"/>
              <w:rPr>
                <w:sz w:val="1"/>
                <w:szCs w:val="1"/>
                <w:color w:val="auto"/>
              </w:rPr>
            </w:pPr>
          </w:p>
        </w:tc>
      </w:tr>
      <w:tr>
        <w:trPr>
          <w:trHeight w:val="270"/>
        </w:trPr>
        <w:tc>
          <w:tcPr>
            <w:tcW w:w="4320" w:type="dxa"/>
            <w:vAlign w:val="bottom"/>
          </w:tcPr>
          <w:p>
            <w:pPr>
              <w:ind w:left="240"/>
              <w:spacing w:after="0"/>
              <w:rPr>
                <w:sz w:val="20"/>
                <w:szCs w:val="20"/>
                <w:color w:val="auto"/>
              </w:rPr>
            </w:pPr>
            <w:r>
              <w:rPr>
                <w:rFonts w:ascii="Arial" w:cs="Arial" w:eastAsia="Arial" w:hAnsi="Arial"/>
                <w:sz w:val="18"/>
                <w:szCs w:val="18"/>
                <w:color w:val="auto"/>
              </w:rPr>
              <w:t>Loss on sale or disposal of assets</w:t>
            </w:r>
          </w:p>
        </w:tc>
        <w:tc>
          <w:tcPr>
            <w:tcW w:w="14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70"/>
        </w:trPr>
        <w:tc>
          <w:tcPr>
            <w:tcW w:w="432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10,954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10,956</w:t>
            </w:r>
          </w:p>
        </w:tc>
        <w:tc>
          <w:tcPr>
            <w:tcW w:w="0" w:type="dxa"/>
            <w:vAlign w:val="bottom"/>
          </w:tcPr>
          <w:p>
            <w:pPr>
              <w:spacing w:after="0"/>
              <w:rPr>
                <w:sz w:val="1"/>
                <w:szCs w:val="1"/>
                <w:color w:val="auto"/>
              </w:rPr>
            </w:pPr>
          </w:p>
        </w:tc>
      </w:tr>
      <w:tr>
        <w:trPr>
          <w:trHeight w:val="270"/>
        </w:trPr>
        <w:tc>
          <w:tcPr>
            <w:tcW w:w="432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(4,153)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(5,194)</w:t>
            </w:r>
          </w:p>
        </w:tc>
        <w:tc>
          <w:tcPr>
            <w:tcW w:w="0" w:type="dxa"/>
            <w:vAlign w:val="bottom"/>
          </w:tcPr>
          <w:p>
            <w:pPr>
              <w:spacing w:after="0"/>
              <w:rPr>
                <w:sz w:val="1"/>
                <w:szCs w:val="1"/>
                <w:color w:val="auto"/>
              </w:rPr>
            </w:pPr>
          </w:p>
        </w:tc>
      </w:tr>
      <w:tr>
        <w:trPr>
          <w:trHeight w:val="270"/>
        </w:trPr>
        <w:tc>
          <w:tcPr>
            <w:tcW w:w="4320" w:type="dxa"/>
            <w:vAlign w:val="bottom"/>
          </w:tcPr>
          <w:p>
            <w:pPr>
              <w:ind w:left="240"/>
              <w:spacing w:after="0"/>
              <w:rPr>
                <w:sz w:val="20"/>
                <w:szCs w:val="20"/>
                <w:color w:val="auto"/>
              </w:rPr>
            </w:pPr>
            <w:r>
              <w:rPr>
                <w:rFonts w:ascii="Arial" w:cs="Arial" w:eastAsia="Arial" w:hAnsi="Arial"/>
                <w:sz w:val="18"/>
                <w:szCs w:val="18"/>
                <w:color w:val="auto"/>
              </w:rPr>
              <w:t>Equity in net income of unconsolidated affiliate</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(1,148)</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70"/>
        </w:trPr>
        <w:tc>
          <w:tcPr>
            <w:tcW w:w="4320" w:type="dxa"/>
            <w:vAlign w:val="bottom"/>
          </w:tcPr>
          <w:p>
            <w:pPr>
              <w:ind w:left="240"/>
              <w:spacing w:after="0"/>
              <w:rPr>
                <w:sz w:val="20"/>
                <w:szCs w:val="20"/>
                <w:color w:val="auto"/>
              </w:rPr>
            </w:pPr>
            <w:r>
              <w:rPr>
                <w:rFonts w:ascii="Arial" w:cs="Arial" w:eastAsia="Arial" w:hAnsi="Arial"/>
                <w:sz w:val="18"/>
                <w:szCs w:val="18"/>
                <w:color w:val="auto"/>
              </w:rPr>
              <w:t>Impairment of investments</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320" w:type="dxa"/>
            <w:vAlign w:val="bottom"/>
          </w:tcPr>
          <w:p>
            <w:pPr>
              <w:ind w:left="240"/>
              <w:spacing w:after="0"/>
              <w:rPr>
                <w:sz w:val="20"/>
                <w:szCs w:val="20"/>
                <w:color w:val="auto"/>
              </w:rPr>
            </w:pPr>
            <w:r>
              <w:rPr>
                <w:rFonts w:ascii="Arial" w:cs="Arial" w:eastAsia="Arial" w:hAnsi="Arial"/>
                <w:sz w:val="18"/>
                <w:szCs w:val="18"/>
                <w:color w:val="auto"/>
              </w:rPr>
              <w:t>Other income</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20" w:type="dxa"/>
            <w:vAlign w:val="bottom"/>
          </w:tcPr>
          <w:p>
            <w:pPr>
              <w:spacing w:after="0"/>
              <w:rPr>
                <w:sz w:val="20"/>
                <w:szCs w:val="20"/>
                <w:color w:val="auto"/>
              </w:rPr>
            </w:pPr>
            <w:r>
              <w:rPr>
                <w:rFonts w:ascii="Arial" w:cs="Arial" w:eastAsia="Arial" w:hAnsi="Arial"/>
                <w:sz w:val="18"/>
                <w:szCs w:val="18"/>
                <w:color w:val="auto"/>
              </w:rPr>
              <w:t>Segment contribution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22,848</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5,804</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28,260</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320" w:type="dxa"/>
            <w:vAlign w:val="bottom"/>
          </w:tcPr>
          <w:p>
            <w:pPr>
              <w:spacing w:after="0"/>
              <w:rPr>
                <w:sz w:val="20"/>
                <w:szCs w:val="20"/>
                <w:color w:val="auto"/>
              </w:rPr>
            </w:pPr>
            <w:r>
              <w:rPr>
                <w:rFonts w:ascii="Arial" w:cs="Arial" w:eastAsia="Arial" w:hAnsi="Arial"/>
                <w:sz w:val="18"/>
                <w:szCs w:val="18"/>
                <w:color w:val="auto"/>
                <w:w w:val="97"/>
              </w:rPr>
              <w:t>Income from continuing operations before income taxes</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28,260</w:t>
            </w:r>
          </w:p>
        </w:tc>
        <w:tc>
          <w:tcPr>
            <w:tcW w:w="1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(20,648)</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7,612</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585" w:right="23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16"/>
          <w:szCs w:val="16"/>
          <w:b w:val="1"/>
          <w:bCs w:val="1"/>
          <w:color w:val="auto"/>
        </w:rPr>
        <w:t>EZCORP, Inc.</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OPERATING SEGMENT RESULTS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7"/>
          </w:tcPr>
          <w:p>
            <w:pPr>
              <w:jc w:val="center"/>
              <w:ind w:left="16"/>
              <w:spacing w:after="0"/>
              <w:rPr>
                <w:sz w:val="20"/>
                <w:szCs w:val="20"/>
                <w:color w:val="auto"/>
              </w:rPr>
            </w:pPr>
            <w:r>
              <w:rPr>
                <w:rFonts w:ascii="Arial" w:cs="Arial" w:eastAsia="Arial" w:hAnsi="Arial"/>
                <w:sz w:val="14"/>
                <w:szCs w:val="14"/>
                <w:b w:val="1"/>
                <w:bCs w:val="1"/>
                <w:color w:val="auto"/>
                <w:w w:val="93"/>
              </w:rPr>
              <w:t>Twelve Months Ended September 30, 2017</w:t>
            </w: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U.S. Pawn</w:t>
            </w:r>
          </w:p>
        </w:tc>
        <w:tc>
          <w:tcPr>
            <w:tcW w:w="100" w:type="dxa"/>
            <w:vAlign w:val="bottom"/>
            <w:vMerge w:val="restart"/>
          </w:tcPr>
          <w:p>
            <w:pPr>
              <w:spacing w:after="0"/>
              <w:rPr>
                <w:sz w:val="13"/>
                <w:szCs w:val="13"/>
                <w:color w:val="auto"/>
              </w:rPr>
            </w:pPr>
          </w:p>
        </w:tc>
        <w:tc>
          <w:tcPr>
            <w:tcW w:w="114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Latin America</w:t>
            </w:r>
          </w:p>
        </w:tc>
        <w:tc>
          <w:tcPr>
            <w:tcW w:w="160" w:type="dxa"/>
            <w:vAlign w:val="bottom"/>
          </w:tcPr>
          <w:p>
            <w:pPr>
              <w:spacing w:after="0"/>
              <w:rPr>
                <w:sz w:val="13"/>
                <w:szCs w:val="13"/>
                <w:color w:val="auto"/>
              </w:rPr>
            </w:pPr>
          </w:p>
        </w:tc>
        <w:tc>
          <w:tcPr>
            <w:tcW w:w="120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Segments</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3"/>
              </w:rPr>
              <w:t>Corporate Items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Pawn</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9"/>
              </w:rPr>
              <w:t>International</w:t>
            </w:r>
          </w:p>
        </w:tc>
        <w:tc>
          <w:tcPr>
            <w:tcW w:w="12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3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5"/>
          </w:tcPr>
          <w:p>
            <w:pPr>
              <w:jc w:val="center"/>
              <w:spacing w:after="0"/>
              <w:rPr>
                <w:sz w:val="20"/>
                <w:szCs w:val="20"/>
                <w:color w:val="auto"/>
              </w:rPr>
            </w:pPr>
            <w:r>
              <w:rPr>
                <w:rFonts w:ascii="Arial" w:cs="Arial" w:eastAsia="Arial" w:hAnsi="Arial"/>
                <w:sz w:val="14"/>
                <w:szCs w:val="14"/>
                <w:i w:val="1"/>
                <w:iCs w:val="1"/>
                <w:color w:val="auto"/>
                <w:w w:val="92"/>
              </w:rPr>
              <w:t>(in thousands)</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740" w:type="dxa"/>
            <w:vAlign w:val="bottom"/>
          </w:tcPr>
          <w:p>
            <w:pPr>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240"/>
              <w:spacing w:after="0"/>
              <w:rPr>
                <w:sz w:val="20"/>
                <w:szCs w:val="20"/>
                <w:color w:val="auto"/>
              </w:rPr>
            </w:pPr>
            <w:r>
              <w:rPr>
                <w:rFonts w:ascii="Arial" w:cs="Arial" w:eastAsia="Arial" w:hAnsi="Arial"/>
                <w:sz w:val="18"/>
                <w:szCs w:val="18"/>
                <w:color w:val="auto"/>
              </w:rPr>
              <w:t>Merchandise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351,878</w:t>
            </w:r>
          </w:p>
        </w:tc>
        <w:tc>
          <w:tcPr>
            <w:tcW w:w="100" w:type="dxa"/>
            <w:vAlign w:val="bottom"/>
          </w:tcPr>
          <w:p>
            <w:pPr>
              <w:spacing w:after="0"/>
              <w:rPr>
                <w:sz w:val="23"/>
                <w:szCs w:val="23"/>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62,957</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280" w:type="dxa"/>
            <w:vAlign w:val="bottom"/>
          </w:tcPr>
          <w:p>
            <w:pPr>
              <w:jc w:val="center"/>
              <w:ind w:right="5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414,838</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414,838</w:t>
            </w:r>
          </w:p>
        </w:tc>
        <w:tc>
          <w:tcPr>
            <w:tcW w:w="0" w:type="dxa"/>
            <w:vAlign w:val="bottom"/>
          </w:tcPr>
          <w:p>
            <w:pPr>
              <w:spacing w:after="0"/>
              <w:rPr>
                <w:sz w:val="1"/>
                <w:szCs w:val="1"/>
                <w:color w:val="auto"/>
              </w:rPr>
            </w:pPr>
          </w:p>
        </w:tc>
      </w:tr>
      <w:tr>
        <w:trPr>
          <w:trHeight w:val="270"/>
        </w:trPr>
        <w:tc>
          <w:tcPr>
            <w:tcW w:w="3740" w:type="dxa"/>
            <w:vAlign w:val="bottom"/>
          </w:tcPr>
          <w:p>
            <w:pPr>
              <w:ind w:left="240"/>
              <w:spacing w:after="0"/>
              <w:rPr>
                <w:sz w:val="20"/>
                <w:szCs w:val="20"/>
                <w:color w:val="auto"/>
              </w:rPr>
            </w:pPr>
            <w:r>
              <w:rPr>
                <w:rFonts w:ascii="Arial" w:cs="Arial" w:eastAsia="Arial" w:hAnsi="Arial"/>
                <w:sz w:val="18"/>
                <w:szCs w:val="18"/>
                <w:color w:val="auto"/>
              </w:rPr>
              <w:t>Jewelry scrapping sales</w:t>
            </w:r>
          </w:p>
        </w:tc>
        <w:tc>
          <w:tcPr>
            <w:tcW w:w="18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48,203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2,986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51,189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51,189</w:t>
            </w:r>
          </w:p>
        </w:tc>
        <w:tc>
          <w:tcPr>
            <w:tcW w:w="0" w:type="dxa"/>
            <w:vAlign w:val="bottom"/>
          </w:tcPr>
          <w:p>
            <w:pPr>
              <w:spacing w:after="0"/>
              <w:rPr>
                <w:sz w:val="1"/>
                <w:szCs w:val="1"/>
                <w:color w:val="auto"/>
              </w:rPr>
            </w:pPr>
          </w:p>
        </w:tc>
      </w:tr>
      <w:tr>
        <w:trPr>
          <w:trHeight w:val="270"/>
        </w:trPr>
        <w:tc>
          <w:tcPr>
            <w:tcW w:w="3740" w:type="dxa"/>
            <w:vAlign w:val="bottom"/>
          </w:tcPr>
          <w:p>
            <w:pPr>
              <w:ind w:left="240"/>
              <w:spacing w:after="0"/>
              <w:rPr>
                <w:sz w:val="20"/>
                <w:szCs w:val="20"/>
                <w:color w:val="auto"/>
              </w:rPr>
            </w:pPr>
            <w:r>
              <w:rPr>
                <w:rFonts w:ascii="Arial" w:cs="Arial" w:eastAsia="Arial" w:hAnsi="Arial"/>
                <w:sz w:val="18"/>
                <w:szCs w:val="18"/>
                <w:color w:val="auto"/>
              </w:rPr>
              <w:t>Pawn service charges</w:t>
            </w:r>
          </w:p>
        </w:tc>
        <w:tc>
          <w:tcPr>
            <w:tcW w:w="18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238,437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34,643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273,080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273,080</w:t>
            </w:r>
          </w:p>
        </w:tc>
        <w:tc>
          <w:tcPr>
            <w:tcW w:w="0" w:type="dxa"/>
            <w:vAlign w:val="bottom"/>
          </w:tcPr>
          <w:p>
            <w:pPr>
              <w:spacing w:after="0"/>
              <w:rPr>
                <w:sz w:val="1"/>
                <w:szCs w:val="1"/>
                <w:color w:val="auto"/>
              </w:rPr>
            </w:pPr>
          </w:p>
        </w:tc>
      </w:tr>
      <w:tr>
        <w:trPr>
          <w:trHeight w:val="270"/>
        </w:trPr>
        <w:tc>
          <w:tcPr>
            <w:tcW w:w="3740" w:type="dxa"/>
            <w:vAlign w:val="bottom"/>
          </w:tcPr>
          <w:p>
            <w:pPr>
              <w:ind w:left="240"/>
              <w:spacing w:after="0"/>
              <w:rPr>
                <w:sz w:val="20"/>
                <w:szCs w:val="20"/>
                <w:color w:val="auto"/>
              </w:rPr>
            </w:pPr>
            <w:r>
              <w:rPr>
                <w:rFonts w:ascii="Arial" w:cs="Arial" w:eastAsia="Arial" w:hAnsi="Arial"/>
                <w:sz w:val="18"/>
                <w:szCs w:val="18"/>
                <w:color w:val="auto"/>
              </w:rPr>
              <w:t>Other revenues</w:t>
            </w:r>
          </w:p>
        </w:tc>
        <w:tc>
          <w:tcPr>
            <w:tcW w:w="18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7,983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8,847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8,847</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460"/>
              <w:spacing w:after="0"/>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20"/>
                <w:szCs w:val="20"/>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638,737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101,231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7,986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747,954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747,954</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0"/>
                <w:szCs w:val="20"/>
                <w:color w:val="auto"/>
              </w:rPr>
            </w:pPr>
            <w:r>
              <w:rPr>
                <w:rFonts w:ascii="Arial" w:cs="Arial" w:eastAsia="Arial" w:hAnsi="Arial"/>
                <w:sz w:val="18"/>
                <w:szCs w:val="18"/>
                <w:color w:val="auto"/>
              </w:rPr>
              <w:t>Merchandise cost of goods sold</w:t>
            </w:r>
          </w:p>
        </w:tc>
        <w:tc>
          <w:tcPr>
            <w:tcW w:w="18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223,475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43,050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266,525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266,525</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0"/>
                <w:szCs w:val="20"/>
                <w:color w:val="auto"/>
              </w:rPr>
            </w:pPr>
            <w:r>
              <w:rPr>
                <w:rFonts w:ascii="Arial" w:cs="Arial" w:eastAsia="Arial" w:hAnsi="Arial"/>
                <w:sz w:val="18"/>
                <w:szCs w:val="18"/>
                <w:color w:val="auto"/>
              </w:rPr>
              <w:t>Jewelry scrapping cost of goods sold</w:t>
            </w:r>
          </w:p>
        </w:tc>
        <w:tc>
          <w:tcPr>
            <w:tcW w:w="18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41,434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2,497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43,931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43,931</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0"/>
                <w:szCs w:val="20"/>
                <w:color w:val="auto"/>
              </w:rPr>
            </w:pPr>
            <w:r>
              <w:rPr>
                <w:rFonts w:ascii="Arial" w:cs="Arial" w:eastAsia="Arial" w:hAnsi="Arial"/>
                <w:sz w:val="18"/>
                <w:szCs w:val="18"/>
                <w:color w:val="auto"/>
              </w:rPr>
              <w:t>Other cost of revenues</w:t>
            </w:r>
          </w:p>
        </w:tc>
        <w:tc>
          <w:tcPr>
            <w:tcW w:w="18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1,988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1,988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460"/>
              <w:spacing w:after="0"/>
              <w:rPr>
                <w:sz w:val="20"/>
                <w:szCs w:val="20"/>
                <w:color w:val="auto"/>
              </w:rPr>
            </w:pPr>
            <w:r>
              <w:rPr>
                <w:rFonts w:ascii="Arial" w:cs="Arial" w:eastAsia="Arial" w:hAnsi="Arial"/>
                <w:sz w:val="18"/>
                <w:szCs w:val="18"/>
                <w:color w:val="auto"/>
              </w:rPr>
              <w:t>Net revenues</w:t>
            </w:r>
          </w:p>
        </w:tc>
        <w:tc>
          <w:tcPr>
            <w:tcW w:w="180" w:type="dxa"/>
            <w:vAlign w:val="bottom"/>
          </w:tcPr>
          <w:p>
            <w:pPr>
              <w:spacing w:after="0"/>
              <w:rPr>
                <w:sz w:val="20"/>
                <w:szCs w:val="20"/>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373,828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55,684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5,998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435,510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435,510</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0"/>
                <w:szCs w:val="20"/>
                <w:color w:val="auto"/>
              </w:rPr>
            </w:pPr>
            <w:r>
              <w:rPr>
                <w:rFonts w:ascii="Arial" w:cs="Arial" w:eastAsia="Arial" w:hAnsi="Arial"/>
                <w:sz w:val="18"/>
                <w:szCs w:val="18"/>
                <w:color w:val="auto"/>
              </w:rPr>
              <w:t>Segment and corporate expenses (income):</w:t>
            </w: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18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259,977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36,211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8,448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304,636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304,636</w:t>
            </w:r>
          </w:p>
        </w:tc>
        <w:tc>
          <w:tcPr>
            <w:tcW w:w="0" w:type="dxa"/>
            <w:vAlign w:val="bottom"/>
          </w:tcPr>
          <w:p>
            <w:pPr>
              <w:spacing w:after="0"/>
              <w:rPr>
                <w:sz w:val="1"/>
                <w:szCs w:val="1"/>
                <w:color w:val="auto"/>
              </w:rPr>
            </w:pPr>
          </w:p>
        </w:tc>
      </w:tr>
      <w:tr>
        <w:trPr>
          <w:trHeight w:val="270"/>
        </w:trPr>
        <w:tc>
          <w:tcPr>
            <w:tcW w:w="3740" w:type="dxa"/>
            <w:vAlign w:val="bottom"/>
          </w:tcPr>
          <w:p>
            <w:pPr>
              <w:ind w:left="240"/>
              <w:spacing w:after="0"/>
              <w:rPr>
                <w:sz w:val="20"/>
                <w:szCs w:val="20"/>
                <w:color w:val="auto"/>
              </w:rPr>
            </w:pPr>
            <w:r>
              <w:rPr>
                <w:rFonts w:ascii="Arial" w:cs="Arial" w:eastAsia="Arial" w:hAnsi="Arial"/>
                <w:sz w:val="18"/>
                <w:szCs w:val="18"/>
                <w:color w:val="auto"/>
              </w:rPr>
              <w:t>Administrative</w:t>
            </w:r>
          </w:p>
        </w:tc>
        <w:tc>
          <w:tcPr>
            <w:tcW w:w="18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53,254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53,254</w:t>
            </w:r>
          </w:p>
        </w:tc>
        <w:tc>
          <w:tcPr>
            <w:tcW w:w="0" w:type="dxa"/>
            <w:vAlign w:val="bottom"/>
          </w:tcPr>
          <w:p>
            <w:pPr>
              <w:spacing w:after="0"/>
              <w:rPr>
                <w:sz w:val="1"/>
                <w:szCs w:val="1"/>
                <w:color w:val="auto"/>
              </w:rPr>
            </w:pPr>
          </w:p>
        </w:tc>
      </w:tr>
      <w:tr>
        <w:trPr>
          <w:trHeight w:val="270"/>
        </w:trPr>
        <w:tc>
          <w:tcPr>
            <w:tcW w:w="37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10,171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2,675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13,037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10,624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23,661</w:t>
            </w:r>
          </w:p>
        </w:tc>
        <w:tc>
          <w:tcPr>
            <w:tcW w:w="0" w:type="dxa"/>
            <w:vAlign w:val="bottom"/>
          </w:tcPr>
          <w:p>
            <w:pPr>
              <w:spacing w:after="0"/>
              <w:rPr>
                <w:sz w:val="1"/>
                <w:szCs w:val="1"/>
                <w:color w:val="auto"/>
              </w:rPr>
            </w:pPr>
          </w:p>
        </w:tc>
      </w:tr>
      <w:tr>
        <w:trPr>
          <w:trHeight w:val="270"/>
        </w:trPr>
        <w:tc>
          <w:tcPr>
            <w:tcW w:w="3740" w:type="dxa"/>
            <w:vAlign w:val="bottom"/>
          </w:tcPr>
          <w:p>
            <w:pPr>
              <w:ind w:left="240"/>
              <w:spacing w:after="0"/>
              <w:rPr>
                <w:sz w:val="20"/>
                <w:szCs w:val="20"/>
                <w:color w:val="auto"/>
              </w:rPr>
            </w:pPr>
            <w:r>
              <w:rPr>
                <w:rFonts w:ascii="Arial" w:cs="Arial" w:eastAsia="Arial" w:hAnsi="Arial"/>
                <w:sz w:val="18"/>
                <w:szCs w:val="18"/>
                <w:color w:val="auto"/>
              </w:rPr>
              <w:t>Loss on sale or disposal of assets</w:t>
            </w:r>
          </w:p>
        </w:tc>
        <w:tc>
          <w:tcPr>
            <w:tcW w:w="18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70"/>
        </w:trPr>
        <w:tc>
          <w:tcPr>
            <w:tcW w:w="374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27,794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27,803</w:t>
            </w:r>
          </w:p>
        </w:tc>
        <w:tc>
          <w:tcPr>
            <w:tcW w:w="0" w:type="dxa"/>
            <w:vAlign w:val="bottom"/>
          </w:tcPr>
          <w:p>
            <w:pPr>
              <w:spacing w:after="0"/>
              <w:rPr>
                <w:sz w:val="1"/>
                <w:szCs w:val="1"/>
                <w:color w:val="auto"/>
              </w:rPr>
            </w:pPr>
          </w:p>
        </w:tc>
      </w:tr>
      <w:tr>
        <w:trPr>
          <w:trHeight w:val="270"/>
        </w:trPr>
        <w:tc>
          <w:tcPr>
            <w:tcW w:w="374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(1,930)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(10,173)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(12,103)</w:t>
            </w:r>
          </w:p>
        </w:tc>
        <w:tc>
          <w:tcPr>
            <w:tcW w:w="0" w:type="dxa"/>
            <w:vAlign w:val="bottom"/>
          </w:tcPr>
          <w:p>
            <w:pPr>
              <w:spacing w:after="0"/>
              <w:rPr>
                <w:sz w:val="1"/>
                <w:szCs w:val="1"/>
                <w:color w:val="auto"/>
              </w:rPr>
            </w:pPr>
          </w:p>
        </w:tc>
      </w:tr>
      <w:tr>
        <w:trPr>
          <w:trHeight w:val="270"/>
        </w:trPr>
        <w:tc>
          <w:tcPr>
            <w:tcW w:w="3740" w:type="dxa"/>
            <w:vAlign w:val="bottom"/>
          </w:tcPr>
          <w:p>
            <w:pPr>
              <w:ind w:left="240"/>
              <w:spacing w:after="0"/>
              <w:rPr>
                <w:sz w:val="20"/>
                <w:szCs w:val="20"/>
                <w:color w:val="auto"/>
              </w:rPr>
            </w:pPr>
            <w:r>
              <w:rPr>
                <w:rFonts w:ascii="Arial" w:cs="Arial" w:eastAsia="Arial" w:hAnsi="Arial"/>
                <w:sz w:val="18"/>
                <w:szCs w:val="18"/>
                <w:color w:val="auto"/>
                <w:w w:val="93"/>
              </w:rPr>
              <w:t>Equity in net income of unconsolidated affiliate</w:t>
            </w:r>
          </w:p>
        </w:tc>
        <w:tc>
          <w:tcPr>
            <w:tcW w:w="18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(4,916)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(4,916)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(4,916)</w:t>
            </w:r>
          </w:p>
        </w:tc>
        <w:tc>
          <w:tcPr>
            <w:tcW w:w="0" w:type="dxa"/>
            <w:vAlign w:val="bottom"/>
          </w:tcPr>
          <w:p>
            <w:pPr>
              <w:spacing w:after="0"/>
              <w:rPr>
                <w:sz w:val="1"/>
                <w:szCs w:val="1"/>
                <w:color w:val="auto"/>
              </w:rPr>
            </w:pPr>
          </w:p>
        </w:tc>
      </w:tr>
      <w:tr>
        <w:trPr>
          <w:trHeight w:val="270"/>
        </w:trPr>
        <w:tc>
          <w:tcPr>
            <w:tcW w:w="3740" w:type="dxa"/>
            <w:vAlign w:val="bottom"/>
          </w:tcPr>
          <w:p>
            <w:pPr>
              <w:ind w:left="240"/>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40" w:type="dxa"/>
            <w:vAlign w:val="bottom"/>
          </w:tcPr>
          <w:p>
            <w:pPr>
              <w:spacing w:after="0"/>
              <w:rPr>
                <w:sz w:val="20"/>
                <w:szCs w:val="20"/>
                <w:color w:val="auto"/>
              </w:rPr>
            </w:pPr>
            <w:r>
              <w:rPr>
                <w:rFonts w:ascii="Arial" w:cs="Arial" w:eastAsia="Arial" w:hAnsi="Arial"/>
                <w:sz w:val="18"/>
                <w:szCs w:val="18"/>
                <w:color w:val="auto"/>
              </w:rPr>
              <w:t>Segment contribution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103,501</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18,654</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2,371</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center"/>
              <w:ind w:right="5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124,526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color w:val="auto"/>
                <w:w w:val="94"/>
              </w:rPr>
              <w:t>Income from continuing operations before income</w:t>
            </w: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7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vMerge w:val="restart"/>
          </w:tcPr>
          <w:p>
            <w:pPr>
              <w:jc w:val="center"/>
              <w:ind w:right="54"/>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124,526</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(81,287)</w:t>
            </w:r>
          </w:p>
        </w:tc>
        <w:tc>
          <w:tcPr>
            <w:tcW w:w="10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ind w:right="11"/>
              <w:spacing w:after="0"/>
              <w:rPr>
                <w:sz w:val="20"/>
                <w:szCs w:val="20"/>
                <w:color w:val="auto"/>
              </w:rPr>
            </w:pPr>
            <w:r>
              <w:rPr>
                <w:rFonts w:ascii="Arial" w:cs="Arial" w:eastAsia="Arial" w:hAnsi="Arial"/>
                <w:sz w:val="18"/>
                <w:szCs w:val="18"/>
                <w:color w:val="auto"/>
              </w:rPr>
              <w:t>43,239</w:t>
            </w:r>
          </w:p>
        </w:tc>
        <w:tc>
          <w:tcPr>
            <w:tcW w:w="0" w:type="dxa"/>
            <w:vAlign w:val="bottom"/>
          </w:tcPr>
          <w:p>
            <w:pPr>
              <w:spacing w:after="0"/>
              <w:rPr>
                <w:sz w:val="1"/>
                <w:szCs w:val="1"/>
                <w:color w:val="auto"/>
              </w:rPr>
            </w:pPr>
          </w:p>
        </w:tc>
      </w:tr>
      <w:tr>
        <w:trPr>
          <w:trHeight w:val="242"/>
        </w:trPr>
        <w:tc>
          <w:tcPr>
            <w:tcW w:w="3740" w:type="dxa"/>
            <w:vAlign w:val="bottom"/>
          </w:tcPr>
          <w:p>
            <w:pPr>
              <w:spacing w:after="0"/>
              <w:rPr>
                <w:sz w:val="20"/>
                <w:szCs w:val="20"/>
                <w:color w:val="auto"/>
              </w:rPr>
            </w:pPr>
            <w:r>
              <w:rPr>
                <w:rFonts w:ascii="Arial" w:cs="Arial" w:eastAsia="Arial" w:hAnsi="Arial"/>
                <w:sz w:val="18"/>
                <w:szCs w:val="18"/>
                <w:color w:val="auto"/>
              </w:rPr>
              <w:t>taxes</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585"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b w:val="1"/>
          <w:bCs w:val="1"/>
          <w:color w:val="auto"/>
        </w:rPr>
        <w:t>EZCORP,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STORE COUNT ACTIVITY (UNAUDITED)</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w w:val="98"/>
              </w:rPr>
              <w:t>Three Months Ended September 30, 2018</w:t>
            </w:r>
          </w:p>
        </w:tc>
        <w:tc>
          <w:tcPr>
            <w:tcW w:w="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20" w:type="dxa"/>
            <w:vAlign w:val="bottom"/>
          </w:tcPr>
          <w:p>
            <w:pPr>
              <w:spacing w:after="0"/>
              <w:rPr>
                <w:sz w:val="13"/>
                <w:szCs w:val="13"/>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U.S. Pawn</w:t>
            </w:r>
          </w:p>
        </w:tc>
        <w:tc>
          <w:tcPr>
            <w:tcW w:w="13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20" w:type="dxa"/>
            <w:vAlign w:val="bottom"/>
          </w:tcPr>
          <w:p>
            <w:pPr>
              <w:spacing w:after="0"/>
              <w:rPr>
                <w:sz w:val="13"/>
                <w:szCs w:val="13"/>
                <w:color w:val="auto"/>
              </w:rPr>
            </w:pPr>
          </w:p>
        </w:tc>
        <w:tc>
          <w:tcPr>
            <w:tcW w:w="15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Other International</w:t>
            </w:r>
          </w:p>
        </w:tc>
        <w:tc>
          <w:tcPr>
            <w:tcW w:w="20" w:type="dxa"/>
            <w:vAlign w:val="bottom"/>
          </w:tcPr>
          <w:p>
            <w:pPr>
              <w:spacing w:after="0"/>
              <w:rPr>
                <w:sz w:val="13"/>
                <w:szCs w:val="13"/>
                <w:color w:val="auto"/>
              </w:rPr>
            </w:pPr>
          </w:p>
        </w:tc>
        <w:tc>
          <w:tcPr>
            <w:tcW w:w="12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Pawn</w:t>
            </w:r>
          </w:p>
        </w:tc>
        <w:tc>
          <w:tcPr>
            <w:tcW w:w="20" w:type="dxa"/>
            <w:vAlign w:val="bottom"/>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6020" w:type="dxa"/>
            <w:vAlign w:val="bottom"/>
          </w:tcPr>
          <w:p>
            <w:pPr>
              <w:ind w:left="20"/>
              <w:spacing w:after="0"/>
              <w:rPr>
                <w:sz w:val="20"/>
                <w:szCs w:val="20"/>
                <w:color w:val="auto"/>
              </w:rPr>
            </w:pPr>
            <w:r>
              <w:rPr>
                <w:rFonts w:ascii="Arial" w:cs="Arial" w:eastAsia="Arial" w:hAnsi="Arial"/>
                <w:sz w:val="18"/>
                <w:szCs w:val="18"/>
                <w:color w:val="auto"/>
              </w:rPr>
              <w:t>As of June 30, 2018</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4"/>
                <w:szCs w:val="24"/>
                <w:color w:val="auto"/>
              </w:rPr>
            </w:pPr>
          </w:p>
        </w:tc>
        <w:tc>
          <w:tcPr>
            <w:tcW w:w="12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4"/>
                <w:szCs w:val="24"/>
                <w:color w:val="auto"/>
              </w:rPr>
            </w:pPr>
          </w:p>
        </w:tc>
        <w:tc>
          <w:tcPr>
            <w:tcW w:w="1460" w:type="dxa"/>
            <w:vAlign w:val="bottom"/>
            <w:tcBorders>
              <w:top w:val="single" w:sz="8" w:color="auto"/>
            </w:tcBorders>
            <w:gridSpan w:val="2"/>
          </w:tcPr>
          <w:p>
            <w:pPr>
              <w:jc w:val="right"/>
              <w:ind w:right="15"/>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988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60"/>
              <w:spacing w:after="0"/>
              <w:rPr>
                <w:sz w:val="20"/>
                <w:szCs w:val="20"/>
                <w:color w:val="auto"/>
              </w:rPr>
            </w:pPr>
            <w:r>
              <w:rPr>
                <w:rFonts w:ascii="Arial" w:cs="Arial" w:eastAsia="Arial" w:hAnsi="Arial"/>
                <w:sz w:val="18"/>
                <w:szCs w:val="18"/>
                <w:color w:val="auto"/>
              </w:rPr>
              <w:t>New locations opened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60"/>
              <w:spacing w:after="0"/>
              <w:rPr>
                <w:sz w:val="20"/>
                <w:szCs w:val="20"/>
                <w:color w:val="auto"/>
              </w:rPr>
            </w:pPr>
            <w:r>
              <w:rPr>
                <w:rFonts w:ascii="Arial" w:cs="Arial" w:eastAsia="Arial" w:hAnsi="Arial"/>
                <w:sz w:val="18"/>
                <w:szCs w:val="18"/>
                <w:color w:val="auto"/>
              </w:rPr>
              <w:t>Locations sold, combined or closed</w:t>
            </w: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20" w:type="dxa"/>
            <w:vAlign w:val="bottom"/>
            <w:vMerge w:val="restart"/>
          </w:tcPr>
          <w:p>
            <w:pPr>
              <w:ind w:left="20"/>
              <w:spacing w:after="0"/>
              <w:rPr>
                <w:sz w:val="20"/>
                <w:szCs w:val="20"/>
                <w:color w:val="auto"/>
              </w:rPr>
            </w:pPr>
            <w:r>
              <w:rPr>
                <w:rFonts w:ascii="Arial" w:cs="Arial" w:eastAsia="Arial" w:hAnsi="Arial"/>
                <w:sz w:val="18"/>
                <w:szCs w:val="18"/>
                <w:color w:val="auto"/>
              </w:rPr>
              <w:t>As of September 30, 2018</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20" w:type="dxa"/>
            <w:vAlign w:val="bottom"/>
            <w:vMerge w:val="continue"/>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0"/>
                <w:szCs w:val="20"/>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0"/>
                <w:szCs w:val="20"/>
                <w:color w:val="auto"/>
              </w:rPr>
            </w:pPr>
          </w:p>
        </w:tc>
        <w:tc>
          <w:tcPr>
            <w:tcW w:w="1460" w:type="dxa"/>
            <w:vAlign w:val="bottom"/>
            <w:gridSpan w:val="2"/>
          </w:tcPr>
          <w:p>
            <w:pPr>
              <w:jc w:val="right"/>
              <w:ind w:right="15"/>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988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60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w w:val="97"/>
              </w:rPr>
              <w:t>Three Months Ended September 30, 2017</w:t>
            </w: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020" w:type="dxa"/>
            <w:vAlign w:val="bottom"/>
          </w:tcPr>
          <w:p>
            <w:pPr>
              <w:spacing w:after="0"/>
              <w:rPr>
                <w:sz w:val="13"/>
                <w:szCs w:val="13"/>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U.S. Pawn</w:t>
            </w:r>
          </w:p>
        </w:tc>
        <w:tc>
          <w:tcPr>
            <w:tcW w:w="120" w:type="dxa"/>
            <w:vAlign w:val="bottom"/>
            <w:vMerge w:val="restart"/>
          </w:tcPr>
          <w:p>
            <w:pPr>
              <w:spacing w:after="0"/>
              <w:rPr>
                <w:sz w:val="13"/>
                <w:szCs w:val="13"/>
                <w:color w:val="auto"/>
              </w:rPr>
            </w:pPr>
          </w:p>
        </w:tc>
        <w:tc>
          <w:tcPr>
            <w:tcW w:w="13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20" w:type="dxa"/>
            <w:vAlign w:val="bottom"/>
          </w:tcPr>
          <w:p>
            <w:pPr>
              <w:spacing w:after="0"/>
              <w:rPr>
                <w:sz w:val="13"/>
                <w:szCs w:val="13"/>
                <w:color w:val="auto"/>
              </w:rPr>
            </w:pPr>
          </w:p>
        </w:tc>
        <w:tc>
          <w:tcPr>
            <w:tcW w:w="14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0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Pawn</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6020" w:type="dxa"/>
            <w:vAlign w:val="bottom"/>
          </w:tcPr>
          <w:p>
            <w:pPr>
              <w:spacing w:after="0"/>
              <w:rPr>
                <w:sz w:val="20"/>
                <w:szCs w:val="20"/>
                <w:color w:val="auto"/>
              </w:rPr>
            </w:pPr>
            <w:r>
              <w:rPr>
                <w:rFonts w:ascii="Arial" w:cs="Arial" w:eastAsia="Arial" w:hAnsi="Arial"/>
                <w:sz w:val="18"/>
                <w:szCs w:val="18"/>
                <w:color w:val="auto"/>
              </w:rPr>
              <w:t>As of June 30, 2017</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4"/>
                <w:szCs w:val="24"/>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8"/>
              <w:spacing w:after="0"/>
              <w:rPr>
                <w:sz w:val="20"/>
                <w:szCs w:val="20"/>
                <w:color w:val="auto"/>
              </w:rPr>
            </w:pPr>
            <w:r>
              <w:rPr>
                <w:rFonts w:ascii="Arial" w:cs="Arial" w:eastAsia="Arial" w:hAnsi="Arial"/>
                <w:sz w:val="18"/>
                <w:szCs w:val="18"/>
                <w:color w:val="auto"/>
              </w:rPr>
              <w:t>786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40"/>
              <w:spacing w:after="0"/>
              <w:rPr>
                <w:sz w:val="20"/>
                <w:szCs w:val="20"/>
                <w:color w:val="auto"/>
              </w:rPr>
            </w:pPr>
            <w:r>
              <w:rPr>
                <w:rFonts w:ascii="Arial" w:cs="Arial" w:eastAsia="Arial" w:hAnsi="Arial"/>
                <w:sz w:val="18"/>
                <w:szCs w:val="18"/>
                <w:color w:val="auto"/>
              </w:rPr>
              <w:t>New locations opened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40"/>
              <w:spacing w:after="0"/>
              <w:rPr>
                <w:sz w:val="20"/>
                <w:szCs w:val="20"/>
                <w:color w:val="auto"/>
              </w:rPr>
            </w:pPr>
            <w:r>
              <w:rPr>
                <w:rFonts w:ascii="Arial" w:cs="Arial" w:eastAsia="Arial" w:hAnsi="Arial"/>
                <w:sz w:val="18"/>
                <w:szCs w:val="18"/>
                <w:color w:val="auto"/>
              </w:rPr>
              <w:t>Locations acquired</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40"/>
              <w:spacing w:after="0"/>
              <w:rPr>
                <w:sz w:val="20"/>
                <w:szCs w:val="20"/>
                <w:color w:val="auto"/>
              </w:rPr>
            </w:pPr>
            <w:r>
              <w:rPr>
                <w:rFonts w:ascii="Arial" w:cs="Arial" w:eastAsia="Arial" w:hAnsi="Arial"/>
                <w:sz w:val="18"/>
                <w:szCs w:val="18"/>
                <w:color w:val="auto"/>
              </w:rPr>
              <w:t>Locations sold, combined or closed</w:t>
            </w: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20" w:type="dxa"/>
            <w:vAlign w:val="bottom"/>
            <w:vMerge w:val="restart"/>
          </w:tcPr>
          <w:p>
            <w:pPr>
              <w:spacing w:after="0"/>
              <w:rPr>
                <w:sz w:val="20"/>
                <w:szCs w:val="20"/>
                <w:color w:val="auto"/>
              </w:rPr>
            </w:pPr>
            <w:r>
              <w:rPr>
                <w:rFonts w:ascii="Arial" w:cs="Arial" w:eastAsia="Arial" w:hAnsi="Arial"/>
                <w:sz w:val="18"/>
                <w:szCs w:val="18"/>
                <w:color w:val="auto"/>
              </w:rPr>
              <w:t>As of September 30, 2017</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20" w:type="dxa"/>
            <w:vAlign w:val="bottom"/>
            <w:vMerge w:val="continue"/>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0"/>
                <w:szCs w:val="20"/>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8"/>
              <w:spacing w:after="0"/>
              <w:rPr>
                <w:sz w:val="20"/>
                <w:szCs w:val="20"/>
                <w:color w:val="auto"/>
              </w:rPr>
            </w:pPr>
            <w:r>
              <w:rPr>
                <w:rFonts w:ascii="Arial" w:cs="Arial" w:eastAsia="Arial" w:hAnsi="Arial"/>
                <w:sz w:val="18"/>
                <w:szCs w:val="18"/>
                <w:color w:val="auto"/>
              </w:rPr>
              <w:t>786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60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ind w:left="220"/>
              <w:spacing w:after="0"/>
              <w:rPr>
                <w:sz w:val="20"/>
                <w:szCs w:val="20"/>
                <w:color w:val="auto"/>
              </w:rPr>
            </w:pPr>
            <w:r>
              <w:rPr>
                <w:rFonts w:ascii="Arial" w:cs="Arial" w:eastAsia="Arial" w:hAnsi="Arial"/>
                <w:sz w:val="14"/>
                <w:szCs w:val="14"/>
                <w:b w:val="1"/>
                <w:bCs w:val="1"/>
                <w:color w:val="auto"/>
                <w:w w:val="95"/>
              </w:rPr>
              <w:t>Twelve Months Ended September 30, 2018</w:t>
            </w: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020" w:type="dxa"/>
            <w:vAlign w:val="bottom"/>
          </w:tcPr>
          <w:p>
            <w:pPr>
              <w:spacing w:after="0"/>
              <w:rPr>
                <w:sz w:val="13"/>
                <w:szCs w:val="13"/>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U.S. Pawn</w:t>
            </w:r>
          </w:p>
        </w:tc>
        <w:tc>
          <w:tcPr>
            <w:tcW w:w="120" w:type="dxa"/>
            <w:vAlign w:val="bottom"/>
            <w:vMerge w:val="restart"/>
          </w:tcPr>
          <w:p>
            <w:pPr>
              <w:spacing w:after="0"/>
              <w:rPr>
                <w:sz w:val="13"/>
                <w:szCs w:val="13"/>
                <w:color w:val="auto"/>
              </w:rPr>
            </w:pPr>
          </w:p>
        </w:tc>
        <w:tc>
          <w:tcPr>
            <w:tcW w:w="13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20" w:type="dxa"/>
            <w:vAlign w:val="bottom"/>
          </w:tcPr>
          <w:p>
            <w:pPr>
              <w:spacing w:after="0"/>
              <w:rPr>
                <w:sz w:val="13"/>
                <w:szCs w:val="13"/>
                <w:color w:val="auto"/>
              </w:rPr>
            </w:pPr>
          </w:p>
        </w:tc>
        <w:tc>
          <w:tcPr>
            <w:tcW w:w="14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0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Pawn</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6020" w:type="dxa"/>
            <w:vAlign w:val="bottom"/>
          </w:tcPr>
          <w:p>
            <w:pPr>
              <w:spacing w:after="0"/>
              <w:rPr>
                <w:sz w:val="20"/>
                <w:szCs w:val="20"/>
                <w:color w:val="auto"/>
              </w:rPr>
            </w:pPr>
            <w:r>
              <w:rPr>
                <w:rFonts w:ascii="Arial" w:cs="Arial" w:eastAsia="Arial" w:hAnsi="Arial"/>
                <w:sz w:val="18"/>
                <w:szCs w:val="18"/>
                <w:color w:val="auto"/>
              </w:rPr>
              <w:t>As of September 30, 2017</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4"/>
                <w:szCs w:val="24"/>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8"/>
              <w:spacing w:after="0"/>
              <w:rPr>
                <w:sz w:val="20"/>
                <w:szCs w:val="20"/>
                <w:color w:val="auto"/>
              </w:rPr>
            </w:pPr>
            <w:r>
              <w:rPr>
                <w:rFonts w:ascii="Arial" w:cs="Arial" w:eastAsia="Arial" w:hAnsi="Arial"/>
                <w:sz w:val="18"/>
                <w:szCs w:val="18"/>
                <w:color w:val="auto"/>
              </w:rPr>
              <w:t>786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40"/>
              <w:spacing w:after="0"/>
              <w:rPr>
                <w:sz w:val="20"/>
                <w:szCs w:val="20"/>
                <w:color w:val="auto"/>
              </w:rPr>
            </w:pPr>
            <w:r>
              <w:rPr>
                <w:rFonts w:ascii="Arial" w:cs="Arial" w:eastAsia="Arial" w:hAnsi="Arial"/>
                <w:sz w:val="18"/>
                <w:szCs w:val="18"/>
                <w:color w:val="auto"/>
              </w:rPr>
              <w:t>New locations opened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40"/>
              <w:spacing w:after="0"/>
              <w:rPr>
                <w:sz w:val="20"/>
                <w:szCs w:val="20"/>
                <w:color w:val="auto"/>
              </w:rPr>
            </w:pPr>
            <w:r>
              <w:rPr>
                <w:rFonts w:ascii="Arial" w:cs="Arial" w:eastAsia="Arial" w:hAnsi="Arial"/>
                <w:sz w:val="18"/>
                <w:szCs w:val="18"/>
                <w:color w:val="auto"/>
              </w:rPr>
              <w:t>Locations acquired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40"/>
              <w:spacing w:after="0"/>
              <w:rPr>
                <w:sz w:val="20"/>
                <w:szCs w:val="20"/>
                <w:color w:val="auto"/>
              </w:rPr>
            </w:pPr>
            <w:r>
              <w:rPr>
                <w:rFonts w:ascii="Arial" w:cs="Arial" w:eastAsia="Arial" w:hAnsi="Arial"/>
                <w:sz w:val="18"/>
                <w:szCs w:val="18"/>
                <w:color w:val="auto"/>
              </w:rPr>
              <w:t>Locations sold, combined or closed</w:t>
            </w: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20" w:type="dxa"/>
            <w:vAlign w:val="bottom"/>
            <w:vMerge w:val="restart"/>
          </w:tcPr>
          <w:p>
            <w:pPr>
              <w:spacing w:after="0"/>
              <w:rPr>
                <w:sz w:val="20"/>
                <w:szCs w:val="20"/>
                <w:color w:val="auto"/>
              </w:rPr>
            </w:pPr>
            <w:r>
              <w:rPr>
                <w:rFonts w:ascii="Arial" w:cs="Arial" w:eastAsia="Arial" w:hAnsi="Arial"/>
                <w:sz w:val="18"/>
                <w:szCs w:val="18"/>
                <w:color w:val="auto"/>
              </w:rPr>
              <w:t>As of September 30, 2018</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20" w:type="dxa"/>
            <w:vAlign w:val="bottom"/>
            <w:vMerge w:val="continue"/>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0"/>
                <w:szCs w:val="20"/>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8"/>
              <w:spacing w:after="0"/>
              <w:rPr>
                <w:sz w:val="20"/>
                <w:szCs w:val="20"/>
                <w:color w:val="auto"/>
              </w:rPr>
            </w:pPr>
            <w:r>
              <w:rPr>
                <w:rFonts w:ascii="Arial" w:cs="Arial" w:eastAsia="Arial" w:hAnsi="Arial"/>
                <w:sz w:val="18"/>
                <w:szCs w:val="18"/>
                <w:color w:val="auto"/>
              </w:rPr>
              <w:t>988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60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ind w:left="220"/>
              <w:spacing w:after="0"/>
              <w:rPr>
                <w:sz w:val="20"/>
                <w:szCs w:val="20"/>
                <w:color w:val="auto"/>
              </w:rPr>
            </w:pPr>
            <w:r>
              <w:rPr>
                <w:rFonts w:ascii="Arial" w:cs="Arial" w:eastAsia="Arial" w:hAnsi="Arial"/>
                <w:sz w:val="14"/>
                <w:szCs w:val="14"/>
                <w:b w:val="1"/>
                <w:bCs w:val="1"/>
                <w:color w:val="auto"/>
                <w:w w:val="95"/>
              </w:rPr>
              <w:t>Twelve Months Ended September 30, 2017</w:t>
            </w: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020" w:type="dxa"/>
            <w:vAlign w:val="bottom"/>
          </w:tcPr>
          <w:p>
            <w:pPr>
              <w:spacing w:after="0"/>
              <w:rPr>
                <w:sz w:val="13"/>
                <w:szCs w:val="13"/>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U.S. Pawn</w:t>
            </w:r>
          </w:p>
        </w:tc>
        <w:tc>
          <w:tcPr>
            <w:tcW w:w="120" w:type="dxa"/>
            <w:vAlign w:val="bottom"/>
            <w:vMerge w:val="restart"/>
          </w:tcPr>
          <w:p>
            <w:pPr>
              <w:spacing w:after="0"/>
              <w:rPr>
                <w:sz w:val="13"/>
                <w:szCs w:val="13"/>
                <w:color w:val="auto"/>
              </w:rPr>
            </w:pPr>
          </w:p>
        </w:tc>
        <w:tc>
          <w:tcPr>
            <w:tcW w:w="13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20" w:type="dxa"/>
            <w:vAlign w:val="bottom"/>
          </w:tcPr>
          <w:p>
            <w:pPr>
              <w:spacing w:after="0"/>
              <w:rPr>
                <w:sz w:val="13"/>
                <w:szCs w:val="13"/>
                <w:color w:val="auto"/>
              </w:rPr>
            </w:pPr>
          </w:p>
        </w:tc>
        <w:tc>
          <w:tcPr>
            <w:tcW w:w="14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0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Pawn</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6020" w:type="dxa"/>
            <w:vAlign w:val="bottom"/>
          </w:tcPr>
          <w:p>
            <w:pPr>
              <w:spacing w:after="0"/>
              <w:rPr>
                <w:sz w:val="20"/>
                <w:szCs w:val="20"/>
                <w:color w:val="auto"/>
              </w:rPr>
            </w:pPr>
            <w:r>
              <w:rPr>
                <w:rFonts w:ascii="Arial" w:cs="Arial" w:eastAsia="Arial" w:hAnsi="Arial"/>
                <w:sz w:val="18"/>
                <w:szCs w:val="18"/>
                <w:color w:val="auto"/>
              </w:rPr>
              <w:t>As of September 30, 2016</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4"/>
                <w:szCs w:val="24"/>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8"/>
              <w:spacing w:after="0"/>
              <w:rPr>
                <w:sz w:val="20"/>
                <w:szCs w:val="20"/>
                <w:color w:val="auto"/>
              </w:rPr>
            </w:pPr>
            <w:r>
              <w:rPr>
                <w:rFonts w:ascii="Arial" w:cs="Arial" w:eastAsia="Arial" w:hAnsi="Arial"/>
                <w:sz w:val="18"/>
                <w:szCs w:val="18"/>
                <w:color w:val="auto"/>
              </w:rPr>
              <w:t>786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40"/>
              <w:spacing w:after="0"/>
              <w:rPr>
                <w:sz w:val="20"/>
                <w:szCs w:val="20"/>
                <w:color w:val="auto"/>
              </w:rPr>
            </w:pPr>
            <w:r>
              <w:rPr>
                <w:rFonts w:ascii="Arial" w:cs="Arial" w:eastAsia="Arial" w:hAnsi="Arial"/>
                <w:sz w:val="18"/>
                <w:szCs w:val="18"/>
                <w:color w:val="auto"/>
              </w:rPr>
              <w:t>New locations opened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40"/>
              <w:spacing w:after="0"/>
              <w:rPr>
                <w:sz w:val="20"/>
                <w:szCs w:val="20"/>
                <w:color w:val="auto"/>
              </w:rPr>
            </w:pPr>
            <w:r>
              <w:rPr>
                <w:rFonts w:ascii="Arial" w:cs="Arial" w:eastAsia="Arial" w:hAnsi="Arial"/>
                <w:sz w:val="18"/>
                <w:szCs w:val="18"/>
                <w:color w:val="auto"/>
              </w:rPr>
              <w:t>Locations acquired</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40"/>
              <w:spacing w:after="0"/>
              <w:rPr>
                <w:sz w:val="20"/>
                <w:szCs w:val="20"/>
                <w:color w:val="auto"/>
              </w:rPr>
            </w:pPr>
            <w:r>
              <w:rPr>
                <w:rFonts w:ascii="Arial" w:cs="Arial" w:eastAsia="Arial" w:hAnsi="Arial"/>
                <w:sz w:val="18"/>
                <w:szCs w:val="18"/>
                <w:color w:val="auto"/>
              </w:rPr>
              <w:t>Locations sold, combined or closed</w:t>
            </w: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20" w:type="dxa"/>
            <w:vAlign w:val="bottom"/>
            <w:vMerge w:val="restart"/>
          </w:tcPr>
          <w:p>
            <w:pPr>
              <w:spacing w:after="0"/>
              <w:rPr>
                <w:sz w:val="20"/>
                <w:szCs w:val="20"/>
                <w:color w:val="auto"/>
              </w:rPr>
            </w:pPr>
            <w:r>
              <w:rPr>
                <w:rFonts w:ascii="Arial" w:cs="Arial" w:eastAsia="Arial" w:hAnsi="Arial"/>
                <w:sz w:val="18"/>
                <w:szCs w:val="18"/>
                <w:color w:val="auto"/>
              </w:rPr>
              <w:t>As of September 30, 2017</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20" w:type="dxa"/>
            <w:vAlign w:val="bottom"/>
            <w:vMerge w:val="continue"/>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0"/>
                <w:szCs w:val="20"/>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8"/>
              <w:spacing w:after="0"/>
              <w:rPr>
                <w:sz w:val="20"/>
                <w:szCs w:val="20"/>
                <w:color w:val="auto"/>
              </w:rPr>
            </w:pPr>
            <w:r>
              <w:rPr>
                <w:rFonts w:ascii="Arial" w:cs="Arial" w:eastAsia="Arial" w:hAnsi="Arial"/>
                <w:sz w:val="18"/>
                <w:szCs w:val="18"/>
                <w:color w:val="auto"/>
              </w:rPr>
              <w:t>786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Information (Unaudited)</w:t>
      </w:r>
    </w:p>
    <w:p>
      <w:pPr>
        <w:spacing w:after="0" w:line="171" w:lineRule="exact"/>
        <w:rPr>
          <w:sz w:val="20"/>
          <w:szCs w:val="20"/>
          <w:color w:val="auto"/>
        </w:rPr>
      </w:pPr>
    </w:p>
    <w:p>
      <w:pPr>
        <w:jc w:val="both"/>
        <w:ind w:right="100"/>
        <w:spacing w:after="0" w:line="286" w:lineRule="auto"/>
        <w:rPr>
          <w:sz w:val="20"/>
          <w:szCs w:val="20"/>
          <w:color w:val="auto"/>
        </w:rPr>
      </w:pPr>
      <w:r>
        <w:rPr>
          <w:rFonts w:ascii="Arial" w:cs="Arial" w:eastAsia="Arial" w:hAnsi="Arial"/>
          <w:sz w:val="16"/>
          <w:szCs w:val="16"/>
          <w:color w:val="auto"/>
        </w:rPr>
        <w:t>In addition to the financial information prepared in conformity with generally accepted accounting principles in the United States of America ("GAAP"), we provide certain other non-GAAP financial information on a constant currency basis ("constant currency") and on an adjusted basis. We use constant currency results to evaluate our Latin America Pawn operations, which are denominated primarily in Mexican pesos and other Latin American currencies. As GPMX was not acquired until fiscal 2018, such results included on a constant currency basis reflect the actual exchange rates in effect during the year</w:t>
      </w:r>
    </w:p>
    <w:p>
      <w:pPr>
        <w:spacing w:after="0" w:line="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ended September 30, 2018 without adjustment. We believe that presentation of constant currency results is meaningful and useful in understanding the activities and business metrics of our Latin America Pawn operations and reflect an additional way of viewing aspects of our business that, when viewed with GAAP results, provide a more complete understanding of factors and trends affecting our business. We believe that presentation of results on an adjusted basis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instead of or superior to, our</w:t>
      </w:r>
    </w:p>
    <w:p>
      <w:pPr>
        <w:sectPr>
          <w:pgSz w:w="11900" w:h="16838" w:orient="portrait"/>
          <w:cols w:equalWidth="0" w:num="1">
            <w:col w:w="11420"/>
          </w:cols>
          <w:pgMar w:left="240" w:top="585" w:right="239" w:bottom="1440" w:gutter="0" w:footer="0" w:header="0"/>
        </w:sectPr>
      </w:pPr>
    </w:p>
    <w:bookmarkStart w:id="14" w:name="page15"/>
    <w:bookmarkEnd w:id="14"/>
    <w:p>
      <w:pPr>
        <w:ind w:right="700"/>
        <w:spacing w:after="0" w:line="277" w:lineRule="auto"/>
        <w:rPr>
          <w:sz w:val="20"/>
          <w:szCs w:val="20"/>
          <w:color w:val="auto"/>
        </w:rPr>
      </w:pPr>
      <w:r>
        <w:rPr>
          <w:rFonts w:ascii="Arial" w:cs="Arial" w:eastAsia="Arial" w:hAnsi="Arial"/>
          <w:sz w:val="18"/>
          <w:szCs w:val="18"/>
          <w:color w:val="auto"/>
        </w:rPr>
        <w:t>financial statements prepared in accordance with GAAP. This non-GAAP financial information may be determined or calculated differently by other companies, limiting the usefulness of those measures for comparative purposes.</w:t>
      </w:r>
    </w:p>
    <w:p>
      <w:pPr>
        <w:spacing w:after="0" w:line="11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Constant currency results reported herein are calculated by translating consolidated balance sheet and consolidated statement of operations items denominated in Mexican pesos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The end-of-period Mexican peso to U.S. dollar exchange rate as of September 30, 2018 and 2017 was 18.7 to 1 and 18.2 to 1, respectively. The approximate average Mexican peso to U.S. dollar exchange rate for the years ended September 30, 2018, 2017 and 2016 was 19 to 1, 19.1 to 1, and 17.9, respectively.</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statement of operations constant currency results reflect the monthly exchange rate fluctuations and so are not directly calculable from the above rates. Constant currency results, where presented, also exclude the foreign currency gain or loss. We have experienced a prolonged weakening of the Mexican peso to the U.S. dollar and may continue to experience further weakening in future reporting periods, which may adversely impact our future operating results when stated on a GAAP basis.</w:t>
      </w:r>
    </w:p>
    <w:p>
      <w:pPr>
        <w:spacing w:after="0" w:line="13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information provides reconciliations of certain non-GAAP financial measures presented in this press release to the most directly comparable financial measures calculated and presented in accordance with GAAP as of and for the September 30,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Miscellaneous Non-GAAP Financial Measures (Unaudited)</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52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w w:val="97"/>
              </w:rPr>
              <w:t>Fiscal Year Ended</w:t>
            </w:r>
          </w:p>
        </w:tc>
      </w:tr>
      <w:tr>
        <w:trPr>
          <w:trHeight w:val="192"/>
        </w:trPr>
        <w:tc>
          <w:tcPr>
            <w:tcW w:w="7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5"/>
          </w:tcPr>
          <w:p>
            <w:pPr>
              <w:ind w:left="36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6"/>
                <w:szCs w:val="16"/>
                <w:color w:val="auto"/>
              </w:rPr>
            </w:pPr>
          </w:p>
        </w:tc>
        <w:tc>
          <w:tcPr>
            <w:tcW w:w="152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75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2017</w:t>
            </w:r>
          </w:p>
        </w:tc>
      </w:tr>
      <w:tr>
        <w:trPr>
          <w:trHeight w:val="312"/>
        </w:trPr>
        <w:tc>
          <w:tcPr>
            <w:tcW w:w="7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70"/>
        </w:trPr>
        <w:tc>
          <w:tcPr>
            <w:tcW w:w="7500" w:type="dxa"/>
            <w:vAlign w:val="bottom"/>
          </w:tcPr>
          <w:p>
            <w:pPr>
              <w:spacing w:after="0"/>
              <w:rPr>
                <w:sz w:val="20"/>
                <w:szCs w:val="20"/>
                <w:color w:val="auto"/>
              </w:rPr>
            </w:pPr>
            <w:r>
              <w:rPr>
                <w:rFonts w:ascii="Arial" w:cs="Arial" w:eastAsia="Arial" w:hAnsi="Arial"/>
                <w:sz w:val="14"/>
                <w:szCs w:val="14"/>
                <w:color w:val="auto"/>
              </w:rPr>
              <w:t>Income from continuing operations before income taxes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57.1</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43.2</w:t>
            </w:r>
          </w:p>
        </w:tc>
      </w:tr>
      <w:tr>
        <w:trPr>
          <w:trHeight w:val="270"/>
        </w:trPr>
        <w:tc>
          <w:tcPr>
            <w:tcW w:w="7500" w:type="dxa"/>
            <w:vAlign w:val="bottom"/>
          </w:tcPr>
          <w:p>
            <w:pPr>
              <w:spacing w:after="0"/>
              <w:rPr>
                <w:sz w:val="20"/>
                <w:szCs w:val="20"/>
                <w:color w:val="auto"/>
              </w:rPr>
            </w:pPr>
            <w:r>
              <w:rPr>
                <w:rFonts w:ascii="Arial" w:cs="Arial" w:eastAsia="Arial" w:hAnsi="Arial"/>
                <w:sz w:val="14"/>
                <w:szCs w:val="14"/>
                <w:color w:val="auto"/>
              </w:rPr>
              <w:t>Impairment of investment</w:t>
            </w: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7500" w:type="dxa"/>
            <w:vAlign w:val="bottom"/>
          </w:tcPr>
          <w:p>
            <w:pPr>
              <w:spacing w:after="0"/>
              <w:rPr>
                <w:sz w:val="20"/>
                <w:szCs w:val="20"/>
                <w:color w:val="auto"/>
              </w:rPr>
            </w:pPr>
            <w:r>
              <w:rPr>
                <w:rFonts w:ascii="Arial" w:cs="Arial" w:eastAsia="Arial" w:hAnsi="Arial"/>
                <w:sz w:val="14"/>
                <w:szCs w:val="14"/>
                <w:color w:val="auto"/>
              </w:rPr>
              <w:t>Acquisition expenses</w:t>
            </w: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1.1</w:t>
            </w:r>
          </w:p>
        </w:tc>
      </w:tr>
      <w:tr>
        <w:trPr>
          <w:trHeight w:val="270"/>
        </w:trPr>
        <w:tc>
          <w:tcPr>
            <w:tcW w:w="750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270"/>
        </w:trPr>
        <w:tc>
          <w:tcPr>
            <w:tcW w:w="7500" w:type="dxa"/>
            <w:vAlign w:val="bottom"/>
          </w:tcPr>
          <w:p>
            <w:pPr>
              <w:spacing w:after="0"/>
              <w:rPr>
                <w:sz w:val="20"/>
                <w:szCs w:val="20"/>
                <w:color w:val="auto"/>
              </w:rPr>
            </w:pPr>
            <w:r>
              <w:rPr>
                <w:rFonts w:ascii="Arial" w:cs="Arial" w:eastAsia="Arial" w:hAnsi="Arial"/>
                <w:sz w:val="14"/>
                <w:szCs w:val="14"/>
                <w:color w:val="auto"/>
              </w:rPr>
              <w:t>Net revenue impact from Hurricanes Harvey and Irma</w:t>
            </w:r>
          </w:p>
        </w:tc>
        <w:tc>
          <w:tcPr>
            <w:tcW w:w="22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0.2</w:t>
            </w:r>
          </w:p>
        </w:tc>
      </w:tr>
      <w:tr>
        <w:trPr>
          <w:trHeight w:val="270"/>
        </w:trPr>
        <w:tc>
          <w:tcPr>
            <w:tcW w:w="7500" w:type="dxa"/>
            <w:vAlign w:val="bottom"/>
          </w:tcPr>
          <w:p>
            <w:pPr>
              <w:spacing w:after="0"/>
              <w:rPr>
                <w:sz w:val="20"/>
                <w:szCs w:val="20"/>
                <w:color w:val="auto"/>
              </w:rPr>
            </w:pPr>
            <w:r>
              <w:rPr>
                <w:rFonts w:ascii="Arial" w:cs="Arial" w:eastAsia="Arial" w:hAnsi="Arial"/>
                <w:sz w:val="14"/>
                <w:szCs w:val="14"/>
                <w:color w:val="auto"/>
              </w:rPr>
              <w:t>Operating expense impact from Hurricanes Harvey and Irma</w:t>
            </w:r>
          </w:p>
        </w:tc>
        <w:tc>
          <w:tcPr>
            <w:tcW w:w="22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0.9</w:t>
            </w:r>
          </w:p>
        </w:tc>
      </w:tr>
      <w:tr>
        <w:trPr>
          <w:trHeight w:val="270"/>
        </w:trPr>
        <w:tc>
          <w:tcPr>
            <w:tcW w:w="7500" w:type="dxa"/>
            <w:vAlign w:val="bottom"/>
          </w:tcPr>
          <w:p>
            <w:pPr>
              <w:spacing w:after="0"/>
              <w:rPr>
                <w:sz w:val="20"/>
                <w:szCs w:val="20"/>
                <w:color w:val="auto"/>
              </w:rPr>
            </w:pPr>
            <w:r>
              <w:rPr>
                <w:rFonts w:ascii="Arial" w:cs="Arial" w:eastAsia="Arial" w:hAnsi="Arial"/>
                <w:sz w:val="14"/>
                <w:szCs w:val="14"/>
                <w:color w:val="auto"/>
              </w:rPr>
              <w:t>Impact from restructuring of Grupo Finmart notes receivable</w:t>
            </w:r>
          </w:p>
        </w:tc>
        <w:tc>
          <w:tcPr>
            <w:tcW w:w="22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70"/>
        </w:trPr>
        <w:tc>
          <w:tcPr>
            <w:tcW w:w="7500" w:type="dxa"/>
            <w:vAlign w:val="bottom"/>
          </w:tcPr>
          <w:p>
            <w:pPr>
              <w:spacing w:after="0"/>
              <w:rPr>
                <w:sz w:val="20"/>
                <w:szCs w:val="20"/>
                <w:color w:val="auto"/>
              </w:rPr>
            </w:pPr>
            <w:r>
              <w:rPr>
                <w:rFonts w:ascii="Arial" w:cs="Arial" w:eastAsia="Arial" w:hAnsi="Arial"/>
                <w:sz w:val="14"/>
                <w:szCs w:val="14"/>
                <w:color w:val="auto"/>
              </w:rPr>
              <w:t>Debt extinguishment costs</w:t>
            </w:r>
          </w:p>
        </w:tc>
        <w:tc>
          <w:tcPr>
            <w:tcW w:w="22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5.2</w:t>
            </w:r>
          </w:p>
        </w:tc>
      </w:tr>
      <w:tr>
        <w:trPr>
          <w:trHeight w:val="270"/>
        </w:trPr>
        <w:tc>
          <w:tcPr>
            <w:tcW w:w="7500" w:type="dxa"/>
            <w:vAlign w:val="bottom"/>
          </w:tcPr>
          <w:p>
            <w:pPr>
              <w:spacing w:after="0"/>
              <w:rPr>
                <w:sz w:val="20"/>
                <w:szCs w:val="20"/>
                <w:color w:val="auto"/>
              </w:rPr>
            </w:pPr>
            <w:r>
              <w:rPr>
                <w:rFonts w:ascii="Arial" w:cs="Arial" w:eastAsia="Arial" w:hAnsi="Arial"/>
                <w:sz w:val="14"/>
                <w:szCs w:val="14"/>
                <w:color w:val="auto"/>
              </w:rPr>
              <w:t>Litigation settlement</w:t>
            </w:r>
          </w:p>
        </w:tc>
        <w:tc>
          <w:tcPr>
            <w:tcW w:w="22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7500" w:type="dxa"/>
            <w:vAlign w:val="bottom"/>
          </w:tcPr>
          <w:p>
            <w:pPr>
              <w:spacing w:after="0"/>
              <w:rPr>
                <w:sz w:val="20"/>
                <w:szCs w:val="20"/>
                <w:color w:val="auto"/>
              </w:rPr>
            </w:pPr>
            <w:r>
              <w:rPr>
                <w:rFonts w:ascii="Arial" w:cs="Arial" w:eastAsia="Arial" w:hAnsi="Arial"/>
                <w:sz w:val="14"/>
                <w:szCs w:val="14"/>
                <w:color w:val="auto"/>
              </w:rPr>
              <w:t>Asset disposal</w:t>
            </w:r>
          </w:p>
        </w:tc>
        <w:tc>
          <w:tcPr>
            <w:tcW w:w="22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0.2</w:t>
            </w:r>
          </w:p>
        </w:tc>
      </w:tr>
      <w:tr>
        <w:trPr>
          <w:trHeight w:val="276"/>
        </w:trPr>
        <w:tc>
          <w:tcPr>
            <w:tcW w:w="7500" w:type="dxa"/>
            <w:vAlign w:val="bottom"/>
          </w:tcPr>
          <w:p>
            <w:pPr>
              <w:spacing w:after="0"/>
              <w:rPr>
                <w:sz w:val="20"/>
                <w:szCs w:val="20"/>
                <w:color w:val="auto"/>
              </w:rPr>
            </w:pPr>
            <w:r>
              <w:rPr>
                <w:rFonts w:ascii="Arial" w:cs="Arial" w:eastAsia="Arial" w:hAnsi="Arial"/>
                <w:sz w:val="14"/>
                <w:szCs w:val="14"/>
                <w:color w:val="auto"/>
              </w:rPr>
              <w:t>Organizational realignment expenses</w:t>
            </w:r>
          </w:p>
        </w:tc>
        <w:tc>
          <w:tcPr>
            <w:tcW w:w="22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1.1</w:t>
            </w:r>
          </w:p>
        </w:tc>
      </w:tr>
      <w:tr>
        <w:trPr>
          <w:trHeight w:val="243"/>
        </w:trPr>
        <w:tc>
          <w:tcPr>
            <w:tcW w:w="7500" w:type="dxa"/>
            <w:vAlign w:val="bottom"/>
          </w:tcPr>
          <w:p>
            <w:pPr>
              <w:ind w:left="240"/>
              <w:spacing w:after="0"/>
              <w:rPr>
                <w:sz w:val="20"/>
                <w:szCs w:val="20"/>
                <w:color w:val="auto"/>
              </w:rPr>
            </w:pPr>
            <w:r>
              <w:rPr>
                <w:rFonts w:ascii="Arial" w:cs="Arial" w:eastAsia="Arial" w:hAnsi="Arial"/>
                <w:sz w:val="14"/>
                <w:szCs w:val="14"/>
                <w:color w:val="auto"/>
              </w:rPr>
              <w:t>Adjusted income from continuing operations before income taxes</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64.4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48.5</w:t>
            </w:r>
          </w:p>
        </w:tc>
      </w:tr>
      <w:tr>
        <w:trPr>
          <w:trHeight w:val="20"/>
        </w:trPr>
        <w:tc>
          <w:tcPr>
            <w:tcW w:w="7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360"/>
        </w:trPr>
        <w:tc>
          <w:tcPr>
            <w:tcW w:w="7500" w:type="dxa"/>
            <w:vAlign w:val="bottom"/>
          </w:tcPr>
          <w:p>
            <w:pPr>
              <w:spacing w:after="0"/>
              <w:rPr>
                <w:sz w:val="20"/>
                <w:szCs w:val="20"/>
                <w:color w:val="auto"/>
              </w:rPr>
            </w:pPr>
            <w:r>
              <w:rPr>
                <w:rFonts w:ascii="Arial" w:cs="Arial" w:eastAsia="Arial" w:hAnsi="Arial"/>
                <w:sz w:val="14"/>
                <w:szCs w:val="14"/>
                <w:color w:val="auto"/>
              </w:rPr>
              <w:t>Basic earnings per share</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0.73</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0.62</w:t>
            </w:r>
          </w:p>
        </w:tc>
      </w:tr>
      <w:tr>
        <w:trPr>
          <w:trHeight w:val="270"/>
        </w:trPr>
        <w:tc>
          <w:tcPr>
            <w:tcW w:w="7500" w:type="dxa"/>
            <w:vAlign w:val="bottom"/>
          </w:tcPr>
          <w:p>
            <w:pPr>
              <w:spacing w:after="0"/>
              <w:rPr>
                <w:sz w:val="20"/>
                <w:szCs w:val="20"/>
                <w:color w:val="auto"/>
              </w:rPr>
            </w:pPr>
            <w:r>
              <w:rPr>
                <w:rFonts w:ascii="Arial" w:cs="Arial" w:eastAsia="Arial" w:hAnsi="Arial"/>
                <w:sz w:val="14"/>
                <w:szCs w:val="14"/>
                <w:color w:val="auto"/>
              </w:rPr>
              <w:t>Impairment of investment, net of tax impact per share</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0.16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7500" w:type="dxa"/>
            <w:vAlign w:val="bottom"/>
          </w:tcPr>
          <w:p>
            <w:pPr>
              <w:spacing w:after="0"/>
              <w:rPr>
                <w:sz w:val="20"/>
                <w:szCs w:val="20"/>
                <w:color w:val="auto"/>
              </w:rPr>
            </w:pPr>
            <w:r>
              <w:rPr>
                <w:rFonts w:ascii="Arial" w:cs="Arial" w:eastAsia="Arial" w:hAnsi="Arial"/>
                <w:sz w:val="14"/>
                <w:szCs w:val="14"/>
                <w:color w:val="auto"/>
              </w:rPr>
              <w:t>Acquisition expenses, net of tax impact per share</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0.02</w:t>
            </w:r>
          </w:p>
        </w:tc>
      </w:tr>
      <w:tr>
        <w:trPr>
          <w:trHeight w:val="270"/>
        </w:trPr>
        <w:tc>
          <w:tcPr>
            <w:tcW w:w="7500" w:type="dxa"/>
            <w:vAlign w:val="bottom"/>
          </w:tcPr>
          <w:p>
            <w:pPr>
              <w:spacing w:after="0"/>
              <w:rPr>
                <w:sz w:val="20"/>
                <w:szCs w:val="20"/>
                <w:color w:val="auto"/>
              </w:rPr>
            </w:pPr>
            <w:r>
              <w:rPr>
                <w:rFonts w:ascii="Arial" w:cs="Arial" w:eastAsia="Arial" w:hAnsi="Arial"/>
                <w:sz w:val="14"/>
                <w:szCs w:val="14"/>
                <w:color w:val="auto"/>
              </w:rPr>
              <w:t>Operating expense impact from Hurricanes Harvey and Irma, net of tax impact per share</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0.02</w:t>
            </w:r>
          </w:p>
        </w:tc>
      </w:tr>
      <w:tr>
        <w:trPr>
          <w:trHeight w:val="270"/>
        </w:trPr>
        <w:tc>
          <w:tcPr>
            <w:tcW w:w="7500" w:type="dxa"/>
            <w:vAlign w:val="bottom"/>
          </w:tcPr>
          <w:p>
            <w:pPr>
              <w:spacing w:after="0"/>
              <w:rPr>
                <w:sz w:val="20"/>
                <w:szCs w:val="20"/>
                <w:color w:val="auto"/>
              </w:rPr>
            </w:pPr>
            <w:r>
              <w:rPr>
                <w:rFonts w:ascii="Arial" w:cs="Arial" w:eastAsia="Arial" w:hAnsi="Arial"/>
                <w:sz w:val="14"/>
                <w:szCs w:val="14"/>
                <w:color w:val="auto"/>
              </w:rPr>
              <w:t>Impact from restructuring of Grupo Finmart notes receivable, net of tax impact per share</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(0.09)</w:t>
            </w:r>
          </w:p>
        </w:tc>
      </w:tr>
      <w:tr>
        <w:trPr>
          <w:trHeight w:val="270"/>
        </w:trPr>
        <w:tc>
          <w:tcPr>
            <w:tcW w:w="7500" w:type="dxa"/>
            <w:vAlign w:val="bottom"/>
          </w:tcPr>
          <w:p>
            <w:pPr>
              <w:spacing w:after="0"/>
              <w:rPr>
                <w:sz w:val="20"/>
                <w:szCs w:val="20"/>
                <w:color w:val="auto"/>
              </w:rPr>
            </w:pPr>
            <w:r>
              <w:rPr>
                <w:rFonts w:ascii="Arial" w:cs="Arial" w:eastAsia="Arial" w:hAnsi="Arial"/>
                <w:sz w:val="14"/>
                <w:szCs w:val="14"/>
                <w:color w:val="auto"/>
              </w:rPr>
              <w:t>Debt extinguishment costs, net of tax impact per share</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0.06</w:t>
            </w:r>
          </w:p>
        </w:tc>
      </w:tr>
      <w:tr>
        <w:trPr>
          <w:trHeight w:val="270"/>
        </w:trPr>
        <w:tc>
          <w:tcPr>
            <w:tcW w:w="7500" w:type="dxa"/>
            <w:vAlign w:val="bottom"/>
          </w:tcPr>
          <w:p>
            <w:pPr>
              <w:spacing w:after="0"/>
              <w:rPr>
                <w:sz w:val="20"/>
                <w:szCs w:val="20"/>
                <w:color w:val="auto"/>
              </w:rPr>
            </w:pPr>
            <w:r>
              <w:rPr>
                <w:rFonts w:ascii="Arial" w:cs="Arial" w:eastAsia="Arial" w:hAnsi="Arial"/>
                <w:sz w:val="14"/>
                <w:szCs w:val="14"/>
                <w:color w:val="auto"/>
              </w:rPr>
              <w:t>Litigation settlement, net of tax impact per share</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500" w:type="dxa"/>
            <w:vAlign w:val="bottom"/>
          </w:tcPr>
          <w:p>
            <w:pPr>
              <w:spacing w:after="0"/>
              <w:rPr>
                <w:sz w:val="20"/>
                <w:szCs w:val="20"/>
                <w:color w:val="auto"/>
              </w:rPr>
            </w:pPr>
            <w:r>
              <w:rPr>
                <w:rFonts w:ascii="Arial" w:cs="Arial" w:eastAsia="Arial" w:hAnsi="Arial"/>
                <w:sz w:val="14"/>
                <w:szCs w:val="14"/>
                <w:color w:val="auto"/>
              </w:rPr>
              <w:t>Organizational realignment expenses, net of tax impact per share</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0.01</w:t>
            </w:r>
          </w:p>
        </w:tc>
      </w:tr>
      <w:tr>
        <w:trPr>
          <w:trHeight w:val="243"/>
        </w:trPr>
        <w:tc>
          <w:tcPr>
            <w:tcW w:w="7500" w:type="dxa"/>
            <w:vAlign w:val="bottom"/>
          </w:tcPr>
          <w:p>
            <w:pPr>
              <w:ind w:left="240"/>
              <w:spacing w:after="0"/>
              <w:rPr>
                <w:sz w:val="20"/>
                <w:szCs w:val="20"/>
                <w:color w:val="auto"/>
              </w:rPr>
            </w:pPr>
            <w:r>
              <w:rPr>
                <w:rFonts w:ascii="Arial" w:cs="Arial" w:eastAsia="Arial" w:hAnsi="Arial"/>
                <w:sz w:val="14"/>
                <w:szCs w:val="14"/>
                <w:color w:val="auto"/>
              </w:rPr>
              <w:t>Adjusted basic earnings per share</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0.84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0.64</w:t>
            </w:r>
          </w:p>
        </w:tc>
      </w:tr>
      <w:tr>
        <w:trPr>
          <w:trHeight w:val="20"/>
        </w:trPr>
        <w:tc>
          <w:tcPr>
            <w:tcW w:w="7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360"/>
        </w:trPr>
        <w:tc>
          <w:tcPr>
            <w:tcW w:w="7500" w:type="dxa"/>
            <w:vAlign w:val="bottom"/>
          </w:tcPr>
          <w:p>
            <w:pPr>
              <w:spacing w:after="0"/>
              <w:rPr>
                <w:sz w:val="20"/>
                <w:szCs w:val="20"/>
                <w:color w:val="auto"/>
              </w:rPr>
            </w:pPr>
            <w:r>
              <w:rPr>
                <w:rFonts w:ascii="Arial" w:cs="Arial" w:eastAsia="Arial" w:hAnsi="Arial"/>
                <w:sz w:val="14"/>
                <w:szCs w:val="14"/>
                <w:color w:val="auto"/>
              </w:rPr>
              <w:t>Diluted earnings per share</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0.69</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0.62</w:t>
            </w:r>
          </w:p>
        </w:tc>
      </w:tr>
      <w:tr>
        <w:trPr>
          <w:trHeight w:val="270"/>
        </w:trPr>
        <w:tc>
          <w:tcPr>
            <w:tcW w:w="7500" w:type="dxa"/>
            <w:vAlign w:val="bottom"/>
          </w:tcPr>
          <w:p>
            <w:pPr>
              <w:spacing w:after="0"/>
              <w:rPr>
                <w:sz w:val="20"/>
                <w:szCs w:val="20"/>
                <w:color w:val="auto"/>
              </w:rPr>
            </w:pPr>
            <w:r>
              <w:rPr>
                <w:rFonts w:ascii="Arial" w:cs="Arial" w:eastAsia="Arial" w:hAnsi="Arial"/>
                <w:sz w:val="14"/>
                <w:szCs w:val="14"/>
                <w:color w:val="auto"/>
              </w:rPr>
              <w:t>Impairment of investment, net of tax impact per share</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0.15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7500" w:type="dxa"/>
            <w:vAlign w:val="bottom"/>
          </w:tcPr>
          <w:p>
            <w:pPr>
              <w:spacing w:after="0"/>
              <w:rPr>
                <w:sz w:val="20"/>
                <w:szCs w:val="20"/>
                <w:color w:val="auto"/>
              </w:rPr>
            </w:pPr>
            <w:r>
              <w:rPr>
                <w:rFonts w:ascii="Arial" w:cs="Arial" w:eastAsia="Arial" w:hAnsi="Arial"/>
                <w:sz w:val="14"/>
                <w:szCs w:val="14"/>
                <w:color w:val="auto"/>
              </w:rPr>
              <w:t>Acquisition expenses, net of tax impact per share</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0.02</w:t>
            </w:r>
          </w:p>
        </w:tc>
      </w:tr>
      <w:tr>
        <w:trPr>
          <w:trHeight w:val="270"/>
        </w:trPr>
        <w:tc>
          <w:tcPr>
            <w:tcW w:w="7500" w:type="dxa"/>
            <w:vAlign w:val="bottom"/>
          </w:tcPr>
          <w:p>
            <w:pPr>
              <w:spacing w:after="0"/>
              <w:rPr>
                <w:sz w:val="20"/>
                <w:szCs w:val="20"/>
                <w:color w:val="auto"/>
              </w:rPr>
            </w:pPr>
            <w:r>
              <w:rPr>
                <w:rFonts w:ascii="Arial" w:cs="Arial" w:eastAsia="Arial" w:hAnsi="Arial"/>
                <w:sz w:val="14"/>
                <w:szCs w:val="14"/>
                <w:color w:val="auto"/>
              </w:rPr>
              <w:t>Operating expense impact from Hurricanes Harvey and Irma, net of tax impact per share</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0.02</w:t>
            </w:r>
          </w:p>
        </w:tc>
      </w:tr>
      <w:tr>
        <w:trPr>
          <w:trHeight w:val="270"/>
        </w:trPr>
        <w:tc>
          <w:tcPr>
            <w:tcW w:w="7500" w:type="dxa"/>
            <w:vAlign w:val="bottom"/>
          </w:tcPr>
          <w:p>
            <w:pPr>
              <w:spacing w:after="0"/>
              <w:rPr>
                <w:sz w:val="20"/>
                <w:szCs w:val="20"/>
                <w:color w:val="auto"/>
              </w:rPr>
            </w:pPr>
            <w:r>
              <w:rPr>
                <w:rFonts w:ascii="Arial" w:cs="Arial" w:eastAsia="Arial" w:hAnsi="Arial"/>
                <w:sz w:val="14"/>
                <w:szCs w:val="14"/>
                <w:color w:val="auto"/>
              </w:rPr>
              <w:t>Impact from restructuring of Grupo Finmart notes receivable, net of tax impact per share</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(0.09)</w:t>
            </w:r>
          </w:p>
        </w:tc>
      </w:tr>
      <w:tr>
        <w:trPr>
          <w:trHeight w:val="270"/>
        </w:trPr>
        <w:tc>
          <w:tcPr>
            <w:tcW w:w="7500" w:type="dxa"/>
            <w:vAlign w:val="bottom"/>
          </w:tcPr>
          <w:p>
            <w:pPr>
              <w:spacing w:after="0"/>
              <w:rPr>
                <w:sz w:val="20"/>
                <w:szCs w:val="20"/>
                <w:color w:val="auto"/>
              </w:rPr>
            </w:pPr>
            <w:r>
              <w:rPr>
                <w:rFonts w:ascii="Arial" w:cs="Arial" w:eastAsia="Arial" w:hAnsi="Arial"/>
                <w:sz w:val="14"/>
                <w:szCs w:val="14"/>
                <w:color w:val="auto"/>
              </w:rPr>
              <w:t>Debt extinguishment costs, net of tax impact per share</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0.06</w:t>
            </w:r>
          </w:p>
        </w:tc>
      </w:tr>
      <w:tr>
        <w:trPr>
          <w:trHeight w:val="270"/>
        </w:trPr>
        <w:tc>
          <w:tcPr>
            <w:tcW w:w="7500" w:type="dxa"/>
            <w:vAlign w:val="bottom"/>
          </w:tcPr>
          <w:p>
            <w:pPr>
              <w:spacing w:after="0"/>
              <w:rPr>
                <w:sz w:val="20"/>
                <w:szCs w:val="20"/>
                <w:color w:val="auto"/>
              </w:rPr>
            </w:pPr>
            <w:r>
              <w:rPr>
                <w:rFonts w:ascii="Arial" w:cs="Arial" w:eastAsia="Arial" w:hAnsi="Arial"/>
                <w:sz w:val="14"/>
                <w:szCs w:val="14"/>
                <w:color w:val="auto"/>
              </w:rPr>
              <w:t>Litigation settlement, net of tax impact per share</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500" w:type="dxa"/>
            <w:vAlign w:val="bottom"/>
          </w:tcPr>
          <w:p>
            <w:pPr>
              <w:spacing w:after="0"/>
              <w:rPr>
                <w:sz w:val="20"/>
                <w:szCs w:val="20"/>
                <w:color w:val="auto"/>
              </w:rPr>
            </w:pPr>
            <w:r>
              <w:rPr>
                <w:rFonts w:ascii="Arial" w:cs="Arial" w:eastAsia="Arial" w:hAnsi="Arial"/>
                <w:sz w:val="14"/>
                <w:szCs w:val="14"/>
                <w:color w:val="auto"/>
              </w:rPr>
              <w:t>Organizational realignment expenses, net of tax impact per share</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0.01</w:t>
            </w:r>
          </w:p>
        </w:tc>
      </w:tr>
      <w:tr>
        <w:trPr>
          <w:trHeight w:val="243"/>
        </w:trPr>
        <w:tc>
          <w:tcPr>
            <w:tcW w:w="7500" w:type="dxa"/>
            <w:vAlign w:val="bottom"/>
          </w:tcPr>
          <w:p>
            <w:pPr>
              <w:ind w:left="240"/>
              <w:spacing w:after="0"/>
              <w:rPr>
                <w:sz w:val="20"/>
                <w:szCs w:val="20"/>
                <w:color w:val="auto"/>
              </w:rPr>
            </w:pPr>
            <w:r>
              <w:rPr>
                <w:rFonts w:ascii="Arial" w:cs="Arial" w:eastAsia="Arial" w:hAnsi="Arial"/>
                <w:sz w:val="14"/>
                <w:szCs w:val="14"/>
                <w:color w:val="auto"/>
              </w:rPr>
              <w:t>Adjusted diluted earnings per share</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0.79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0.64</w:t>
            </w:r>
          </w:p>
        </w:tc>
      </w:tr>
      <w:tr>
        <w:trPr>
          <w:trHeight w:val="20"/>
        </w:trPr>
        <w:tc>
          <w:tcPr>
            <w:tcW w:w="7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46"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13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U.S. Dollar Amount</w:t>
            </w:r>
          </w:p>
        </w:tc>
        <w:tc>
          <w:tcPr>
            <w:tcW w:w="120" w:type="dxa"/>
            <w:vAlign w:val="bottom"/>
            <w:vMerge w:val="restart"/>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w w:val="91"/>
              </w:rPr>
              <w:t>Percentage Change</w:t>
            </w:r>
          </w:p>
        </w:tc>
        <w:tc>
          <w:tcPr>
            <w:tcW w:w="0" w:type="dxa"/>
            <w:vAlign w:val="bottom"/>
          </w:tcPr>
          <w:p>
            <w:pPr>
              <w:spacing w:after="0"/>
              <w:rPr>
                <w:sz w:val="1"/>
                <w:szCs w:val="1"/>
                <w:color w:val="auto"/>
              </w:rPr>
            </w:pPr>
          </w:p>
        </w:tc>
      </w:tr>
      <w:tr>
        <w:trPr>
          <w:trHeight w:val="192"/>
        </w:trPr>
        <w:tc>
          <w:tcPr>
            <w:tcW w:w="8660" w:type="dxa"/>
            <w:vAlign w:val="bottom"/>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379"/>
        </w:trPr>
        <w:tc>
          <w:tcPr>
            <w:tcW w:w="8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w w:val="98"/>
              </w:rPr>
              <w:t>(in millions)</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660" w:type="dxa"/>
            <w:vAlign w:val="bottom"/>
          </w:tcPr>
          <w:p>
            <w:pPr>
              <w:spacing w:after="0"/>
              <w:rPr>
                <w:sz w:val="20"/>
                <w:szCs w:val="20"/>
                <w:color w:val="auto"/>
              </w:rPr>
            </w:pPr>
            <w:r>
              <w:rPr>
                <w:rFonts w:ascii="Arial" w:cs="Arial" w:eastAsia="Arial" w:hAnsi="Arial"/>
                <w:sz w:val="13"/>
                <w:szCs w:val="13"/>
                <w:color w:val="auto"/>
              </w:rPr>
              <w:t>Latin America Pawn segment profit before tax (three months ended September 30, 2018)</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9.4</w:t>
            </w: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280"/>
        </w:trPr>
        <w:tc>
          <w:tcPr>
            <w:tcW w:w="8660" w:type="dxa"/>
            <w:vAlign w:val="bottom"/>
          </w:tcPr>
          <w:p>
            <w:pPr>
              <w:spacing w:after="0"/>
              <w:rPr>
                <w:sz w:val="20"/>
                <w:szCs w:val="20"/>
                <w:color w:val="auto"/>
              </w:rPr>
            </w:pPr>
            <w:r>
              <w:rPr>
                <w:rFonts w:ascii="Arial" w:cs="Arial" w:eastAsia="Arial" w:hAnsi="Arial"/>
                <w:sz w:val="13"/>
                <w:szCs w:val="13"/>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0.4</w:t>
            </w:r>
          </w:p>
        </w:tc>
        <w:tc>
          <w:tcPr>
            <w:tcW w:w="1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8660" w:type="dxa"/>
            <w:vAlign w:val="bottom"/>
          </w:tcPr>
          <w:p>
            <w:pPr>
              <w:ind w:left="240"/>
              <w:spacing w:after="0"/>
              <w:rPr>
                <w:sz w:val="20"/>
                <w:szCs w:val="20"/>
                <w:color w:val="auto"/>
              </w:rPr>
            </w:pPr>
            <w:r>
              <w:rPr>
                <w:rFonts w:ascii="Arial" w:cs="Arial" w:eastAsia="Arial" w:hAnsi="Arial"/>
                <w:sz w:val="13"/>
                <w:szCs w:val="13"/>
                <w:color w:val="auto"/>
              </w:rPr>
              <w:t>Constant currency Latin America Pawn segment profit before tax (three months ended September 30, 2018)</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9.8</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392"/>
        </w:trPr>
        <w:tc>
          <w:tcPr>
            <w:tcW w:w="8660" w:type="dxa"/>
            <w:vAlign w:val="bottom"/>
          </w:tcPr>
          <w:p>
            <w:pPr>
              <w:spacing w:after="0"/>
              <w:rPr>
                <w:sz w:val="20"/>
                <w:szCs w:val="20"/>
                <w:color w:val="auto"/>
              </w:rPr>
            </w:pPr>
            <w:r>
              <w:rPr>
                <w:rFonts w:ascii="Arial" w:cs="Arial" w:eastAsia="Arial" w:hAnsi="Arial"/>
                <w:sz w:val="13"/>
                <w:szCs w:val="13"/>
                <w:color w:val="auto"/>
              </w:rPr>
              <w:t>Latin America Pawn segment profit before tax (twelve months ended September 30, 2018)</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34.3</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280"/>
        </w:trPr>
        <w:tc>
          <w:tcPr>
            <w:tcW w:w="8660" w:type="dxa"/>
            <w:vAlign w:val="bottom"/>
          </w:tcPr>
          <w:p>
            <w:pPr>
              <w:spacing w:after="0"/>
              <w:rPr>
                <w:sz w:val="20"/>
                <w:szCs w:val="20"/>
                <w:color w:val="auto"/>
              </w:rPr>
            </w:pPr>
            <w:r>
              <w:rPr>
                <w:rFonts w:ascii="Arial" w:cs="Arial" w:eastAsia="Arial" w:hAnsi="Arial"/>
                <w:sz w:val="13"/>
                <w:szCs w:val="13"/>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8660" w:type="dxa"/>
            <w:vAlign w:val="bottom"/>
          </w:tcPr>
          <w:p>
            <w:pPr>
              <w:ind w:left="240"/>
              <w:spacing w:after="0"/>
              <w:rPr>
                <w:sz w:val="20"/>
                <w:szCs w:val="20"/>
                <w:color w:val="auto"/>
              </w:rPr>
            </w:pPr>
            <w:r>
              <w:rPr>
                <w:rFonts w:ascii="Arial" w:cs="Arial" w:eastAsia="Arial" w:hAnsi="Arial"/>
                <w:sz w:val="13"/>
                <w:szCs w:val="13"/>
                <w:color w:val="auto"/>
              </w:rPr>
              <w:t>Constant currency Latin America Pawn segment profit before tax (twelve months ended September 30, 2018)</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34.2</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392"/>
        </w:trPr>
        <w:tc>
          <w:tcPr>
            <w:tcW w:w="8660" w:type="dxa"/>
            <w:vAlign w:val="bottom"/>
          </w:tcPr>
          <w:p>
            <w:pPr>
              <w:spacing w:after="0"/>
              <w:rPr>
                <w:sz w:val="20"/>
                <w:szCs w:val="20"/>
                <w:color w:val="auto"/>
              </w:rPr>
            </w:pPr>
            <w:r>
              <w:rPr>
                <w:rFonts w:ascii="Arial" w:cs="Arial" w:eastAsia="Arial" w:hAnsi="Arial"/>
                <w:sz w:val="13"/>
                <w:szCs w:val="13"/>
                <w:color w:val="auto"/>
              </w:rPr>
              <w:t>Consolidated net revenue (twelve months ended September 30, 2018)</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482.9</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280"/>
        </w:trPr>
        <w:tc>
          <w:tcPr>
            <w:tcW w:w="8660" w:type="dxa"/>
            <w:vAlign w:val="bottom"/>
          </w:tcPr>
          <w:p>
            <w:pPr>
              <w:spacing w:after="0"/>
              <w:rPr>
                <w:sz w:val="20"/>
                <w:szCs w:val="20"/>
                <w:color w:val="auto"/>
              </w:rPr>
            </w:pPr>
            <w:r>
              <w:rPr>
                <w:rFonts w:ascii="Arial" w:cs="Arial" w:eastAsia="Arial" w:hAnsi="Arial"/>
                <w:sz w:val="13"/>
                <w:szCs w:val="13"/>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8660" w:type="dxa"/>
            <w:vAlign w:val="bottom"/>
          </w:tcPr>
          <w:p>
            <w:pPr>
              <w:ind w:left="240"/>
              <w:spacing w:after="0"/>
              <w:rPr>
                <w:sz w:val="20"/>
                <w:szCs w:val="20"/>
                <w:color w:val="auto"/>
              </w:rPr>
            </w:pPr>
            <w:r>
              <w:rPr>
                <w:rFonts w:ascii="Arial" w:cs="Arial" w:eastAsia="Arial" w:hAnsi="Arial"/>
                <w:sz w:val="13"/>
                <w:szCs w:val="13"/>
                <w:color w:val="auto"/>
              </w:rPr>
              <w:t>Constant currency consolidated net revenue (twelve months ended September 30, 2018)</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482.9</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392"/>
        </w:trPr>
        <w:tc>
          <w:tcPr>
            <w:tcW w:w="8660" w:type="dxa"/>
            <w:vAlign w:val="bottom"/>
          </w:tcPr>
          <w:p>
            <w:pPr>
              <w:spacing w:after="0"/>
              <w:rPr>
                <w:sz w:val="20"/>
                <w:szCs w:val="20"/>
                <w:color w:val="auto"/>
              </w:rPr>
            </w:pPr>
            <w:r>
              <w:rPr>
                <w:rFonts w:ascii="Arial" w:cs="Arial" w:eastAsia="Arial" w:hAnsi="Arial"/>
                <w:sz w:val="13"/>
                <w:szCs w:val="13"/>
                <w:color w:val="auto"/>
              </w:rPr>
              <w:t>Consolidated PSC revenue (twelve months ended September 30, 2018)</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305.9</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280"/>
        </w:trPr>
        <w:tc>
          <w:tcPr>
            <w:tcW w:w="8660" w:type="dxa"/>
            <w:vAlign w:val="bottom"/>
          </w:tcPr>
          <w:p>
            <w:pPr>
              <w:spacing w:after="0"/>
              <w:rPr>
                <w:sz w:val="20"/>
                <w:szCs w:val="20"/>
                <w:color w:val="auto"/>
              </w:rPr>
            </w:pPr>
            <w:r>
              <w:rPr>
                <w:rFonts w:ascii="Arial" w:cs="Arial" w:eastAsia="Arial" w:hAnsi="Arial"/>
                <w:sz w:val="13"/>
                <w:szCs w:val="13"/>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0.4</w:t>
            </w:r>
          </w:p>
        </w:tc>
        <w:tc>
          <w:tcPr>
            <w:tcW w:w="1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8660" w:type="dxa"/>
            <w:vAlign w:val="bottom"/>
          </w:tcPr>
          <w:p>
            <w:pPr>
              <w:ind w:left="240"/>
              <w:spacing w:after="0"/>
              <w:rPr>
                <w:sz w:val="20"/>
                <w:szCs w:val="20"/>
                <w:color w:val="auto"/>
              </w:rPr>
            </w:pPr>
            <w:r>
              <w:rPr>
                <w:rFonts w:ascii="Arial" w:cs="Arial" w:eastAsia="Arial" w:hAnsi="Arial"/>
                <w:sz w:val="13"/>
                <w:szCs w:val="13"/>
                <w:color w:val="auto"/>
              </w:rPr>
              <w:t>Constant currency consolidated PSC revenue (twelve months ended September 30, 2018)</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306.3</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392"/>
        </w:trPr>
        <w:tc>
          <w:tcPr>
            <w:tcW w:w="8660" w:type="dxa"/>
            <w:vAlign w:val="bottom"/>
          </w:tcPr>
          <w:p>
            <w:pPr>
              <w:spacing w:after="0"/>
              <w:rPr>
                <w:sz w:val="20"/>
                <w:szCs w:val="20"/>
                <w:color w:val="auto"/>
              </w:rPr>
            </w:pPr>
            <w:r>
              <w:rPr>
                <w:rFonts w:ascii="Arial" w:cs="Arial" w:eastAsia="Arial" w:hAnsi="Arial"/>
                <w:sz w:val="13"/>
                <w:szCs w:val="13"/>
                <w:color w:val="auto"/>
              </w:rPr>
              <w:t>Consolidated merchandise sales gross profit (twelve months ended September 30, 2018)</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161.8</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280"/>
        </w:trPr>
        <w:tc>
          <w:tcPr>
            <w:tcW w:w="8660" w:type="dxa"/>
            <w:vAlign w:val="bottom"/>
          </w:tcPr>
          <w:p>
            <w:pPr>
              <w:spacing w:after="0"/>
              <w:rPr>
                <w:sz w:val="20"/>
                <w:szCs w:val="20"/>
                <w:color w:val="auto"/>
              </w:rPr>
            </w:pPr>
            <w:r>
              <w:rPr>
                <w:rFonts w:ascii="Arial" w:cs="Arial" w:eastAsia="Arial" w:hAnsi="Arial"/>
                <w:sz w:val="13"/>
                <w:szCs w:val="13"/>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8660" w:type="dxa"/>
            <w:vAlign w:val="bottom"/>
          </w:tcPr>
          <w:p>
            <w:pPr>
              <w:ind w:left="240"/>
              <w:spacing w:after="0"/>
              <w:rPr>
                <w:sz w:val="20"/>
                <w:szCs w:val="20"/>
                <w:color w:val="auto"/>
              </w:rPr>
            </w:pPr>
            <w:r>
              <w:rPr>
                <w:rFonts w:ascii="Arial" w:cs="Arial" w:eastAsia="Arial" w:hAnsi="Arial"/>
                <w:sz w:val="13"/>
                <w:szCs w:val="13"/>
                <w:color w:val="auto"/>
              </w:rPr>
              <w:t>Constant currency consolidated merchandise sales gross profit (twelve months ended September 30, 2018)</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161.7</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392"/>
        </w:trPr>
        <w:tc>
          <w:tcPr>
            <w:tcW w:w="8660" w:type="dxa"/>
            <w:vAlign w:val="bottom"/>
          </w:tcPr>
          <w:p>
            <w:pPr>
              <w:spacing w:after="0"/>
              <w:rPr>
                <w:sz w:val="20"/>
                <w:szCs w:val="20"/>
                <w:color w:val="auto"/>
              </w:rPr>
            </w:pPr>
            <w:r>
              <w:rPr>
                <w:rFonts w:ascii="Arial" w:cs="Arial" w:eastAsia="Arial" w:hAnsi="Arial"/>
                <w:sz w:val="13"/>
                <w:szCs w:val="13"/>
                <w:color w:val="auto"/>
              </w:rPr>
              <w:t>Consolidated operations expenses (twelve months ended September 30, 2018)</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334.6</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80"/>
        </w:trPr>
        <w:tc>
          <w:tcPr>
            <w:tcW w:w="8660" w:type="dxa"/>
            <w:vAlign w:val="bottom"/>
          </w:tcPr>
          <w:p>
            <w:pPr>
              <w:spacing w:after="0"/>
              <w:rPr>
                <w:sz w:val="20"/>
                <w:szCs w:val="20"/>
                <w:color w:val="auto"/>
              </w:rPr>
            </w:pPr>
            <w:r>
              <w:rPr>
                <w:rFonts w:ascii="Arial" w:cs="Arial" w:eastAsia="Arial" w:hAnsi="Arial"/>
                <w:sz w:val="13"/>
                <w:szCs w:val="13"/>
                <w:color w:val="auto"/>
              </w:rPr>
              <w:t>Currency exchange rate fluctuations</w:t>
            </w:r>
          </w:p>
        </w:tc>
        <w:tc>
          <w:tcPr>
            <w:tcW w:w="2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8660" w:type="dxa"/>
            <w:vAlign w:val="bottom"/>
          </w:tcPr>
          <w:p>
            <w:pPr>
              <w:ind w:left="240"/>
              <w:spacing w:after="0"/>
              <w:rPr>
                <w:sz w:val="20"/>
                <w:szCs w:val="20"/>
                <w:color w:val="auto"/>
              </w:rPr>
            </w:pPr>
            <w:r>
              <w:rPr>
                <w:rFonts w:ascii="Arial" w:cs="Arial" w:eastAsia="Arial" w:hAnsi="Arial"/>
                <w:sz w:val="13"/>
                <w:szCs w:val="13"/>
                <w:color w:val="auto"/>
              </w:rPr>
              <w:t>Constant currency consolidated operations expenses (twelve months ended September 30, 2018)</w:t>
            </w:r>
          </w:p>
        </w:tc>
        <w:tc>
          <w:tcPr>
            <w:tcW w:w="2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334.6</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392"/>
        </w:trPr>
        <w:tc>
          <w:tcPr>
            <w:tcW w:w="8660" w:type="dxa"/>
            <w:vAlign w:val="bottom"/>
          </w:tcPr>
          <w:p>
            <w:pPr>
              <w:spacing w:after="0"/>
              <w:rPr>
                <w:sz w:val="20"/>
                <w:szCs w:val="20"/>
                <w:color w:val="auto"/>
              </w:rPr>
            </w:pPr>
            <w:r>
              <w:rPr>
                <w:rFonts w:ascii="Arial" w:cs="Arial" w:eastAsia="Arial" w:hAnsi="Arial"/>
                <w:sz w:val="13"/>
                <w:szCs w:val="13"/>
                <w:color w:val="auto"/>
              </w:rPr>
              <w:t>U.S. Pawn same store PLO</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155.0</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80"/>
        </w:trPr>
        <w:tc>
          <w:tcPr>
            <w:tcW w:w="8660" w:type="dxa"/>
            <w:vAlign w:val="bottom"/>
          </w:tcPr>
          <w:p>
            <w:pPr>
              <w:spacing w:after="0"/>
              <w:rPr>
                <w:sz w:val="20"/>
                <w:szCs w:val="20"/>
                <w:color w:val="auto"/>
              </w:rPr>
            </w:pPr>
            <w:r>
              <w:rPr>
                <w:rFonts w:ascii="Arial" w:cs="Arial" w:eastAsia="Arial" w:hAnsi="Arial"/>
                <w:sz w:val="13"/>
                <w:szCs w:val="13"/>
                <w:color w:val="auto"/>
              </w:rPr>
              <w:t>U.S. Pawn same store PLO for Hurricanes Harvey and Irma impacted</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(50.8)</w:t>
            </w:r>
          </w:p>
        </w:tc>
        <w:tc>
          <w:tcPr>
            <w:tcW w:w="1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8660" w:type="dxa"/>
            <w:vAlign w:val="bottom"/>
          </w:tcPr>
          <w:p>
            <w:pPr>
              <w:ind w:left="240"/>
              <w:spacing w:after="0"/>
              <w:rPr>
                <w:sz w:val="20"/>
                <w:szCs w:val="20"/>
                <w:color w:val="auto"/>
              </w:rPr>
            </w:pPr>
            <w:r>
              <w:rPr>
                <w:rFonts w:ascii="Arial" w:cs="Arial" w:eastAsia="Arial" w:hAnsi="Arial"/>
                <w:sz w:val="13"/>
                <w:szCs w:val="13"/>
                <w:color w:val="auto"/>
              </w:rPr>
              <w:t>U.S. Pawn adjusted same store PLO</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104.2</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392"/>
        </w:trPr>
        <w:tc>
          <w:tcPr>
            <w:tcW w:w="8660" w:type="dxa"/>
            <w:vAlign w:val="bottom"/>
          </w:tcPr>
          <w:p>
            <w:pPr>
              <w:spacing w:after="0"/>
              <w:rPr>
                <w:sz w:val="20"/>
                <w:szCs w:val="20"/>
                <w:color w:val="auto"/>
              </w:rPr>
            </w:pPr>
            <w:r>
              <w:rPr>
                <w:rFonts w:ascii="Arial" w:cs="Arial" w:eastAsia="Arial" w:hAnsi="Arial"/>
                <w:sz w:val="13"/>
                <w:szCs w:val="13"/>
                <w:color w:val="auto"/>
              </w:rPr>
              <w:t>Latin America Pawn PLO</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43.5</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280"/>
        </w:trPr>
        <w:tc>
          <w:tcPr>
            <w:tcW w:w="8660" w:type="dxa"/>
            <w:vAlign w:val="bottom"/>
          </w:tcPr>
          <w:p>
            <w:pPr>
              <w:spacing w:after="0"/>
              <w:rPr>
                <w:sz w:val="20"/>
                <w:szCs w:val="20"/>
                <w:color w:val="auto"/>
              </w:rPr>
            </w:pPr>
            <w:r>
              <w:rPr>
                <w:rFonts w:ascii="Arial" w:cs="Arial" w:eastAsia="Arial" w:hAnsi="Arial"/>
                <w:sz w:val="13"/>
                <w:szCs w:val="13"/>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0.8</w:t>
            </w:r>
          </w:p>
        </w:tc>
        <w:tc>
          <w:tcPr>
            <w:tcW w:w="1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8660" w:type="dxa"/>
            <w:vAlign w:val="bottom"/>
          </w:tcPr>
          <w:p>
            <w:pPr>
              <w:ind w:left="240"/>
              <w:spacing w:after="0"/>
              <w:rPr>
                <w:sz w:val="20"/>
                <w:szCs w:val="20"/>
                <w:color w:val="auto"/>
              </w:rPr>
            </w:pPr>
            <w:r>
              <w:rPr>
                <w:rFonts w:ascii="Arial" w:cs="Arial" w:eastAsia="Arial" w:hAnsi="Arial"/>
                <w:sz w:val="13"/>
                <w:szCs w:val="13"/>
                <w:color w:val="auto"/>
              </w:rPr>
              <w:t>Constant currency Latin America Pawn PLO</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44.3</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392"/>
        </w:trPr>
        <w:tc>
          <w:tcPr>
            <w:tcW w:w="8660" w:type="dxa"/>
            <w:vAlign w:val="bottom"/>
          </w:tcPr>
          <w:p>
            <w:pPr>
              <w:spacing w:after="0"/>
              <w:rPr>
                <w:sz w:val="20"/>
                <w:szCs w:val="20"/>
                <w:color w:val="auto"/>
              </w:rPr>
            </w:pPr>
            <w:r>
              <w:rPr>
                <w:rFonts w:ascii="Arial" w:cs="Arial" w:eastAsia="Arial" w:hAnsi="Arial"/>
                <w:sz w:val="13"/>
                <w:szCs w:val="13"/>
                <w:color w:val="auto"/>
              </w:rPr>
              <w:t>Latin American Pawn same store PLO</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22.0</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80"/>
        </w:trPr>
        <w:tc>
          <w:tcPr>
            <w:tcW w:w="8660" w:type="dxa"/>
            <w:vAlign w:val="bottom"/>
          </w:tcPr>
          <w:p>
            <w:pPr>
              <w:spacing w:after="0"/>
              <w:rPr>
                <w:sz w:val="20"/>
                <w:szCs w:val="20"/>
                <w:color w:val="auto"/>
              </w:rPr>
            </w:pPr>
            <w:r>
              <w:rPr>
                <w:rFonts w:ascii="Arial" w:cs="Arial" w:eastAsia="Arial" w:hAnsi="Arial"/>
                <w:sz w:val="13"/>
                <w:szCs w:val="13"/>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0.6</w:t>
            </w:r>
          </w:p>
        </w:tc>
        <w:tc>
          <w:tcPr>
            <w:tcW w:w="1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8660" w:type="dxa"/>
            <w:vAlign w:val="bottom"/>
          </w:tcPr>
          <w:p>
            <w:pPr>
              <w:ind w:left="240"/>
              <w:spacing w:after="0"/>
              <w:rPr>
                <w:sz w:val="20"/>
                <w:szCs w:val="20"/>
                <w:color w:val="auto"/>
              </w:rPr>
            </w:pPr>
            <w:r>
              <w:rPr>
                <w:rFonts w:ascii="Arial" w:cs="Arial" w:eastAsia="Arial" w:hAnsi="Arial"/>
                <w:sz w:val="13"/>
                <w:szCs w:val="13"/>
                <w:color w:val="auto"/>
              </w:rPr>
              <w:t>Constant currency Latin America Pawn same store PLO</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22.6</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392"/>
        </w:trPr>
        <w:tc>
          <w:tcPr>
            <w:tcW w:w="8660" w:type="dxa"/>
            <w:vAlign w:val="bottom"/>
          </w:tcPr>
          <w:p>
            <w:pPr>
              <w:spacing w:after="0"/>
              <w:rPr>
                <w:sz w:val="20"/>
                <w:szCs w:val="20"/>
                <w:color w:val="auto"/>
              </w:rPr>
            </w:pPr>
            <w:r>
              <w:rPr>
                <w:rFonts w:ascii="Arial" w:cs="Arial" w:eastAsia="Arial" w:hAnsi="Arial"/>
                <w:sz w:val="13"/>
                <w:szCs w:val="13"/>
                <w:color w:val="auto"/>
              </w:rPr>
              <w:t>Latin America Pawn net revenue (three months ended September 30, 2018)</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26.8</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280"/>
        </w:trPr>
        <w:tc>
          <w:tcPr>
            <w:tcW w:w="8660" w:type="dxa"/>
            <w:vAlign w:val="bottom"/>
          </w:tcPr>
          <w:p>
            <w:pPr>
              <w:spacing w:after="0"/>
              <w:rPr>
                <w:sz w:val="20"/>
                <w:szCs w:val="20"/>
                <w:color w:val="auto"/>
              </w:rPr>
            </w:pPr>
            <w:r>
              <w:rPr>
                <w:rFonts w:ascii="Arial" w:cs="Arial" w:eastAsia="Arial" w:hAnsi="Arial"/>
                <w:sz w:val="13"/>
                <w:szCs w:val="13"/>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8660" w:type="dxa"/>
            <w:vAlign w:val="bottom"/>
          </w:tcPr>
          <w:p>
            <w:pPr>
              <w:ind w:left="240"/>
              <w:spacing w:after="0"/>
              <w:rPr>
                <w:sz w:val="20"/>
                <w:szCs w:val="20"/>
                <w:color w:val="auto"/>
              </w:rPr>
            </w:pPr>
            <w:r>
              <w:rPr>
                <w:rFonts w:ascii="Arial" w:cs="Arial" w:eastAsia="Arial" w:hAnsi="Arial"/>
                <w:sz w:val="13"/>
                <w:szCs w:val="13"/>
                <w:color w:val="auto"/>
              </w:rPr>
              <w:t>Constant currency Latin America Pawn net revenue (three months ended September 30, 2018)</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28.0</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392"/>
        </w:trPr>
        <w:tc>
          <w:tcPr>
            <w:tcW w:w="8660" w:type="dxa"/>
            <w:vAlign w:val="bottom"/>
          </w:tcPr>
          <w:p>
            <w:pPr>
              <w:spacing w:after="0"/>
              <w:rPr>
                <w:sz w:val="20"/>
                <w:szCs w:val="20"/>
                <w:color w:val="auto"/>
              </w:rPr>
            </w:pPr>
            <w:r>
              <w:rPr>
                <w:rFonts w:ascii="Arial" w:cs="Arial" w:eastAsia="Arial" w:hAnsi="Arial"/>
                <w:sz w:val="13"/>
                <w:szCs w:val="13"/>
                <w:color w:val="auto"/>
              </w:rPr>
              <w:t>Latin America Pawn PSC revenue (three months ended September 30, 2018)</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19.3</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280"/>
        </w:trPr>
        <w:tc>
          <w:tcPr>
            <w:tcW w:w="8660" w:type="dxa"/>
            <w:vAlign w:val="bottom"/>
          </w:tcPr>
          <w:p>
            <w:pPr>
              <w:spacing w:after="0"/>
              <w:rPr>
                <w:sz w:val="20"/>
                <w:szCs w:val="20"/>
                <w:color w:val="auto"/>
              </w:rPr>
            </w:pPr>
            <w:r>
              <w:rPr>
                <w:rFonts w:ascii="Arial" w:cs="Arial" w:eastAsia="Arial" w:hAnsi="Arial"/>
                <w:sz w:val="13"/>
                <w:szCs w:val="13"/>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0.8</w:t>
            </w:r>
          </w:p>
        </w:tc>
        <w:tc>
          <w:tcPr>
            <w:tcW w:w="1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8660" w:type="dxa"/>
            <w:vAlign w:val="bottom"/>
          </w:tcPr>
          <w:p>
            <w:pPr>
              <w:ind w:left="240"/>
              <w:spacing w:after="0"/>
              <w:rPr>
                <w:sz w:val="20"/>
                <w:szCs w:val="20"/>
                <w:color w:val="auto"/>
              </w:rPr>
            </w:pPr>
            <w:r>
              <w:rPr>
                <w:rFonts w:ascii="Arial" w:cs="Arial" w:eastAsia="Arial" w:hAnsi="Arial"/>
                <w:sz w:val="13"/>
                <w:szCs w:val="13"/>
                <w:color w:val="auto"/>
              </w:rPr>
              <w:t>Constant currency Latin America Pawn PSC revenue (three months ended September 30, 2018)</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20.1</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392"/>
        </w:trPr>
        <w:tc>
          <w:tcPr>
            <w:tcW w:w="8660" w:type="dxa"/>
            <w:vAlign w:val="bottom"/>
          </w:tcPr>
          <w:p>
            <w:pPr>
              <w:spacing w:after="0"/>
              <w:rPr>
                <w:sz w:val="20"/>
                <w:szCs w:val="20"/>
                <w:color w:val="auto"/>
              </w:rPr>
            </w:pPr>
            <w:r>
              <w:rPr>
                <w:rFonts w:ascii="Arial" w:cs="Arial" w:eastAsia="Arial" w:hAnsi="Arial"/>
                <w:sz w:val="13"/>
                <w:szCs w:val="13"/>
                <w:color w:val="auto"/>
              </w:rPr>
              <w:t>Latin America Pawn merchandise sales (three months ended September 30, 2018)</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24.5</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280"/>
        </w:trPr>
        <w:tc>
          <w:tcPr>
            <w:tcW w:w="8660" w:type="dxa"/>
            <w:vAlign w:val="bottom"/>
          </w:tcPr>
          <w:p>
            <w:pPr>
              <w:spacing w:after="0"/>
              <w:rPr>
                <w:sz w:val="20"/>
                <w:szCs w:val="20"/>
                <w:color w:val="auto"/>
              </w:rPr>
            </w:pPr>
            <w:r>
              <w:rPr>
                <w:rFonts w:ascii="Arial" w:cs="Arial" w:eastAsia="Arial" w:hAnsi="Arial"/>
                <w:sz w:val="13"/>
                <w:szCs w:val="13"/>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8660" w:type="dxa"/>
            <w:vAlign w:val="bottom"/>
          </w:tcPr>
          <w:p>
            <w:pPr>
              <w:ind w:left="240"/>
              <w:spacing w:after="0"/>
              <w:rPr>
                <w:sz w:val="20"/>
                <w:szCs w:val="20"/>
                <w:color w:val="auto"/>
              </w:rPr>
            </w:pPr>
            <w:r>
              <w:rPr>
                <w:rFonts w:ascii="Arial" w:cs="Arial" w:eastAsia="Arial" w:hAnsi="Arial"/>
                <w:sz w:val="13"/>
                <w:szCs w:val="13"/>
                <w:color w:val="auto"/>
              </w:rPr>
              <w:t>Constant currency Latin America Pawn merchandise sales (three months ended September 30, 2018)</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25.8</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392"/>
        </w:trPr>
        <w:tc>
          <w:tcPr>
            <w:tcW w:w="8660" w:type="dxa"/>
            <w:vAlign w:val="bottom"/>
          </w:tcPr>
          <w:p>
            <w:pPr>
              <w:spacing w:after="0"/>
              <w:rPr>
                <w:sz w:val="20"/>
                <w:szCs w:val="20"/>
                <w:color w:val="auto"/>
              </w:rPr>
            </w:pPr>
            <w:r>
              <w:rPr>
                <w:rFonts w:ascii="Arial" w:cs="Arial" w:eastAsia="Arial" w:hAnsi="Arial"/>
                <w:sz w:val="13"/>
                <w:szCs w:val="13"/>
                <w:color w:val="auto"/>
              </w:rPr>
              <w:t>Latin America Pawn same store merchandise sales (three months ended September 30, 2018)</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17.0</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80"/>
        </w:trPr>
        <w:tc>
          <w:tcPr>
            <w:tcW w:w="8660" w:type="dxa"/>
            <w:vAlign w:val="bottom"/>
          </w:tcPr>
          <w:p>
            <w:pPr>
              <w:spacing w:after="0"/>
              <w:rPr>
                <w:sz w:val="20"/>
                <w:szCs w:val="20"/>
                <w:color w:val="auto"/>
              </w:rPr>
            </w:pPr>
            <w:r>
              <w:rPr>
                <w:rFonts w:ascii="Arial" w:cs="Arial" w:eastAsia="Arial" w:hAnsi="Arial"/>
                <w:sz w:val="13"/>
                <w:szCs w:val="13"/>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8660" w:type="dxa"/>
            <w:vAlign w:val="bottom"/>
          </w:tcPr>
          <w:p>
            <w:pPr>
              <w:ind w:left="240"/>
              <w:spacing w:after="0"/>
              <w:rPr>
                <w:sz w:val="20"/>
                <w:szCs w:val="20"/>
                <w:color w:val="auto"/>
              </w:rPr>
            </w:pPr>
            <w:r>
              <w:rPr>
                <w:rFonts w:ascii="Arial" w:cs="Arial" w:eastAsia="Arial" w:hAnsi="Arial"/>
                <w:sz w:val="13"/>
                <w:szCs w:val="13"/>
                <w:color w:val="auto"/>
              </w:rPr>
              <w:t>Constant currency Latin America Pawn same store merchandise sales (three months ended September 30, 2018)</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18.0</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392"/>
        </w:trPr>
        <w:tc>
          <w:tcPr>
            <w:tcW w:w="8660" w:type="dxa"/>
            <w:vAlign w:val="bottom"/>
          </w:tcPr>
          <w:p>
            <w:pPr>
              <w:spacing w:after="0"/>
              <w:rPr>
                <w:sz w:val="20"/>
                <w:szCs w:val="20"/>
                <w:color w:val="auto"/>
              </w:rPr>
            </w:pPr>
            <w:r>
              <w:rPr>
                <w:rFonts w:ascii="Arial" w:cs="Arial" w:eastAsia="Arial" w:hAnsi="Arial"/>
                <w:sz w:val="13"/>
                <w:szCs w:val="13"/>
                <w:color w:val="auto"/>
              </w:rPr>
              <w:t>Latin America Pawn merchandise sales gross profit (three months ended September 30, 2018)</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7.7</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280"/>
        </w:trPr>
        <w:tc>
          <w:tcPr>
            <w:tcW w:w="8660" w:type="dxa"/>
            <w:vAlign w:val="bottom"/>
          </w:tcPr>
          <w:p>
            <w:pPr>
              <w:spacing w:after="0"/>
              <w:rPr>
                <w:sz w:val="20"/>
                <w:szCs w:val="20"/>
                <w:color w:val="auto"/>
              </w:rPr>
            </w:pPr>
            <w:r>
              <w:rPr>
                <w:rFonts w:ascii="Arial" w:cs="Arial" w:eastAsia="Arial" w:hAnsi="Arial"/>
                <w:sz w:val="13"/>
                <w:szCs w:val="13"/>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0.4</w:t>
            </w:r>
          </w:p>
        </w:tc>
        <w:tc>
          <w:tcPr>
            <w:tcW w:w="1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8660" w:type="dxa"/>
            <w:vAlign w:val="bottom"/>
          </w:tcPr>
          <w:p>
            <w:pPr>
              <w:ind w:left="240"/>
              <w:spacing w:after="0"/>
              <w:rPr>
                <w:sz w:val="20"/>
                <w:szCs w:val="20"/>
                <w:color w:val="auto"/>
              </w:rPr>
            </w:pPr>
            <w:r>
              <w:rPr>
                <w:rFonts w:ascii="Arial" w:cs="Arial" w:eastAsia="Arial" w:hAnsi="Arial"/>
                <w:sz w:val="13"/>
                <w:szCs w:val="13"/>
                <w:color w:val="auto"/>
              </w:rPr>
              <w:t>Constant currency Latin America Pawn merchandise sales gross profit (three months ended September 30, 2018)</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392"/>
        </w:trPr>
        <w:tc>
          <w:tcPr>
            <w:tcW w:w="8660" w:type="dxa"/>
            <w:vAlign w:val="bottom"/>
          </w:tcPr>
          <w:p>
            <w:pPr>
              <w:spacing w:after="0"/>
              <w:rPr>
                <w:sz w:val="20"/>
                <w:szCs w:val="20"/>
                <w:color w:val="auto"/>
              </w:rPr>
            </w:pPr>
            <w:r>
              <w:rPr>
                <w:rFonts w:ascii="Arial" w:cs="Arial" w:eastAsia="Arial" w:hAnsi="Arial"/>
                <w:sz w:val="13"/>
                <w:szCs w:val="13"/>
                <w:color w:val="auto"/>
              </w:rPr>
              <w:t>Latin America Pawn merchandise sales (twelve months ended September 30, 2018)</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87.7</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280"/>
        </w:trPr>
        <w:tc>
          <w:tcPr>
            <w:tcW w:w="8660" w:type="dxa"/>
            <w:vAlign w:val="bottom"/>
          </w:tcPr>
          <w:p>
            <w:pPr>
              <w:spacing w:after="0"/>
              <w:rPr>
                <w:sz w:val="20"/>
                <w:szCs w:val="20"/>
                <w:color w:val="auto"/>
              </w:rPr>
            </w:pPr>
            <w:r>
              <w:rPr>
                <w:rFonts w:ascii="Arial" w:cs="Arial" w:eastAsia="Arial" w:hAnsi="Arial"/>
                <w:sz w:val="13"/>
                <w:szCs w:val="13"/>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8660" w:type="dxa"/>
            <w:vAlign w:val="bottom"/>
          </w:tcPr>
          <w:p>
            <w:pPr>
              <w:ind w:left="240"/>
              <w:spacing w:after="0"/>
              <w:rPr>
                <w:sz w:val="20"/>
                <w:szCs w:val="20"/>
                <w:color w:val="auto"/>
              </w:rPr>
            </w:pPr>
            <w:r>
              <w:rPr>
                <w:rFonts w:ascii="Arial" w:cs="Arial" w:eastAsia="Arial" w:hAnsi="Arial"/>
                <w:sz w:val="13"/>
                <w:szCs w:val="13"/>
                <w:color w:val="auto"/>
              </w:rPr>
              <w:t>Constant currency Latin America Pawn merchandise sales (twelve months ended September 30, 2018)</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87.5</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392"/>
        </w:trPr>
        <w:tc>
          <w:tcPr>
            <w:tcW w:w="8660" w:type="dxa"/>
            <w:vAlign w:val="bottom"/>
          </w:tcPr>
          <w:p>
            <w:pPr>
              <w:spacing w:after="0"/>
              <w:rPr>
                <w:sz w:val="20"/>
                <w:szCs w:val="20"/>
                <w:color w:val="auto"/>
              </w:rPr>
            </w:pPr>
            <w:r>
              <w:rPr>
                <w:rFonts w:ascii="Arial" w:cs="Arial" w:eastAsia="Arial" w:hAnsi="Arial"/>
                <w:sz w:val="13"/>
                <w:szCs w:val="13"/>
                <w:color w:val="auto"/>
              </w:rPr>
              <w:t>Latin America Pawn same store merchandise sales (twelve months ended September 30, 2018)</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66.8</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280"/>
        </w:trPr>
        <w:tc>
          <w:tcPr>
            <w:tcW w:w="8660" w:type="dxa"/>
            <w:vAlign w:val="bottom"/>
          </w:tcPr>
          <w:p>
            <w:pPr>
              <w:spacing w:after="0"/>
              <w:rPr>
                <w:sz w:val="20"/>
                <w:szCs w:val="20"/>
                <w:color w:val="auto"/>
              </w:rPr>
            </w:pPr>
            <w:r>
              <w:rPr>
                <w:rFonts w:ascii="Arial" w:cs="Arial" w:eastAsia="Arial" w:hAnsi="Arial"/>
                <w:sz w:val="13"/>
                <w:szCs w:val="13"/>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w:t>
            </w:r>
          </w:p>
        </w:tc>
        <w:tc>
          <w:tcPr>
            <w:tcW w:w="1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8660" w:type="dxa"/>
            <w:vAlign w:val="bottom"/>
          </w:tcPr>
          <w:p>
            <w:pPr>
              <w:ind w:left="240"/>
              <w:spacing w:after="0"/>
              <w:rPr>
                <w:sz w:val="20"/>
                <w:szCs w:val="20"/>
                <w:color w:val="auto"/>
              </w:rPr>
            </w:pPr>
            <w:r>
              <w:rPr>
                <w:rFonts w:ascii="Arial" w:cs="Arial" w:eastAsia="Arial" w:hAnsi="Arial"/>
                <w:sz w:val="13"/>
                <w:szCs w:val="13"/>
                <w:color w:val="auto"/>
              </w:rPr>
              <w:t>Constant currency Latin America Pawn same store merchandise sales(twelve months ended September 30, 2018)</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66.5</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bl>
    <w:p>
      <w:pPr>
        <w:sectPr>
          <w:pgSz w:w="11900" w:h="16838" w:orient="portrait"/>
          <w:cols w:equalWidth="0" w:num="1">
            <w:col w:w="11380"/>
          </w:cols>
          <w:pgMar w:left="280" w:top="888" w:right="239" w:bottom="0" w:gutter="0" w:footer="0" w:header="0"/>
        </w:sectPr>
      </w:pPr>
    </w:p>
    <w:bookmarkStart w:id="16" w:name="page17"/>
    <w:bookmarkEnd w:id="16"/>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lvl w:ilvl="1">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2020-01-10T23:38:03Z</dcterms:created>
  <dcterms:modified xsi:type="dcterms:W3CDTF">2020-01-10T23:38:03Z</dcterms:modified>
</cp:coreProperties>
</file>