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5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169"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8"/>
          <w:szCs w:val="18"/>
          <w:color w:val="auto"/>
        </w:rPr>
        <w:t>(12/31/98)</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302301106</w:t>
      </w:r>
    </w:p>
    <w:p>
      <w:pPr>
        <w:spacing w:after="0"/>
        <w:rPr>
          <w:sz w:val="20"/>
          <w:szCs w:val="20"/>
          <w:color w:val="auto"/>
        </w:rPr>
      </w:pPr>
      <w:r>
        <w:rPr>
          <w:rFonts w:ascii="Courier New" w:cs="Courier New" w:eastAsia="Courier New" w:hAnsi="Courier New"/>
          <w:sz w:val="18"/>
          <w:szCs w:val="18"/>
          <w:color w:val="auto"/>
        </w:rPr>
        <w:t>AMENDMENT</w:t>
      </w:r>
    </w:p>
    <w:p>
      <w:pPr>
        <w:spacing w:after="0" w:line="16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5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302301106</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REPORTING PERSONS</w:t>
            </w: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Dimensional Fund Advisors Inc. (Tax ID: 22-2370029)</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Delaware Corporation</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SOLE VOTING POWER</w:t>
            </w:r>
          </w:p>
        </w:tc>
        <w:tc>
          <w:tcPr>
            <w:tcW w:w="3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 see Note 1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579,300</w:t>
            </w:r>
          </w:p>
        </w:tc>
        <w:tc>
          <w:tcPr>
            <w:tcW w:w="3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None</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SOLE DISPOSITIVE POWER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579,300</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 see Note 1 **</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AGGREGATE AMOUNT BENEFICIALLY OWNED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579,300</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 see Note 1 **</w:t>
            </w:r>
          </w:p>
        </w:tc>
        <w:tc>
          <w:tcPr>
            <w:tcW w:w="0" w:type="dxa"/>
            <w:vAlign w:val="bottom"/>
          </w:tcPr>
          <w:p>
            <w:pPr>
              <w:spacing w:after="0"/>
              <w:rPr>
                <w:sz w:val="1"/>
                <w:szCs w:val="1"/>
                <w:color w:val="auto"/>
              </w:rPr>
            </w:pPr>
          </w:p>
        </w:tc>
      </w:tr>
      <w:tr>
        <w:trPr>
          <w:trHeight w:val="311"/>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 CLASS REPRESENTED BY LINE 9 --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5.36</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TYPE OF REPORTING PERSON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IA</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16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EZCORP INC</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1901 Capital Parkway</w:t>
      </w:r>
    </w:p>
    <w:p>
      <w:pPr>
        <w:spacing w:after="0" w:line="31" w:lineRule="exact"/>
        <w:rPr>
          <w:sz w:val="24"/>
          <w:szCs w:val="24"/>
          <w:color w:val="auto"/>
        </w:rPr>
      </w:pPr>
    </w:p>
    <w:p>
      <w:pPr>
        <w:ind w:left="1280"/>
        <w:spacing w:after="0"/>
        <w:tabs>
          <w:tab w:leader="none" w:pos="2100" w:val="left"/>
          <w:tab w:leader="none" w:pos="2520" w:val="left"/>
        </w:tabs>
        <w:rPr>
          <w:sz w:val="20"/>
          <w:szCs w:val="20"/>
          <w:color w:val="auto"/>
        </w:rPr>
      </w:pPr>
      <w:r>
        <w:rPr>
          <w:rFonts w:ascii="Courier New" w:cs="Courier New" w:eastAsia="Courier New" w:hAnsi="Courier New"/>
          <w:sz w:val="18"/>
          <w:szCs w:val="18"/>
          <w:color w:val="auto"/>
        </w:rPr>
        <w:t>AUSTIN</w:t>
        <w:tab/>
        <w:t>TX</w:t>
      </w:r>
      <w:r>
        <w:rPr>
          <w:sz w:val="20"/>
          <w:szCs w:val="20"/>
          <w:color w:val="auto"/>
        </w:rPr>
        <w:tab/>
      </w:r>
      <w:r>
        <w:rPr>
          <w:rFonts w:ascii="Courier New" w:cs="Courier New" w:eastAsia="Courier New" w:hAnsi="Courier New"/>
          <w:sz w:val="16"/>
          <w:szCs w:val="16"/>
          <w:color w:val="auto"/>
        </w:rPr>
        <w:t>78746-7617</w:t>
      </w:r>
    </w:p>
    <w:p>
      <w:pPr>
        <w:spacing w:after="0" w:line="37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503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302301106</w:t>
      </w:r>
    </w:p>
    <w:p>
      <w:pPr>
        <w:spacing w:after="0" w:line="201" w:lineRule="exact"/>
        <w:rPr>
          <w:sz w:val="24"/>
          <w:szCs w:val="24"/>
          <w:color w:val="auto"/>
        </w:rPr>
      </w:pPr>
    </w:p>
    <w:p>
      <w:pPr>
        <w:ind w:left="1280" w:right="3039" w:hanging="1263"/>
        <w:spacing w:after="0" w:line="274"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ectPr>
          <w:pgSz w:w="11900" w:h="16838" w:orient="portrait"/>
          <w:cols w:equalWidth="0" w:num="1">
            <w:col w:w="10219"/>
          </w:cols>
          <w:pgMar w:left="240" w:top="420"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5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Page 4 of 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ITEM 4.</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ITEM 4(a).</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AMOUNT BENEFICIALLY OWNED</w:t>
            </w:r>
          </w:p>
        </w:tc>
        <w:tc>
          <w:tcPr>
            <w:tcW w:w="0" w:type="dxa"/>
            <w:vAlign w:val="bottom"/>
          </w:tcPr>
          <w:p>
            <w:pPr>
              <w:spacing w:after="0"/>
              <w:rPr>
                <w:sz w:val="1"/>
                <w:szCs w:val="1"/>
                <w:color w:val="auto"/>
              </w:rPr>
            </w:pPr>
          </w:p>
        </w:tc>
      </w:tr>
      <w:tr>
        <w:trPr>
          <w:trHeight w:val="203"/>
        </w:trPr>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ITEM 4(b).</w:t>
            </w:r>
          </w:p>
        </w:tc>
        <w:tc>
          <w:tcPr>
            <w:tcW w:w="2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579,300</w:t>
            </w: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see Note 1 **</w:t>
            </w: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 OF CLASS</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ITEM 4(c).</w:t>
            </w:r>
          </w:p>
        </w:tc>
        <w:tc>
          <w:tcPr>
            <w:tcW w:w="2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5.36</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NUMBER OF SHARE AS TO WHICH SUCH PERSON HAS:</w:t>
            </w:r>
          </w:p>
        </w:tc>
        <w:tc>
          <w:tcPr>
            <w:tcW w:w="0" w:type="dxa"/>
            <w:vAlign w:val="bottom"/>
          </w:tcPr>
          <w:p>
            <w:pPr>
              <w:spacing w:after="0"/>
              <w:rPr>
                <w:sz w:val="1"/>
                <w:szCs w:val="1"/>
                <w:color w:val="auto"/>
              </w:rPr>
            </w:pP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DIRECT THE VOTE --</w:t>
            </w:r>
          </w:p>
        </w:tc>
        <w:tc>
          <w:tcPr>
            <w:tcW w:w="0" w:type="dxa"/>
            <w:vAlign w:val="bottom"/>
          </w:tcPr>
          <w:p>
            <w:pPr>
              <w:spacing w:after="0"/>
              <w:rPr>
                <w:sz w:val="1"/>
                <w:szCs w:val="1"/>
                <w:color w:val="auto"/>
              </w:rPr>
            </w:pPr>
          </w:p>
        </w:tc>
      </w:tr>
      <w:tr>
        <w:trPr>
          <w:trHeight w:val="203"/>
        </w:trPr>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(ii).</w:t>
            </w:r>
          </w:p>
        </w:tc>
        <w:tc>
          <w:tcPr>
            <w:tcW w:w="2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579,300</w:t>
            </w: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see Note 1 **</w:t>
            </w: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 --</w:t>
            </w:r>
          </w:p>
        </w:tc>
        <w:tc>
          <w:tcPr>
            <w:tcW w:w="0" w:type="dxa"/>
            <w:vAlign w:val="bottom"/>
          </w:tcPr>
          <w:p>
            <w:pPr>
              <w:spacing w:after="0"/>
              <w:rPr>
                <w:sz w:val="1"/>
                <w:szCs w:val="1"/>
                <w:color w:val="auto"/>
              </w:rPr>
            </w:pPr>
          </w:p>
        </w:tc>
      </w:tr>
      <w:tr>
        <w:trPr>
          <w:trHeight w:val="203"/>
        </w:trPr>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(iii).</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DISPOSITION OF --</w:t>
            </w:r>
          </w:p>
        </w:tc>
        <w:tc>
          <w:tcPr>
            <w:tcW w:w="0" w:type="dxa"/>
            <w:vAlign w:val="bottom"/>
          </w:tcPr>
          <w:p>
            <w:pPr>
              <w:spacing w:after="0"/>
              <w:rPr>
                <w:sz w:val="1"/>
                <w:szCs w:val="1"/>
                <w:color w:val="auto"/>
              </w:rPr>
            </w:pPr>
          </w:p>
        </w:tc>
      </w:tr>
      <w:tr>
        <w:trPr>
          <w:trHeight w:val="203"/>
        </w:trPr>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(iv).</w:t>
            </w:r>
          </w:p>
        </w:tc>
        <w:tc>
          <w:tcPr>
            <w:tcW w:w="2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579,300</w:t>
            </w: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see Note 1 **</w:t>
            </w: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SHARE POWER TO DISPOSE OR TO DIRECT DISPOSISTION OF --</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 Note</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1 **</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8"/>
              </w:rPr>
              <w:t>Dimensional Fund Advisors Inc. ("Dimensional"), an investment</w:t>
            </w:r>
          </w:p>
        </w:tc>
        <w:tc>
          <w:tcPr>
            <w:tcW w:w="0" w:type="dxa"/>
            <w:vAlign w:val="bottom"/>
          </w:tcPr>
          <w:p>
            <w:pPr>
              <w:spacing w:after="0"/>
              <w:rPr>
                <w:sz w:val="1"/>
                <w:szCs w:val="1"/>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advisor</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registered under the Investment Advisors Act of 1940,</w:t>
            </w:r>
          </w:p>
        </w:tc>
        <w:tc>
          <w:tcPr>
            <w:tcW w:w="0" w:type="dxa"/>
            <w:vAlign w:val="bottom"/>
          </w:tcPr>
          <w:p>
            <w:pPr>
              <w:spacing w:after="0"/>
              <w:rPr>
                <w:sz w:val="1"/>
                <w:szCs w:val="1"/>
                <w:color w:val="auto"/>
              </w:rPr>
            </w:pPr>
          </w:p>
        </w:tc>
      </w:tr>
      <w:tr>
        <w:trPr>
          <w:trHeight w:val="203"/>
        </w:trPr>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furnishes investment advice to four investment companies</w:t>
            </w:r>
          </w:p>
        </w:tc>
        <w:tc>
          <w:tcPr>
            <w:tcW w:w="0" w:type="dxa"/>
            <w:vAlign w:val="bottom"/>
          </w:tcPr>
          <w:p>
            <w:pPr>
              <w:spacing w:after="0"/>
              <w:rPr>
                <w:sz w:val="1"/>
                <w:szCs w:val="1"/>
                <w:color w:val="auto"/>
              </w:rPr>
            </w:pPr>
          </w:p>
        </w:tc>
      </w:tr>
      <w:tr>
        <w:trPr>
          <w:trHeight w:val="235"/>
        </w:trPr>
        <w:tc>
          <w:tcPr>
            <w:tcW w:w="696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registered under Investment Company Act of 1940, and serves as</w:t>
            </w:r>
          </w:p>
        </w:tc>
        <w:tc>
          <w:tcPr>
            <w:tcW w:w="0" w:type="dxa"/>
            <w:vAlign w:val="bottom"/>
          </w:tcPr>
          <w:p>
            <w:pPr>
              <w:spacing w:after="0"/>
              <w:rPr>
                <w:sz w:val="1"/>
                <w:szCs w:val="1"/>
                <w:color w:val="auto"/>
              </w:rPr>
            </w:pPr>
          </w:p>
        </w:tc>
      </w:tr>
    </w:tbl>
    <w:p>
      <w:pPr>
        <w:ind w:left="420" w:right="2839"/>
        <w:spacing w:after="0" w:line="283" w:lineRule="auto"/>
        <w:rPr>
          <w:sz w:val="20"/>
          <w:szCs w:val="20"/>
          <w:color w:val="auto"/>
        </w:rPr>
      </w:pPr>
      <w:r>
        <w:rPr>
          <w:rFonts w:ascii="Courier New" w:cs="Courier New" w:eastAsia="Courier New" w:hAnsi="Courier New"/>
          <w:sz w:val="16"/>
          <w:szCs w:val="16"/>
          <w:color w:val="auto"/>
        </w:rPr>
        <w:t>investment manager to certain other investment vehicles, including commingled group trusts. (These investment companies and investment vehicles are the "Portfolios"). In its role as investment advisor and investment manager, Dimensional possesses both voting and investment power over the securities of the Issuer described in this schedule that are owned by the Portfolios. All securities reported in this schedule are owned by the Portfolios, and Dimensional disclaims beneficial ownership of such securities.</w:t>
      </w:r>
    </w:p>
    <w:p>
      <w:pPr>
        <w:spacing w:after="0" w:line="8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31" w:lineRule="exact"/>
        <w:rPr>
          <w:sz w:val="20"/>
          <w:szCs w:val="20"/>
          <w:color w:val="auto"/>
        </w:rPr>
      </w:pPr>
    </w:p>
    <w:p>
      <w:pPr>
        <w:ind w:left="1280" w:right="3039"/>
        <w:spacing w:after="0" w:line="262" w:lineRule="auto"/>
        <w:rPr>
          <w:sz w:val="20"/>
          <w:szCs w:val="20"/>
          <w:color w:val="auto"/>
        </w:rPr>
      </w:pPr>
      <w:r>
        <w:rPr>
          <w:rFonts w:ascii="Courier New" w:cs="Courier New" w:eastAsia="Courier New" w:hAnsi="Courier New"/>
          <w:sz w:val="18"/>
          <w:szCs w:val="18"/>
          <w:color w:val="auto"/>
        </w:rPr>
        <w:t>If this statement is being filed to report the fact that as of 12/31/98 the reporting person has ceased to be the beneficial owner of more than five percent of the class of securities, check the following: [ ]</w:t>
      </w:r>
    </w:p>
    <w:p>
      <w:pPr>
        <w:spacing w:after="0" w:line="90" w:lineRule="exact"/>
        <w:rPr>
          <w:sz w:val="20"/>
          <w:szCs w:val="20"/>
          <w:color w:val="auto"/>
        </w:rPr>
      </w:pPr>
    </w:p>
    <w:p>
      <w:pPr>
        <w:ind w:left="1280" w:right="3899" w:hanging="1263"/>
        <w:spacing w:after="0" w:line="257" w:lineRule="auto"/>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ind w:left="1280" w:right="2739"/>
        <w:spacing w:after="0" w:line="295" w:lineRule="auto"/>
        <w:rPr>
          <w:sz w:val="20"/>
          <w:szCs w:val="20"/>
          <w:color w:val="auto"/>
        </w:rPr>
      </w:pPr>
      <w:r>
        <w:rPr>
          <w:rFonts w:ascii="Courier New" w:cs="Courier New" w:eastAsia="Courier New" w:hAnsi="Courier New"/>
          <w:sz w:val="16"/>
          <w:szCs w:val="16"/>
          <w:color w:val="auto"/>
        </w:rPr>
        <w:t>All Securities reported in this schedule are onwed by advisory clients of Dimensional Fund Advisors Inc., no one of which to the knowledge of Dimensional Fund Advisors Inc. owns more than 5% of the class. Dimensional Fund Advisors Inc disclaims beneficial ownership of all such securities.</w:t>
      </w:r>
    </w:p>
    <w:p>
      <w:pPr>
        <w:spacing w:after="0" w:line="70" w:lineRule="exact"/>
        <w:rPr>
          <w:sz w:val="20"/>
          <w:szCs w:val="20"/>
          <w:color w:val="auto"/>
        </w:rPr>
      </w:pPr>
    </w:p>
    <w:p>
      <w:pPr>
        <w:ind w:left="1280" w:right="2519" w:hanging="1263"/>
        <w:spacing w:after="0" w:line="25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1280" w:right="2939" w:hanging="1263"/>
        <w:spacing w:after="0" w:line="347" w:lineRule="auto"/>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By signing below I certify that, to the best of my knowledge</w:t>
      </w:r>
    </w:p>
    <w:p>
      <w:pPr>
        <w:spacing w:after="0" w:line="2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and belief, the securities referred to above were acquired</w:t>
      </w:r>
    </w:p>
    <w:p>
      <w:pPr>
        <w:ind w:left="1280"/>
        <w:spacing w:after="0"/>
        <w:rPr>
          <w:sz w:val="20"/>
          <w:szCs w:val="20"/>
          <w:color w:val="auto"/>
        </w:rPr>
      </w:pPr>
      <w:r>
        <w:rPr>
          <w:rFonts w:ascii="Courier New" w:cs="Courier New" w:eastAsia="Courier New" w:hAnsi="Courier New"/>
          <w:sz w:val="16"/>
          <w:szCs w:val="16"/>
          <w:color w:val="auto"/>
        </w:rPr>
        <w:t>in the ordinary course of business and were not acquired for</w:t>
      </w:r>
    </w:p>
    <w:p>
      <w:pPr>
        <w:spacing w:after="0" w:line="2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purpose of and do not have the effect of changing or</w:t>
      </w:r>
    </w:p>
    <w:p>
      <w:pPr>
        <w:ind w:left="1280"/>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ind w:left="1280"/>
        <w:spacing w:after="0"/>
        <w:rPr>
          <w:sz w:val="20"/>
          <w:szCs w:val="20"/>
          <w:color w:val="auto"/>
        </w:rPr>
      </w:pPr>
      <w:r>
        <w:rPr>
          <w:rFonts w:ascii="Courier New" w:cs="Courier New" w:eastAsia="Courier New" w:hAnsi="Courier New"/>
          <w:sz w:val="16"/>
          <w:szCs w:val="16"/>
          <w:color w:val="auto"/>
        </w:rPr>
        <w:t>and were not acquired in connection with or as a participant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 any transaction having such purposes or effect.</w:t>
      </w:r>
    </w:p>
    <w:p>
      <w:pPr>
        <w:spacing w:after="0" w:line="169" w:lineRule="exact"/>
        <w:rPr>
          <w:sz w:val="20"/>
          <w:szCs w:val="20"/>
          <w:color w:val="auto"/>
        </w:rPr>
      </w:pPr>
    </w:p>
    <w:p>
      <w:pPr>
        <w:ind w:right="28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Friday, February 12, 1999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Vice President and Chief Finacial Officer</w:t>
      </w:r>
    </w:p>
    <w:sectPr>
      <w:pgSz w:w="11900" w:h="16838" w:orient="portrait"/>
      <w:cols w:equalWidth="0" w:num="1">
        <w:col w:w="10219"/>
      </w:cols>
      <w:pgMar w:left="240" w:top="110" w:right="1440" w:bottom="73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2020-02-22T02:53:44Z</dcterms:created>
  <dcterms:modified xsi:type="dcterms:W3CDTF">2020-02-22T02:53:44Z</dcterms:modified>
</cp:coreProperties>
</file>