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76835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4"/>
          <w:szCs w:val="24"/>
          <w:color w:val="auto"/>
        </w:rPr>
      </w:pPr>
    </w:p>
    <w:p>
      <w:pPr>
        <w:ind w:left="3360" w:right="760" w:hanging="2740"/>
        <w:spacing w:after="0" w:line="408" w:lineRule="auto"/>
        <w:tabs>
          <w:tab w:leader="none" w:pos="120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2021 or</w:t>
      </w:r>
    </w:p>
    <w:p>
      <w:pPr>
        <w:spacing w:after="0" w:line="41"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1"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-5080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86"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3940" w:type="dxa"/>
            <w:vAlign w:val="bottom"/>
            <w:gridSpan w:val="2"/>
            <w:vMerge w:val="continue"/>
          </w:tcPr>
          <w:p>
            <w:pPr>
              <w:spacing w:after="0"/>
              <w:rPr>
                <w:sz w:val="14"/>
                <w:szCs w:val="14"/>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111760</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6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9" w:lineRule="exact"/>
        <w:rPr>
          <w:sz w:val="24"/>
          <w:szCs w:val="24"/>
          <w:color w:val="auto"/>
        </w:rPr>
      </w:pPr>
    </w:p>
    <w:tbl>
      <w:tblPr>
        <w:tblLayout w:type="fixed"/>
        <w:tblInd w:w="1000" w:type="dxa"/>
        <w:tblCellMar>
          <w:top w:w="0" w:type="dxa"/>
          <w:left w:w="0" w:type="dxa"/>
          <w:bottom w:w="0" w:type="dxa"/>
          <w:right w:w="0" w:type="dxa"/>
        </w:tblCellMar>
      </w:tblPr>
      <w:tr>
        <w:trPr>
          <w:trHeight w:val="189"/>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jc w:val="both"/>
        <w:ind w:right="6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6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jc w:val="both"/>
        <w:ind w:right="5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2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8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As of January 31, 2022, 53,557,589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2"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00" w:type="dxa"/>
            <w:vAlign w:val="bottom"/>
            <w:gridSpan w:val="11"/>
          </w:tcPr>
          <w:p>
            <w:pPr>
              <w:jc w:val="center"/>
              <w:ind w:right="424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gridSpan w:val="11"/>
          </w:tcPr>
          <w:p>
            <w:pPr>
              <w:jc w:val="center"/>
              <w:ind w:right="42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980" w:type="dxa"/>
            <w:vAlign w:val="bottom"/>
            <w:gridSpan w:val="2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360" w:type="dxa"/>
            <w:vAlign w:val="bottom"/>
            <w:tcBorders>
              <w:top w:val="single" w:sz="8" w:color="0000FF"/>
              <w:bottom w:val="single" w:sz="8" w:color="0000FF"/>
            </w:tcBorders>
            <w:gridSpan w:val="8"/>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400" w:type="dxa"/>
            <w:vAlign w:val="bottom"/>
            <w:tcBorders>
              <w:top w:val="single" w:sz="8" w:color="0000FF"/>
            </w:tcBorders>
            <w:gridSpan w:val="3"/>
          </w:tcPr>
          <w:p>
            <w:pPr>
              <w:spacing w:after="0"/>
              <w:rPr>
                <w:sz w:val="18"/>
                <w:szCs w:val="18"/>
                <w:color w:val="auto"/>
              </w:rPr>
            </w:pPr>
          </w:p>
        </w:tc>
        <w:tc>
          <w:tcPr>
            <w:tcW w:w="7900" w:type="dxa"/>
            <w:vAlign w:val="bottom"/>
            <w:gridSpan w:val="17"/>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25"/>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 xml:space="preserve">Condensed Consolidated Balance Sheets as of December 31, 2021 and 2020 (Unaudited) and September 30, </w:t>
              </w:r>
            </w:hyperlink>
            <w:r>
              <w:rPr>
                <w:rFonts w:ascii="Arial" w:cs="Arial" w:eastAsia="Arial" w:hAnsi="Arial"/>
                <w:sz w:val="18"/>
                <w:szCs w:val="18"/>
                <w:color w:val="0000FF"/>
                <w:w w:val="99"/>
              </w:rPr>
              <w:t>2021</w:t>
            </w:r>
          </w:p>
        </w:tc>
        <w:tc>
          <w:tcPr>
            <w:tcW w:w="1100" w:type="dxa"/>
            <w:vAlign w:val="bottom"/>
            <w:gridSpan w:val="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2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Months Ended December 31, 2021 and 2020</w:t>
              </w:r>
            </w:hyperlink>
          </w:p>
        </w:tc>
        <w:tc>
          <w:tcPr>
            <w:tcW w:w="1100" w:type="dxa"/>
            <w:vAlign w:val="bottom"/>
            <w:gridSpan w:val="2"/>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7880" w:type="dxa"/>
            <w:vAlign w:val="bottom"/>
            <w:tcBorders>
              <w:top w:val="single" w:sz="8" w:color="0000FF"/>
            </w:tcBorders>
            <w:gridSpan w:val="19"/>
            <w:vMerge w:val="restart"/>
          </w:tcPr>
          <w:p>
            <w:pPr>
              <w:spacing w:after="0"/>
              <w:rPr>
                <w:sz w:val="5"/>
                <w:szCs w:val="5"/>
                <w:color w:val="auto"/>
              </w:rPr>
            </w:pPr>
          </w:p>
        </w:tc>
        <w:tc>
          <w:tcPr>
            <w:tcW w:w="1500" w:type="dxa"/>
            <w:vAlign w:val="bottom"/>
            <w:gridSpan w:val="5"/>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bottom w:val="single" w:sz="8" w:color="0000FF"/>
            </w:tcBorders>
            <w:gridSpan w:val="3"/>
            <w:vMerge w:val="continue"/>
          </w:tcPr>
          <w:p>
            <w:pPr>
              <w:spacing w:after="0"/>
              <w:rPr>
                <w:sz w:val="6"/>
                <w:szCs w:val="6"/>
                <w:color w:val="auto"/>
              </w:rPr>
            </w:pPr>
          </w:p>
        </w:tc>
        <w:tc>
          <w:tcPr>
            <w:tcW w:w="7880" w:type="dxa"/>
            <w:vAlign w:val="bottom"/>
            <w:tcBorders>
              <w:top w:val="single" w:sz="8" w:color="0000FF"/>
            </w:tcBorders>
            <w:gridSpan w:val="19"/>
            <w:vMerge w:val="continue"/>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Borders>
              <w:bottom w:val="single" w:sz="8" w:color="0000FF"/>
            </w:tcBorders>
            <w:gridSpan w:val="26"/>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Comprehensive Income for the Three Months Ended December 31, 2021 and</w:t>
              </w:r>
            </w:hyperlink>
          </w:p>
        </w:tc>
        <w:tc>
          <w:tcPr>
            <w:tcW w:w="920" w:type="dxa"/>
            <w:vAlign w:val="bottom"/>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320" w:type="dxa"/>
            <w:vAlign w:val="bottom"/>
            <w:gridSpan w:val="27"/>
            <w:vMerge w:val="restart"/>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2020 (Unaudited)</w:t>
              </w:r>
            </w:hyperlink>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320" w:type="dxa"/>
            <w:vAlign w:val="bottom"/>
            <w:gridSpan w:val="27"/>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Borders>
              <w:bottom w:val="single" w:sz="8" w:color="0000FF"/>
            </w:tcBorders>
            <w:gridSpan w:val="24"/>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Stockholders’ Equity for the Periods Ended December 31, 2021 and 2020</w:t>
              </w:r>
            </w:hyperlink>
          </w:p>
        </w:tc>
        <w:tc>
          <w:tcPr>
            <w:tcW w:w="1240" w:type="dxa"/>
            <w:vAlign w:val="bottom"/>
            <w:gridSpan w:val="3"/>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3"/>
            <w:vMerge w:val="restart"/>
          </w:tcPr>
          <w:p>
            <w:pPr>
              <w:spacing w:after="0" w:line="15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(Unaudited)</w:t>
              </w:r>
            </w:hyperlink>
          </w:p>
        </w:tc>
        <w:tc>
          <w:tcPr>
            <w:tcW w:w="9380" w:type="dxa"/>
            <w:vAlign w:val="bottom"/>
            <w:gridSpan w:val="24"/>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bottom w:val="single" w:sz="8" w:color="0000FF"/>
            </w:tcBorders>
            <w:gridSpan w:val="3"/>
            <w:vMerge w:val="continue"/>
          </w:tcPr>
          <w:p>
            <w:pPr>
              <w:spacing w:after="0"/>
              <w:rPr>
                <w:sz w:val="6"/>
                <w:szCs w:val="6"/>
                <w:color w:val="auto"/>
              </w:rPr>
            </w:pPr>
          </w:p>
        </w:tc>
        <w:tc>
          <w:tcPr>
            <w:tcW w:w="9380" w:type="dxa"/>
            <w:vAlign w:val="bottom"/>
            <w:gridSpan w:val="24"/>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Months Ended December 31, 2021 and 2020</w:t>
              </w:r>
            </w:hyperlink>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(Unaudited)</w:t>
              </w:r>
            </w:hyperlink>
          </w:p>
        </w:tc>
        <w:tc>
          <w:tcPr>
            <w:tcW w:w="7940" w:type="dxa"/>
            <w:vAlign w:val="bottom"/>
            <w:tcBorders>
              <w:top w:val="single" w:sz="8" w:color="0000FF"/>
            </w:tcBorders>
            <w:gridSpan w:val="20"/>
            <w:vMerge w:val="restart"/>
          </w:tcPr>
          <w:p>
            <w:pPr>
              <w:spacing w:after="0"/>
              <w:rPr>
                <w:sz w:val="5"/>
                <w:szCs w:val="5"/>
                <w:color w:val="auto"/>
              </w:rPr>
            </w:pPr>
          </w:p>
        </w:tc>
        <w:tc>
          <w:tcPr>
            <w:tcW w:w="1440" w:type="dxa"/>
            <w:vAlign w:val="bottom"/>
            <w:gridSpan w:val="4"/>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bottom w:val="single" w:sz="8" w:color="0000FF"/>
            </w:tcBorders>
            <w:gridSpan w:val="3"/>
            <w:vMerge w:val="continue"/>
          </w:tcPr>
          <w:p>
            <w:pPr>
              <w:spacing w:after="0"/>
              <w:rPr>
                <w:sz w:val="6"/>
                <w:szCs w:val="6"/>
                <w:color w:val="auto"/>
              </w:rPr>
            </w:pPr>
          </w:p>
        </w:tc>
        <w:tc>
          <w:tcPr>
            <w:tcW w:w="7940" w:type="dxa"/>
            <w:vAlign w:val="bottom"/>
            <w:tcBorders>
              <w:top w:val="single" w:sz="8" w:color="0000FF"/>
            </w:tcBorders>
            <w:gridSpan w:val="20"/>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2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Interim Condensed Consolidated Financial Statements (Unaudited)</w:t>
              </w:r>
            </w:hyperlink>
          </w:p>
        </w:tc>
        <w:tc>
          <w:tcPr>
            <w:tcW w:w="4260" w:type="dxa"/>
            <w:vAlign w:val="bottom"/>
            <w:gridSpan w:val="7"/>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1: Organization and Summary of Significant Accounting Policies</w:t>
              </w:r>
            </w:hyperlink>
          </w:p>
        </w:tc>
        <w:tc>
          <w:tcPr>
            <w:tcW w:w="4260" w:type="dxa"/>
            <w:vAlign w:val="bottom"/>
            <w:gridSpan w:val="7"/>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4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Acquisitions</w:t>
              </w:r>
            </w:hyperlink>
          </w:p>
        </w:tc>
        <w:tc>
          <w:tcPr>
            <w:tcW w:w="4380" w:type="dxa"/>
            <w:vAlign w:val="bottom"/>
            <w:gridSpan w:val="8"/>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5"/>
          </w:tcPr>
          <w:p>
            <w:pPr>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 xml:space="preserve">Note </w:t>
              </w:r>
            </w:hyperlink>
            <w:r>
              <w:rPr>
                <w:rFonts w:ascii="Arial" w:cs="Arial" w:eastAsia="Arial" w:hAnsi="Arial"/>
                <w:sz w:val="18"/>
                <w:szCs w:val="18"/>
                <w:color w:val="0000FF"/>
                <w:w w:val="93"/>
              </w:rPr>
              <w:t xml:space="preserve">3: </w:t>
            </w:r>
            <w:hyperlink w:anchor="page10">
              <w:r>
                <w:rPr>
                  <w:rFonts w:ascii="Arial" w:cs="Arial" w:eastAsia="Arial" w:hAnsi="Arial"/>
                  <w:sz w:val="18"/>
                  <w:szCs w:val="18"/>
                  <w:color w:val="0000FF"/>
                  <w:w w:val="93"/>
                </w:rPr>
                <w:t>Goodwill</w:t>
              </w:r>
            </w:hyperlink>
          </w:p>
        </w:tc>
        <w:tc>
          <w:tcPr>
            <w:tcW w:w="260" w:type="dxa"/>
            <w:vAlign w:val="bottom"/>
          </w:tcPr>
          <w:p>
            <w:pPr>
              <w:spacing w:after="0"/>
              <w:rPr>
                <w:sz w:val="18"/>
                <w:szCs w:val="18"/>
                <w:color w:val="auto"/>
              </w:rPr>
            </w:pPr>
          </w:p>
        </w:tc>
        <w:tc>
          <w:tcPr>
            <w:tcW w:w="8300" w:type="dxa"/>
            <w:vAlign w:val="bottom"/>
            <w:gridSpan w:val="20"/>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rFonts w:ascii="Arial" w:cs="Arial" w:eastAsia="Arial" w:hAnsi="Arial"/>
                <w:sz w:val="18"/>
                <w:szCs w:val="18"/>
                <w:color w:val="0000FF"/>
                <w:w w:val="96"/>
              </w:rPr>
            </w:pPr>
            <w:hyperlink w:anchor="page10">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4: </w:t>
            </w:r>
            <w:hyperlink w:anchor="page10">
              <w:r>
                <w:rPr>
                  <w:rFonts w:ascii="Arial" w:cs="Arial" w:eastAsia="Arial" w:hAnsi="Arial"/>
                  <w:sz w:val="18"/>
                  <w:szCs w:val="18"/>
                  <w:color w:val="0000FF"/>
                  <w:w w:val="96"/>
                </w:rPr>
                <w:t>Earnings Per Share</w:t>
              </w:r>
            </w:hyperlink>
          </w:p>
        </w:tc>
        <w:tc>
          <w:tcPr>
            <w:tcW w:w="7680" w:type="dxa"/>
            <w:vAlign w:val="bottom"/>
            <w:gridSpan w:val="16"/>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5: </w:t>
            </w:r>
            <w:hyperlink w:anchor="page11">
              <w:r>
                <w:rPr>
                  <w:rFonts w:ascii="Arial" w:cs="Arial" w:eastAsia="Arial" w:hAnsi="Arial"/>
                  <w:sz w:val="18"/>
                  <w:szCs w:val="18"/>
                  <w:color w:val="0000FF"/>
                </w:rPr>
                <w:t>Leases</w:t>
              </w:r>
            </w:hyperlink>
          </w:p>
        </w:tc>
        <w:tc>
          <w:tcPr>
            <w:tcW w:w="7680" w:type="dxa"/>
            <w:vAlign w:val="bottom"/>
            <w:gridSpan w:val="16"/>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bottom w:val="single" w:sz="8" w:color="0000FF"/>
            </w:tcBorders>
            <w:gridSpan w:val="11"/>
          </w:tcPr>
          <w:p>
            <w:pPr>
              <w:spacing w:after="0"/>
              <w:rPr>
                <w:rFonts w:ascii="Arial" w:cs="Arial" w:eastAsia="Arial" w:hAnsi="Arial"/>
                <w:sz w:val="18"/>
                <w:szCs w:val="18"/>
                <w:color w:val="0000FF"/>
                <w:w w:val="96"/>
              </w:rPr>
            </w:pPr>
            <w:hyperlink w:anchor="page12">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6: </w:t>
            </w:r>
            <w:hyperlink w:anchor="page12">
              <w:r>
                <w:rPr>
                  <w:rFonts w:ascii="Arial" w:cs="Arial" w:eastAsia="Arial" w:hAnsi="Arial"/>
                  <w:sz w:val="18"/>
                  <w:szCs w:val="18"/>
                  <w:color w:val="0000FF"/>
                  <w:w w:val="96"/>
                </w:rPr>
                <w:t>Strategic Investments</w:t>
              </w:r>
            </w:hyperlink>
          </w:p>
        </w:tc>
        <w:tc>
          <w:tcPr>
            <w:tcW w:w="7520" w:type="dxa"/>
            <w:vAlign w:val="bottom"/>
            <w:gridSpan w:val="15"/>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0000FF"/>
            </w:tcBorders>
            <w:gridSpan w:val="13"/>
          </w:tcPr>
          <w:p>
            <w:pPr>
              <w:spacing w:after="0"/>
              <w:rPr>
                <w:rFonts w:ascii="Arial" w:cs="Arial" w:eastAsia="Arial" w:hAnsi="Arial"/>
                <w:sz w:val="18"/>
                <w:szCs w:val="18"/>
                <w:color w:val="0000FF"/>
                <w:w w:val="96"/>
              </w:rPr>
            </w:pPr>
            <w:hyperlink w:anchor="page13">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7: </w:t>
            </w:r>
            <w:hyperlink w:anchor="page13">
              <w:r>
                <w:rPr>
                  <w:rFonts w:ascii="Arial" w:cs="Arial" w:eastAsia="Arial" w:hAnsi="Arial"/>
                  <w:sz w:val="18"/>
                  <w:szCs w:val="18"/>
                  <w:color w:val="0000FF"/>
                  <w:w w:val="96"/>
                </w:rPr>
                <w:t>Fair Value Measurements</w:t>
              </w:r>
            </w:hyperlink>
          </w:p>
        </w:tc>
        <w:tc>
          <w:tcPr>
            <w:tcW w:w="72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6"/>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8: </w:t>
            </w:r>
            <w:hyperlink w:anchor="page15">
              <w:r>
                <w:rPr>
                  <w:rFonts w:ascii="Arial" w:cs="Arial" w:eastAsia="Arial" w:hAnsi="Arial"/>
                  <w:sz w:val="18"/>
                  <w:szCs w:val="18"/>
                  <w:color w:val="0000FF"/>
                </w:rPr>
                <w:t>Debt</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6"/>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9: </w:t>
            </w:r>
            <w:hyperlink w:anchor="page17">
              <w:r>
                <w:rPr>
                  <w:rFonts w:ascii="Arial" w:cs="Arial" w:eastAsia="Arial" w:hAnsi="Arial"/>
                  <w:sz w:val="18"/>
                  <w:szCs w:val="18"/>
                  <w:color w:val="0000FF"/>
                </w:rPr>
                <w:t>Share-Based Compensation</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Borders>
              <w:bottom w:val="single" w:sz="8" w:color="0000FF"/>
            </w:tcBorders>
            <w:gridSpan w:val="15"/>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 xml:space="preserve">Note </w:t>
              </w:r>
            </w:hyperlink>
            <w:r>
              <w:rPr>
                <w:rFonts w:ascii="Arial" w:cs="Arial" w:eastAsia="Arial" w:hAnsi="Arial"/>
                <w:sz w:val="18"/>
                <w:szCs w:val="18"/>
                <w:color w:val="0000FF"/>
                <w:w w:val="97"/>
              </w:rPr>
              <w:t xml:space="preserve">10: </w:t>
            </w:r>
            <w:hyperlink w:anchor="page18">
              <w:r>
                <w:rPr>
                  <w:rFonts w:ascii="Arial" w:cs="Arial" w:eastAsia="Arial" w:hAnsi="Arial"/>
                  <w:sz w:val="18"/>
                  <w:szCs w:val="18"/>
                  <w:color w:val="0000FF"/>
                  <w:w w:val="97"/>
                </w:rPr>
                <w:t>Commitments and Contingencies</w:t>
              </w:r>
            </w:hyperlink>
          </w:p>
        </w:tc>
        <w:tc>
          <w:tcPr>
            <w:tcW w:w="6500" w:type="dxa"/>
            <w:vAlign w:val="bottom"/>
            <w:gridSpan w:val="11"/>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18">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11: </w:t>
            </w:r>
            <w:hyperlink w:anchor="page18">
              <w:r>
                <w:rPr>
                  <w:rFonts w:ascii="Arial" w:cs="Arial" w:eastAsia="Arial" w:hAnsi="Arial"/>
                  <w:sz w:val="18"/>
                  <w:szCs w:val="18"/>
                  <w:color w:val="0000FF"/>
                  <w:w w:val="96"/>
                </w:rPr>
                <w:t>Segment Information</w:t>
              </w:r>
            </w:hyperlink>
          </w:p>
        </w:tc>
        <w:tc>
          <w:tcPr>
            <w:tcW w:w="7480" w:type="dxa"/>
            <w:vAlign w:val="bottom"/>
            <w:gridSpan w:val="14"/>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19">
              <w:r>
                <w:rPr>
                  <w:rFonts w:ascii="Arial" w:cs="Arial" w:eastAsia="Arial" w:hAnsi="Arial"/>
                  <w:sz w:val="18"/>
                  <w:szCs w:val="18"/>
                  <w:color w:val="0000FF"/>
                  <w:w w:val="98"/>
                </w:rPr>
                <w:t xml:space="preserve">Note </w:t>
              </w:r>
            </w:hyperlink>
            <w:r>
              <w:rPr>
                <w:rFonts w:ascii="Arial" w:cs="Arial" w:eastAsia="Arial" w:hAnsi="Arial"/>
                <w:sz w:val="18"/>
                <w:szCs w:val="18"/>
                <w:color w:val="0000FF"/>
                <w:w w:val="98"/>
              </w:rPr>
              <w:t xml:space="preserve">12: </w:t>
            </w:r>
            <w:hyperlink w:anchor="page19">
              <w:r>
                <w:rPr>
                  <w:rFonts w:ascii="Arial" w:cs="Arial" w:eastAsia="Arial" w:hAnsi="Arial"/>
                  <w:sz w:val="18"/>
                  <w:szCs w:val="18"/>
                  <w:color w:val="0000FF"/>
                  <w:w w:val="98"/>
                </w:rPr>
                <w:t>Supplemental Consolidated Financial Information</w:t>
              </w:r>
            </w:hyperlink>
          </w:p>
        </w:tc>
        <w:tc>
          <w:tcPr>
            <w:tcW w:w="5220" w:type="dxa"/>
            <w:vAlign w:val="bottom"/>
            <w:gridSpan w:val="9"/>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28"/>
          </w:tcPr>
          <w:p>
            <w:pPr>
              <w:ind w:left="20"/>
              <w:spacing w:after="0"/>
              <w:rPr>
                <w:rFonts w:ascii="Arial" w:cs="Arial" w:eastAsia="Arial" w:hAnsi="Arial"/>
                <w:sz w:val="18"/>
                <w:szCs w:val="18"/>
                <w:color w:val="0000FF"/>
              </w:rPr>
            </w:pPr>
            <w:hyperlink w:anchor="page20">
              <w:r>
                <w:rPr>
                  <w:rFonts w:ascii="Arial" w:cs="Arial" w:eastAsia="Arial" w:hAnsi="Arial"/>
                  <w:sz w:val="18"/>
                  <w:szCs w:val="18"/>
                  <w:color w:val="0000FF"/>
                </w:rPr>
                <w:t>Item 2. Management’s Discussion and Analysis of Financial Condition and Results of Operations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2"/>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Item 3. Quantitative and Qualitative Disclosures about Market Risk</w:t>
              </w:r>
            </w:hyperlink>
          </w:p>
        </w:tc>
        <w:tc>
          <w:tcPr>
            <w:tcW w:w="298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18"/>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Item 4. Controls and Procedures</w:t>
              </w:r>
            </w:hyperlink>
          </w:p>
        </w:tc>
        <w:tc>
          <w:tcPr>
            <w:tcW w:w="5360" w:type="dxa"/>
            <w:vAlign w:val="bottom"/>
            <w:gridSpan w:val="10"/>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2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PART II — OTHER INFORMATION</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9"/>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Item 1. Legal Proceedings</w:t>
              </w:r>
            </w:hyperlink>
          </w:p>
        </w:tc>
        <w:tc>
          <w:tcPr>
            <w:tcW w:w="8160" w:type="dxa"/>
            <w:vAlign w:val="bottom"/>
            <w:gridSpan w:val="19"/>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7"/>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8560" w:type="dxa"/>
            <w:vAlign w:val="bottom"/>
            <w:gridSpan w:val="21"/>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7"/>
              </w:rPr>
            </w:pPr>
            <w:hyperlink w:anchor="page30">
              <w:r>
                <w:rPr>
                  <w:rFonts w:ascii="Arial" w:cs="Arial" w:eastAsia="Arial" w:hAnsi="Arial"/>
                  <w:sz w:val="18"/>
                  <w:szCs w:val="18"/>
                  <w:color w:val="0000FF"/>
                  <w:w w:val="97"/>
                </w:rPr>
                <w:t>Item 6. Exhibits</w:t>
              </w:r>
            </w:hyperlink>
          </w:p>
        </w:tc>
        <w:tc>
          <w:tcPr>
            <w:tcW w:w="480" w:type="dxa"/>
            <w:vAlign w:val="bottom"/>
            <w:tcBorders>
              <w:top w:val="single" w:sz="8" w:color="0000FF"/>
            </w:tcBorders>
            <w:gridSpan w:val="2"/>
          </w:tcPr>
          <w:p>
            <w:pPr>
              <w:spacing w:after="0"/>
              <w:rPr>
                <w:sz w:val="18"/>
                <w:szCs w:val="18"/>
                <w:color w:val="auto"/>
              </w:rPr>
            </w:pPr>
          </w:p>
        </w:tc>
        <w:tc>
          <w:tcPr>
            <w:tcW w:w="8940" w:type="dxa"/>
            <w:vAlign w:val="bottom"/>
            <w:gridSpan w:val="23"/>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2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0"/>
        </w:trPr>
        <w:tc>
          <w:tcPr>
            <w:tcW w:w="6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960" w:type="dxa"/>
            <w:vAlign w:val="bottom"/>
            <w:gridSpan w:val="6"/>
            <w:shd w:val="clear" w:color="auto" w:fill="CCEEFF"/>
          </w:tcPr>
          <w:p>
            <w:pPr>
              <w:ind w:left="920"/>
              <w:spacing w:after="0" w:line="170" w:lineRule="exact"/>
              <w:rPr>
                <w:sz w:val="20"/>
                <w:szCs w:val="20"/>
                <w:color w:val="auto"/>
              </w:rPr>
            </w:pPr>
            <w:r>
              <w:rPr>
                <w:rFonts w:ascii="Arial" w:cs="Arial" w:eastAsia="Arial" w:hAnsi="Arial"/>
                <w:sz w:val="16"/>
                <w:szCs w:val="16"/>
                <w:color w:val="auto"/>
              </w:rPr>
              <w:t>(Unaudited)</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6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233,274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290,450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8,692</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176,586</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147,852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29,765</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119,313</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94,980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31,209</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32,824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31,010</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598,839</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598,942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42,513</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16,500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52,201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Right-of-use asset,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201,527</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177,308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284,619</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258,453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61,458</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58,794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15,623</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5,851</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1,280,321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1,197,164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75,531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90,268</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13,142</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9,904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12,557</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Lease liability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51,843</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45,351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52,263</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140,516</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123,245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155,088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311,844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264,186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liability</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161,841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161,330</w:t>
            </w: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11,398</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11,303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r>
      <w:tr>
        <w:trPr>
          <w:trHeight w:val="212"/>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625,820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532,662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594,673</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10)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7"/>
        </w:trPr>
        <w:tc>
          <w:tcPr>
            <w:tcW w:w="6700" w:type="dxa"/>
            <w:vAlign w:val="bottom"/>
          </w:tcPr>
          <w:p>
            <w:pPr>
              <w:ind w:left="480"/>
              <w:spacing w:after="0" w:line="178"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53,344,218 as of December 31, 2021; 52,628,588</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6700" w:type="dxa"/>
            <w:vAlign w:val="bottom"/>
          </w:tcPr>
          <w:p>
            <w:pPr>
              <w:ind w:left="480"/>
              <w:spacing w:after="0"/>
              <w:rPr>
                <w:sz w:val="20"/>
                <w:szCs w:val="20"/>
                <w:color w:val="auto"/>
              </w:rPr>
            </w:pPr>
            <w:r>
              <w:rPr>
                <w:rFonts w:ascii="Arial" w:cs="Arial" w:eastAsia="Arial" w:hAnsi="Arial"/>
                <w:sz w:val="16"/>
                <w:szCs w:val="16"/>
                <w:color w:val="auto"/>
              </w:rPr>
              <w:t>as of December 31, 2020; and 53,086,438 as of September 30, 2021</w:t>
            </w:r>
          </w:p>
        </w:tc>
        <w:tc>
          <w:tcPr>
            <w:tcW w:w="140" w:type="dxa"/>
            <w:vAlign w:val="bottom"/>
          </w:tcPr>
          <w:p>
            <w:pPr>
              <w:spacing w:after="0"/>
              <w:rPr>
                <w:sz w:val="17"/>
                <w:szCs w:val="17"/>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180"/>
        </w:trPr>
        <w:tc>
          <w:tcPr>
            <w:tcW w:w="670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01"/>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339,955</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398,269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403,312</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369,359</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326,781</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(55,376)</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(56,791)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r>
      <w:tr>
        <w:trPr>
          <w:trHeight w:val="210"/>
        </w:trPr>
        <w:tc>
          <w:tcPr>
            <w:tcW w:w="67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654,501</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672,238</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1,280,321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1,197,164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34"/>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137,720</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107,783</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6,944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76,025</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63,489</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220,994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178,135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83,111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64,543</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5,772</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132,111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86,771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15,545</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12,510</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7,574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7,572</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(gain) on sale or disposal of assets and 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109,895</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99,369</w:t>
            </w:r>
          </w:p>
        </w:tc>
      </w:tr>
      <w:tr>
        <w:trPr>
          <w:trHeight w:val="209"/>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22,216</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21,347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5,502</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5,626</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r>
      <w:tr>
        <w:trPr>
          <w:trHeight w:val="22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15,721</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r>
      <w:tr>
        <w:trPr>
          <w:trHeight w:val="203"/>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0.21</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9"/>
        </w:trPr>
        <w:tc>
          <w:tcPr>
            <w:tcW w:w="8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56,183</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55,361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81,948</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55,428</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18,760</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15,576</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except for balances as of September 30, 2021 and September 30,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403,312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Cumulative effect of adoption of ASU 2020-06 (Note 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(37,406)</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15,721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2021</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56,314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339,955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369,359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654,501</w:t>
            </w: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18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318,169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2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55,599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398,269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322,468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15,721</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4,299</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7,574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7,572</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12,694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11,504</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1,698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(29,531)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(23,460)</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4,741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1,660</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9,018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(4,513)</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(166,480)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(142,936)</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95,542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65,297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53,981</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Issuance of note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(30,603)</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719</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(21,658)</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(14,092)</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263,624</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312,553</w:t>
            </w:r>
          </w:p>
        </w:tc>
      </w:tr>
      <w:tr>
        <w:trPr>
          <w:trHeight w:val="22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241,966</w:t>
            </w:r>
          </w:p>
        </w:tc>
        <w:tc>
          <w:tcPr>
            <w:tcW w:w="5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298,461</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233,274</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290,450</w:t>
            </w:r>
          </w:p>
        </w:tc>
      </w:tr>
      <w:tr>
        <w:trPr>
          <w:trHeight w:val="216"/>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8,692</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r>
      <w:tr>
        <w:trPr>
          <w:trHeight w:val="26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241,966</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298,461</w:t>
            </w:r>
          </w:p>
        </w:tc>
      </w:tr>
      <w:tr>
        <w:trPr>
          <w:trHeight w:val="213"/>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70,966</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50,921</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EZCORP, Inc. (collectively with its subsidiaries, the “Company,” “we,” “us,” or “our”) is a leading provider of pawn loans in the United States and Latin America. Pawn loans are non-recourse loans collateralized by tangible property. We also sell merchandise, primarily collateral forfeited from pawn lending operations and pre-owned merchandise purchased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8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50" w:lineRule="exact"/>
        <w:rPr>
          <w:sz w:val="20"/>
          <w:szCs w:val="20"/>
          <w:color w:val="auto"/>
        </w:rPr>
      </w:pPr>
    </w:p>
    <w:p>
      <w:pPr>
        <w:ind w:right="1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2021, filed with the SEC on November 17, 2021 (“2021 Annual Report”).</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three-month period ended December 31, 2021, are not necessarily indicative of results that may be expected for the fiscal year ending September 30, 2022.</w:t>
      </w:r>
    </w:p>
    <w:p>
      <w:pPr>
        <w:spacing w:after="0" w:line="148" w:lineRule="exact"/>
        <w:rPr>
          <w:sz w:val="20"/>
          <w:szCs w:val="20"/>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business is subject to seasonal variations, and operating results for the three months ended December 31, 2021 and 2020 (the "current quarter" and "prior-year quarter," respectively) are not necessarily indicative of the results of operations for the full fiscal year. There have </w:t>
      </w:r>
      <w:hyperlink r:id="rId21">
        <w:r>
          <w:rPr>
            <w:rFonts w:ascii="Arial" w:cs="Arial" w:eastAsia="Arial" w:hAnsi="Arial"/>
            <w:sz w:val="18"/>
            <w:szCs w:val="18"/>
            <w:color w:val="auto"/>
          </w:rPr>
          <w:t>been no changes that have had a material impact in significant accounting policies as described in our Annual Report on Form 10-K for the</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year ended September 30, 2021 except for as disclosed below related to the adoption of ASU 2020-06.</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 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Actual results may result in actual amounts differing from reported amounts.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COVID-19 pandemic continues to affect the U.S. and global economies, as disclosed in our 2021 Annual Report on Form 10-K. The full extent and duration of the COVID-19 impact on the global economy generally, and on our business specifically, is currently unknown. The impact of the pandemic, and the recovery therefrom, continued to adversely effect net revenues and earnings into fiscal 2021. During the latter part of fiscal 2021, we saw pawn transaction activity continue to rebuild, driving PLO balances closer to pre-pandemic levels, which will drive accelerating PSC revenue in the coming quarters given the natural lag between pawn originations and related fees. We continue to assess what type of impact the recent surge of the COVID-19 Omicron variant will have to our business, net revenues and operating expenses in fiscal year 2022. A prolonged pandemic and recovery may have an adverse effect on our results of operations, financial position results of operations or cash flows. Our estimates, judgments and assumptions related to COVID-19 could ultimately differ over time.</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August 2020, the FASB issued its Accounting Standards Update (“ASU”) 2020-06, </w:t>
      </w:r>
      <w:r>
        <w:rPr>
          <w:rFonts w:ascii="Arial" w:cs="Arial" w:eastAsia="Arial" w:hAnsi="Arial"/>
          <w:sz w:val="18"/>
          <w:szCs w:val="18"/>
          <w:i w:val="1"/>
          <w:iCs w:val="1"/>
          <w:color w:val="auto"/>
        </w:rPr>
        <w:t>Debt – Debt with Conversion and Other Options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(Subtopic 470-20) and Derivatives and Hedging – Contracts in Entity’s Own Equity (Subtopic 815 – 40)</w:t>
      </w:r>
      <w:r>
        <w:rPr>
          <w:rFonts w:ascii="Arial" w:cs="Arial" w:eastAsia="Arial" w:hAnsi="Arial"/>
          <w:sz w:val="18"/>
          <w:szCs w:val="18"/>
          <w:color w:val="auto"/>
        </w:rPr>
        <w:t>, (“ASU 2020-06”). 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the accounting for certain financial instruments with characteristics of liabilities and equity, including convertible instruments and contracts on an entity’s own equity. Additionally, ASU 2020-06 eliminates beneficial conversion feature and cash conversion models resulting in more convertible instruments being accounted for as a single unit. The ASU 2020-06 amendments are effective for fiscal years beginning after December 15, 2021, and interim periods within those fiscal years. Early adoption is permitted, but no earlier than fiscal years beginning after December 15, 2020, including interim periods within those fiscal years. We early adopted this standard on October 1, 2021 under the modified retrospective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Adoption of ASU 2020-06</w:t>
      </w:r>
    </w:p>
    <w:p>
      <w:pPr>
        <w:spacing w:after="0" w:line="18"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October 1, 2021, we early adopted ASU 2020-06 on a modified retrospective basis. Under ASU 2020-06, we no longer separate the convertible senior notes into liability and equity components. We recognized the cumulative effect of initially applying this new standard as of October 1, 2021.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51"/>
              <w:spacing w:after="0" w:line="175" w:lineRule="exact"/>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6"/>
                <w:szCs w:val="16"/>
                <w:b w:val="1"/>
                <w:bCs w:val="1"/>
                <w:color w:val="auto"/>
              </w:rPr>
              <w:t>Adjustments</w:t>
            </w:r>
          </w:p>
        </w:tc>
        <w:tc>
          <w:tcPr>
            <w:tcW w:w="140" w:type="dxa"/>
            <w:vAlign w:val="bottom"/>
            <w:vMerge w:val="restart"/>
          </w:tcPr>
          <w:p>
            <w:pPr>
              <w:spacing w:after="0"/>
              <w:rPr>
                <w:sz w:val="15"/>
                <w:szCs w:val="15"/>
                <w:color w:val="auto"/>
              </w:rPr>
            </w:pPr>
          </w:p>
        </w:tc>
        <w:tc>
          <w:tcPr>
            <w:tcW w:w="164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Under ASU 2020-06</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October 1, 2021</w:t>
            </w:r>
          </w:p>
        </w:tc>
        <w:tc>
          <w:tcPr>
            <w:tcW w:w="0" w:type="dxa"/>
            <w:vAlign w:val="bottom"/>
          </w:tcPr>
          <w:p>
            <w:pPr>
              <w:spacing w:after="0"/>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 net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264,186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311,471</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339,049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353,638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impact of adoption on our condensed consolidated statements of operations for the three months ended December 31, 2021 was primarily to decrease interest expense by $3.4 million. This had the effect of increasing our basic earnings per share for the three months ended December 31, 2021 by $ 0.05, and decreasing our diluted earnings per common share for the three months ended December 31, 2021 by $ 0.02. Additionally, adoption of the standard requires interest charges on the convertible debt to be added to net income as well as the use of the “if-converted” method to calculate diluted earnings per common share. Refer to Note 4: Earnings Per Share for effect of the convertible notes on diluted earnings per common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reviewed all recently issued accounting pronouncements and concluded that they were either not applicable or not expected to have a material impact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ACQUISITIONS</w:t>
      </w:r>
    </w:p>
    <w:p>
      <w:pPr>
        <w:spacing w:after="0" w:line="20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On June 8, 2021, we completed the acquisition of 100% of the common shares of PLO del Bajio S. de R.L. de C.V. (“Bajio”) and gained control of the entity, further expanding our geographic footprint within Mexico with the addition of 128 pawn stores. These stores operate under the name "Cash Apoyo Efectivo" and are located principally in the Mexico City metropolitan area.</w:t>
      </w:r>
    </w:p>
    <w:p>
      <w:pPr>
        <w:spacing w:after="0" w:line="14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At the time of acquisition, the total consideration for Bajio was $23.6 million, consisting of $17.4 million of cash, and 212,870 shares of our Class A Non-Voting Common Stock valued at $1.6 million. In addition, the sellers are entitled to additional payments of up to $4.6 million to be paid in two payments over the next two years, contingent on the growth of the loan portfolios of the acquired stores. Up to 50% of any future contingent payments can be made in shares of our Class A Non-Voting Common Stock at our discretion. The value of the contingent consideration was included in the total consideration as the metrics were considered achievable on the date of acquisition. Cash paid at closing was $11.6 million and $3.8 million was paid in the fourth quarter of 2021.</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first quarter of 2022, both parties completed the formal working capital reconciliation stipulated within the purchase agreement. As part of the working capital reconciliation, the Company and the seller agreed to reduce the purchase price, which was held in restricted cash as of September 30, 2021, by $1.3 million. As the working capital adjustment was recorded as of September 30, 2021, this reduction to the purchase price is a measurement period adjustment, and resulted in a $ 1.3 million reduction to goodwill during the period ended December 31, 2021. This reduced the total consideration for Bajio to $22.3 million. As the future payments decreased, we released $1.3 million of the previously held $2.0 million in restricted cash to our unrestricted cash. Of the remaining $0.7 million in restricted cash, $0.3 million is expected to be paid prior to June 30, 2022, and $0.4 million is expected to be paid on or around the fifth anniversary of the date of acquisition.</w:t>
      </w:r>
    </w:p>
    <w:p>
      <w:pPr>
        <w:spacing w:after="0" w:line="15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assets acquired and liabilities assumed are based upon the estimated fair values at the date of acquisition. The excess purchase price over the estimated fair market value of the new assets acquired has been recorded as goodwill.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Pawn loans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Pawn service charges receivable</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10,651</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24,778</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Debt</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(14,931)</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3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w:t>
            </w:r>
          </w:p>
        </w:tc>
      </w:tr>
      <w:tr>
        <w:trPr>
          <w:trHeight w:val="210"/>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consideration</w:t>
            </w:r>
          </w:p>
        </w:tc>
        <w:tc>
          <w:tcPr>
            <w:tcW w:w="3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indefinite-lived trade names.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GOODWILL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Three Months Ended December 31, 2021</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Measurement period adjustments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40,148</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284,619</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Three Months Ended December 31, 2020</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r>
      <w:tr>
        <w:trPr>
          <w:trHeight w:val="21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71" w:lineRule="exact"/>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15,721</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4,299</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56,183</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55,361</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r>
      <w:tr>
        <w:trPr>
          <w:trHeight w:val="203"/>
        </w:trPr>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56,183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55,361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dilution from equity-based compensation awards*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dilution from if-converted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Borders>
              <w:bottom w:val="single" w:sz="8" w:color="929292"/>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929292"/>
            </w:tcBorders>
            <w:shd w:val="clear" w:color="auto" w:fill="CCEEFF"/>
          </w:tcPr>
          <w:p>
            <w:pPr>
              <w:spacing w:after="0"/>
              <w:rPr>
                <w:sz w:val="18"/>
                <w:szCs w:val="18"/>
                <w:color w:val="auto"/>
              </w:rPr>
            </w:pPr>
          </w:p>
        </w:tc>
        <w:tc>
          <w:tcPr>
            <w:tcW w:w="112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81,948</w:t>
            </w:r>
          </w:p>
        </w:tc>
        <w:tc>
          <w:tcPr>
            <w:tcW w:w="120" w:type="dxa"/>
            <w:vAlign w:val="bottom"/>
            <w:tcBorders>
              <w:bottom w:val="single" w:sz="8" w:color="929292"/>
            </w:tcBorders>
            <w:shd w:val="clear" w:color="auto" w:fill="CCEEFF"/>
          </w:tcPr>
          <w:p>
            <w:pPr>
              <w:spacing w:after="0"/>
              <w:rPr>
                <w:sz w:val="18"/>
                <w:szCs w:val="18"/>
                <w:color w:val="auto"/>
              </w:rPr>
            </w:pPr>
          </w:p>
        </w:tc>
        <w:tc>
          <w:tcPr>
            <w:tcW w:w="500" w:type="dxa"/>
            <w:vAlign w:val="bottom"/>
            <w:tcBorders>
              <w:bottom w:val="single" w:sz="8" w:color="929292"/>
            </w:tcBorders>
            <w:shd w:val="clear" w:color="auto" w:fill="CCEEFF"/>
          </w:tcPr>
          <w:p>
            <w:pPr>
              <w:spacing w:after="0"/>
              <w:rPr>
                <w:sz w:val="18"/>
                <w:szCs w:val="18"/>
                <w:color w:val="auto"/>
              </w:rPr>
            </w:pPr>
          </w:p>
        </w:tc>
        <w:tc>
          <w:tcPr>
            <w:tcW w:w="94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55,428</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r>
      <w:tr>
        <w:trPr>
          <w:trHeight w:val="95"/>
        </w:trPr>
        <w:tc>
          <w:tcPr>
            <w:tcW w:w="82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Potential common shares excluded from the calculation of diluted earnings per share above: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r>
    </w:tbl>
    <w:p>
      <w:pPr>
        <w:spacing w:after="0" w:line="99" w:lineRule="exact"/>
        <w:rPr>
          <w:sz w:val="20"/>
          <w:szCs w:val="20"/>
          <w:color w:val="auto"/>
        </w:rPr>
      </w:pPr>
    </w:p>
    <w:p>
      <w:pPr>
        <w:ind w:left="340" w:right="540" w:hanging="332"/>
        <w:spacing w:after="0" w:line="241" w:lineRule="auto"/>
        <w:tabs>
          <w:tab w:leader="none" w:pos="232"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spacing w:after="0" w:line="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8 for conversion price and initial conversion rate of the 2024 Convertible Notes and 2025 Convertible Notes.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of our adoption of ASU 2020-06 on October 1, 2021, the dilutive impact of the Convertible Notes for our calculation of diluted net income per share is considered using the if-converted method. During the three months ended December 31, 2021, we increased net income by $1.9 million to arrive at the numerator used to calculate diluted earnings per common share, which represents interest expense recognized on the convertible notes that were subject to this change in methodology. For periods prior to our October 1, 2021 adoption of ASU 2020-06, we applied the treasury stock method to account for the dilutive impact of the 2024 and 2025 Convertible Notes for diluted earnings per share purposes.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LEASES</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below provides a summary of our leasing activities. See Note 12 in our 2021 Annual Report for additional information about our leasing activities. The table below presents balances of our operating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201,527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177,308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200,990</w:t>
            </w: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52,263</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161,841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143,620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161,330</w:t>
            </w: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213,684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188,971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213,593</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15,199</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3,045</w:t>
            </w:r>
          </w:p>
        </w:tc>
      </w:tr>
      <w:tr>
        <w:trPr>
          <w:trHeight w:val="220"/>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18,244</w:t>
            </w: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Includes sublease rental income.</w:t>
      </w:r>
    </w:p>
    <w:p>
      <w:pPr>
        <w:spacing w:after="0" w:line="33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includes the following for our operating leases:</w:t>
      </w:r>
    </w:p>
    <w:p>
      <w:pPr>
        <w:spacing w:after="0" w:line="3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34"/>
        </w:trPr>
        <w:tc>
          <w:tcPr>
            <w:tcW w:w="8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Weighted-average remaining contractual lease term </w:t>
            </w:r>
            <w:r>
              <w:rPr>
                <w:rFonts w:ascii="Arial" w:cs="Arial" w:eastAsia="Arial" w:hAnsi="Arial"/>
                <w:sz w:val="16"/>
                <w:szCs w:val="16"/>
                <w:i w:val="1"/>
                <w:iCs w:val="1"/>
                <w:color w:val="auto"/>
              </w:rPr>
              <w:t>(years)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0"/>
        </w:trPr>
        <w:tc>
          <w:tcPr>
            <w:tcW w:w="9040" w:type="dxa"/>
            <w:vAlign w:val="bottom"/>
            <w:gridSpan w:val="2"/>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560" w:type="dxa"/>
            <w:vAlign w:val="bottom"/>
          </w:tcPr>
          <w:p>
            <w:pPr>
              <w:jc w:val="right"/>
              <w:spacing w:after="0"/>
              <w:rPr>
                <w:sz w:val="20"/>
                <w:szCs w:val="20"/>
                <w:color w:val="auto"/>
              </w:rPr>
            </w:pPr>
            <w:r>
              <w:rPr>
                <w:rFonts w:ascii="Arial" w:cs="Arial" w:eastAsia="Arial" w:hAnsi="Arial"/>
                <w:sz w:val="16"/>
                <w:szCs w:val="16"/>
                <w:color w:val="auto"/>
              </w:rPr>
              <w:t>8.10 %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7.85 %</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2021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2022</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50,171</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58,474</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46,262</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35,686</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26,164</w:t>
            </w:r>
          </w:p>
        </w:tc>
      </w:tr>
      <w:tr>
        <w:trPr>
          <w:trHeight w:val="21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43,418</w:t>
            </w:r>
          </w:p>
        </w:tc>
      </w:tr>
      <w:tr>
        <w:trPr>
          <w:trHeight w:val="21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260,175</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46,491</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213,684</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51,843</w:t>
            </w:r>
          </w:p>
        </w:tc>
      </w:tr>
      <w:tr>
        <w:trPr>
          <w:trHeight w:val="220"/>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3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161,841</w:t>
            </w:r>
          </w:p>
        </w:tc>
      </w:tr>
    </w:tbl>
    <w:p>
      <w:pPr>
        <w:spacing w:after="0" w:line="33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recorded $ 14.3 million and $1.6 million in non-cash additions to our right of use assets and lease liabilities for the three months ended December 31, 2021 and December 31, 2020,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STRATEGIC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2021, we purchased an additional 13 million shares of Cash Converters International Limited ("Cash Converters") for</w:t>
      </w:r>
    </w:p>
    <w:p>
      <w:pPr>
        <w:spacing w:after="0" w:line="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$2.5 million. This purchase increased our total ownership in Cash Converters to 236,702,991 shares, representing a 37.72% ownership interest. Additionally, on October 14, 2021, we received a cash dividend of $1.7 million from Cash Converters.</w:t>
      </w:r>
    </w:p>
    <w:p>
      <w:pPr>
        <w:spacing w:after="0" w:line="14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June 30, 2021 after translation to U.S.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157,183</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191,788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172,833</w:t>
            </w:r>
          </w:p>
        </w:tc>
      </w:tr>
      <w:tr>
        <w:trPr>
          <w:trHeight w:val="219"/>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359,341</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330,016</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57,511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51,275</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240,435</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210,713</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359,341</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330,016</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Half-Year Ended June 30,</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187,025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105,851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112,511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See Note 7 for the fair value and carrying value of our investment in Cash Converters.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39"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On October 6, 2021, the Company invested $15.0 million in exchange for a non-redeemable voting participating preferred equity interest in Founders One, LLC (“Founders”), a newly-formed entity with one other member. Founders used that $15.0 million to acquire an equity interest in Simple Management Group, Inc. (“SMG”) which owns and operates more than 20 pawn stores principally in the Caribbean region, with plans to build and acquire more stores in that region. The investment in Founders is a variable interest entity but for which the Company is not the primary beneficiary and, therefore, is not consolidated. Further, as we are not the appointed manager, we do not have the ability to direct the activities of the investment entity that most significantly impact its economic performance. This investment in Founders is accounted for utilizing the measurement alternative within ASC 321, Investments — Equity Securities. Our $15.0 million carrying value of the investment is included in “Other Investments” in our consolidated balance sheets. The Company’s maximum exposure for losses in this investment is its contributed investment of $15.0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212529"/>
        </w:rPr>
        <w:t>See Note 7 for the fair value and carrying value of our investment in Founders.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FAIR VALUE MEASUREMENTS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2"/>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142,106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147,063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147,063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2"/>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Arial" w:cs="Arial" w:eastAsia="Arial" w:hAnsi="Arial"/>
                <w:sz w:val="16"/>
                <w:szCs w:val="16"/>
                <w:b w:val="1"/>
                <w:bCs w:val="1"/>
                <w:color w:val="auto"/>
              </w:rPr>
              <w:t>Level 1</w:t>
            </w: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center"/>
              <w:ind w:left="559"/>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8.5% unsecured debt due 2024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the short-term nature of cash and cash equivalents, pawn loans, pawn service charges receivable and other debt,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Included in “Accounts payable, accrued expenses and other current liabilities“ in our Consolidated Balance Sheets is $4.6 million which represents the fair value of acquisition-related contingent consideration as discussed in Note 2: Acquisitions. The key assumptions used to determine the fair value of acquisition-related contingent consideration are estimated by management, not observable in the market and, therefore considered Level 3 inputs within the fair value hierarchy.</w:t>
      </w:r>
    </w:p>
    <w:p>
      <w:pPr>
        <w:spacing w:after="0" w:line="15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fair value of the note approximated its carrying value as of December 31, 2021.</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We use the equity method of accounting to account for our 37.72% ownership in Cash Converters International. The inputs used to generate the fair value of the investment in Cash Converters were considered Level 1 inputs. These inputs consist of (a) the quoted stock price on the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4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use the equity method of accounting to account for our 13.14% ownership in Rich Data Corporation, a previously consolidated variable interest entity for which we no longer have the power to direct the activities that most significantly affect its economic performance. We believe its fair value approximated carrying value although such fair value is highly variable and includes significant unobservable inputs.</w:t>
      </w:r>
    </w:p>
    <w:p>
      <w:pPr>
        <w:spacing w:after="0" w:line="14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the $16.5 million included in the table above, $15.0 million is related the investment in Founders. We believe the investment's fair value approximated it's carrying value although such fair value is highly variable and includes significant unobservable inputs.</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48"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December 31, 2021. In August 2019, AlphaCredit notified us of an indemnity claim for certain pre-closing taxes, but the nature, extent and validity of such claim has yet to be determined.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ASU 2020-06 on October 1, 2021. See Note 1 for further discussion of this recently adopted accounting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29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8"/>
                <w:szCs w:val="18"/>
                <w:color w:val="auto"/>
              </w:rPr>
            </w:pPr>
          </w:p>
        </w:tc>
        <w:tc>
          <w:tcPr>
            <w:tcW w:w="282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and</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140,643</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8.5% unsecured debt due</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311,844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317,066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(62,531)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254,535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(52,064)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311,844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316,853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(62,531)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Amount translated from Guatemalan quetzals as of applicable period end. Debt was repaid before maturity the date in January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9"/>
              </w:rPr>
              <w:t>1 - 3 Years</w:t>
            </w: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3 - 5 Years</w:t>
            </w:r>
          </w:p>
        </w:tc>
        <w:tc>
          <w:tcPr>
            <w:tcW w:w="18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months ended December 31, 2021 and 2020:</w:t>
      </w: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71" w:lineRule="exact"/>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w:t>
            </w:r>
          </w:p>
        </w:tc>
      </w:tr>
      <w:tr>
        <w:trPr>
          <w:trHeight w:val="219"/>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1,024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r>
      <w:tr>
        <w:trPr>
          <w:trHeight w:val="220"/>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effective interest rate for the three months ended December 31, 2021 was approximately 3.35%. As of December 31, 2021, the remaining unamortized debt issuance costs will be amortized using the effective interest method through the 2024 Maturity Date assuming no early conversion.</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spacing w:after="0" w:line="1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5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2021. As of December 31, 2021, the if-converted value of the 2024 Convertible Notes did not exceed the principal amount.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230"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effective interest rate for the three months ended December 31, 2021 was approximately 2.88% for the 2025 Convertible Notes. As of December 31, 2021, the remaining unamortized debt issuance costs will be amortized using the effective interest method through the 2025 Maturity Date assuming no early conversion.</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23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4"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2021. As of December 31, 2021, the if-converted value of the 2025 Convertible Notes did not exceed the principal amount.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SHARE-BASED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December 2019, the Company's Board of Directors (the "Board") authorized the repurchase of up to $60.0 million of our Class A Common Stock over three years. During fiscal 2020, we repurchased and retired 943,149 shares of our Class A Common Stock for $5.2 million, which was allocated between "Additional paid-in capital" and "Retained earnings" in our condensed consolidated balance sheets. Repurchases under the program were suspended in March 2020 in order to preserve liquidity as a result of uncertainties related to the COVID-19 pandemic and no further share repurchases have been made since March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The following table presents a summary of stock compensation activity: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8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8480" w:type="dxa"/>
            <w:vAlign w:val="bottom"/>
          </w:tcPr>
          <w:p>
            <w:pPr>
              <w:spacing w:after="0"/>
              <w:rPr>
                <w:sz w:val="15"/>
                <w:szCs w:val="15"/>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29"/>
        </w:trPr>
        <w:tc>
          <w:tcPr>
            <w:tcW w:w="84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1,208,046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3,067,940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101,103 shares were withheld to satisfy related income tax withholding.</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CONTINGENCIES</w:t>
      </w:r>
    </w:p>
    <w:p>
      <w:pPr>
        <w:spacing w:after="0" w:line="20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The amount of resulting loss may differ from these estimates.</w:t>
      </w:r>
    </w:p>
    <w:p>
      <w:pPr>
        <w:spacing w:after="0" w:line="1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While we are unable to determine the ultimate outcome of any current litigation or regulatory actions, we do not believe the resolution of any particular matter will have a material adverse effect on our financial condition, results of operations or liquidity.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SEGMENT INFORMATION</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income of Cash Converters International and Rich Data Corporation along with our investment in Founders.</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14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2021</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102,078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35,642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137,720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137,720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76,025</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163,637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220,994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220,994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83,111</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132,111</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86,771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15,545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42,151</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2020</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82,253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25,530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107,783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107,783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63,489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178,135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64,543</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12,510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7,572</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Loss (gain) on sale or disposal of 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26,504</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SUPPLEMENTAL CONSOLIDATED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37,360</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24,825</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29,337</w:t>
            </w: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115,300</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119,313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94,980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110,989</w:t>
            </w:r>
          </w:p>
        </w:tc>
      </w:tr>
      <w:tr>
        <w:trPr>
          <w:trHeight w:val="202"/>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9,322</w:t>
            </w: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16,302</w:t>
            </w: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288,285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274,071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284,867</w:t>
            </w: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(236,084)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(218,867)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(231,056)</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53,811</w:t>
            </w: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18,925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17,169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22,462</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Incentive accrual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16,868</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payroll related expenses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Accrued sales and VAT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10,936</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 Payable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16,388</w:t>
            </w: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75,531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67,777</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1">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ended September 30, 2021,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194945</wp:posOffset>
            </wp:positionV>
            <wp:extent cx="4732020" cy="1139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287"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48"/>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0"/>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39"/>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55"/>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49"/>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0"/>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shd w:val="clear" w:color="auto" w:fill="026DCE"/>
          </w:tcPr>
          <w:p>
            <w:pPr>
              <w:spacing w:after="0"/>
              <w:rPr>
                <w:sz w:val="7"/>
                <w:szCs w:val="7"/>
                <w:color w:val="auto"/>
              </w:rPr>
            </w:pPr>
          </w:p>
        </w:tc>
        <w:tc>
          <w:tcPr>
            <w:tcW w:w="5340" w:type="dxa"/>
            <w:vAlign w:val="bottom"/>
            <w:shd w:val="clear" w:color="auto" w:fill="80C9FF"/>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 These historical trends have been impacted by COVID-19, but we expect these historical trends to return in the future.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net revenues, including PSC, merchandise sales gross profit ("Merchandise sales GP") and jewelry scrapping gross profit ("Jewelry Scrapping GP") for the three months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59690</wp:posOffset>
            </wp:positionV>
            <wp:extent cx="5743575" cy="2785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sources of net revenues by geographic disbursement for the three months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74930</wp:posOffset>
            </wp:positionV>
            <wp:extent cx="5743575" cy="278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COVID-19 pandemic continues to affect the U.S. and global economies, as disclosed in our 2021 Annual Report on Form 10-K. The full extent and duration of the COVID-19 impact on the global economy generally, and on our business specifically, is currently unknown. The impact of the pandemic, and the recovery therefrom, continued to adversely effect net revenues and earnings into fiscal 2021. During the latter part of fiscal 2021, we saw pawn transaction activity continue to rebuild, driving PLO balances closer to pre-pandemic levels, which will drive accelerating PSC revenue in the coming quarters given the natural lag between pawn originations and related fees. We continue to assess what type of impact the recent surge of the COVID-19 Omicron variant will have to our business net revenues and operating expenses in fiscal year 2022. A prolonged pandemic and recovery may have an adverse effect on our results of operations, financial position and liquidity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 in Unconsolidated Entities</w:t>
      </w:r>
    </w:p>
    <w:p>
      <w:pPr>
        <w:spacing w:after="0" w:line="18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On October 1, 2021, we purchased an additional 13 million shares of Cash Converters for $2.5 million. This purchase increased our total ownership in Cash Converters to 236,702,991 shares, representing a 37.72% ownership interest. Additionally, on October 14, 2021, we received a cash dividend of $1.7 million from Cash Converters.</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6, 2021, the Company purchased $15.0 million in exchange for a non-redeemable voting participating preferred equity interest in Founders One, LLC (“Founders”), a newly-formed entity with one other member. Founders used that $15.0 million to acquire an equity interest in Simple Management Group, Inc. (“SMG”) which owns and operates more than 20 pawn stores principally in the Caribbean region, with plans to build and acquire more stores in that region.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Management Changes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12, 2022, Jason A. Kulas informed the Company's Board of Directors (the "Board") that he was resigning from his position as Chief Executive Officer to accept a position at another company. The same day, the Board appointed Lachlan P. Given and John Blair Powell, Jr. as co-Interim Chief Executive Officers, effective immediately. Both Mr. Given and Mr. Powell are executive officers of the Company and have extensive experience with the Company and its business. A description of their respective backgrounds and experiences can be found in "Part III, Item 10 — Directors, Executive Officers and Corporate Governance — Executive Officers" of the Company's Annual Report on Form 10-K for the fiscal year ended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Financial Information</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months ended December 31, 2021 and December 31, 2020 were as follows: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138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6" w:lineRule="exact"/>
        <w:rPr>
          <w:sz w:val="20"/>
          <w:szCs w:val="20"/>
          <w:color w:val="auto"/>
        </w:rPr>
      </w:pPr>
    </w:p>
    <w:p>
      <w:pPr>
        <w:ind w:left="7100"/>
        <w:spacing w:after="0"/>
        <w:tabs>
          <w:tab w:leader="none" w:pos="82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Three Months Ended</w:t>
      </w:r>
    </w:p>
    <w:p>
      <w:pPr>
        <w:jc w:val="center"/>
        <w:ind w:right="3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10795</wp:posOffset>
            </wp:positionV>
            <wp:extent cx="138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6"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23495</wp:posOffset>
            </wp:positionV>
            <wp:extent cx="1388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8620" w:space="720"/>
            <w:col w:w="1900"/>
          </w:cols>
          <w:pgMar w:left="320" w:top="14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3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20.5</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19.9</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3700" w:type="dxa"/>
            <w:vAlign w:val="bottom"/>
          </w:tcPr>
          <w:p>
            <w:pPr>
              <w:jc w:val="right"/>
              <w:ind w:right="339"/>
              <w:spacing w:after="0"/>
              <w:rPr>
                <w:sz w:val="20"/>
                <w:szCs w:val="20"/>
                <w:color w:val="auto"/>
              </w:rPr>
            </w:pPr>
            <w:r>
              <w:rPr>
                <w:rFonts w:ascii="Arial" w:cs="Arial" w:eastAsia="Arial" w:hAnsi="Arial"/>
                <w:sz w:val="16"/>
                <w:szCs w:val="16"/>
                <w:color w:val="auto"/>
              </w:rPr>
              <w:t>7.5</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7.6</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7.6</w:t>
            </w: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3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24.1</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23.8</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Peruvian sol</w:t>
            </w:r>
          </w:p>
        </w:tc>
        <w:tc>
          <w:tcPr>
            <w:tcW w:w="3700" w:type="dxa"/>
            <w:vAlign w:val="bottom"/>
          </w:tcPr>
          <w:p>
            <w:pPr>
              <w:jc w:val="right"/>
              <w:ind w:right="339"/>
              <w:spacing w:after="0"/>
              <w:rPr>
                <w:sz w:val="20"/>
                <w:szCs w:val="20"/>
                <w:color w:val="auto"/>
              </w:rPr>
            </w:pPr>
            <w:r>
              <w:rPr>
                <w:rFonts w:ascii="Arial" w:cs="Arial" w:eastAsia="Arial" w:hAnsi="Arial"/>
                <w:sz w:val="16"/>
                <w:szCs w:val="16"/>
                <w:color w:val="auto"/>
              </w:rPr>
              <w:t>4.0</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3.6</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4.0</w:t>
            </w:r>
          </w:p>
        </w:tc>
        <w:tc>
          <w:tcPr>
            <w:tcW w:w="80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operating segments;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International and Rich Data Corporation, along with our investment in Founders.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See Note 11 - Segment Information for information regarding changes in reportable segments.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Data by Segment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2020</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vs. Three Months Ended December 31, 2020</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56,557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50,220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13%</w:t>
            </w:r>
          </w:p>
        </w:tc>
      </w:tr>
      <w:tr>
        <w:trPr>
          <w:trHeight w:val="219"/>
        </w:trPr>
        <w:tc>
          <w:tcPr>
            <w:tcW w:w="6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102,078</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82,253</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24%</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34,194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29%</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r>
        <w:trPr>
          <w:trHeight w:val="219"/>
        </w:trPr>
        <w:tc>
          <w:tcPr>
            <w:tcW w:w="6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4,980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4,004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24%</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(900)bps</w:t>
            </w:r>
          </w:p>
        </w:tc>
      </w:tr>
      <w:tr>
        <w:trPr>
          <w:trHeight w:val="219"/>
        </w:trPr>
        <w:tc>
          <w:tcPr>
            <w:tcW w:w="6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101,830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85,596</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19%</w:t>
            </w: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64,689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62,092</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2,736</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(100)%</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34,471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20,741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66%</w:t>
            </w:r>
          </w:p>
        </w:tc>
      </w:t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231,408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199,569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16%</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16%</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(100)bps</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(100)bps</w:t>
            </w:r>
          </w:p>
        </w:tc>
      </w:tr>
    </w:tbl>
    <w:p>
      <w:pPr>
        <w:spacing w:after="0" w:line="213"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13% as a result of higher average PLO for the quarter.</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Merchandise sales increased 24% compared to the prior year quarter. Merchandise sales gross profit increased 29% to $44.2 million as well as a 100 bps improvement in merchandise sales gross profit margin, reflecting a continued focus on improving retailing and lower levels of aged general merchandise inventory.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4% primarily due to rising labor costs resulting from growing transaction volume and store 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$13.7 million or 66%, due to the changes in net revenues and store expenses described above.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Three Months Ended 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2021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2020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2021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19,468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19,559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35,642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25,530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36,022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9,046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10,471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1,964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2,755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(500)bps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3,329%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30,439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22,082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17,217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22,247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1,980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(76)%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6,487</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4,962</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6,581</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33%</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64,490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43,263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65,773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4240" w:type="dxa"/>
            <w:vAlign w:val="bottom"/>
          </w:tcPr>
          <w:p>
            <w:pPr>
              <w:ind w:left="220"/>
              <w:spacing w:after="0" w:line="178"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20"/>
              <w:spacing w:after="0"/>
              <w:rPr>
                <w:sz w:val="20"/>
                <w:szCs w:val="20"/>
                <w:color w:val="auto"/>
              </w:rPr>
            </w:pPr>
            <w:r>
              <w:rPr>
                <w:rFonts w:ascii="Arial" w:cs="Arial" w:eastAsia="Arial" w:hAnsi="Arial"/>
                <w:sz w:val="16"/>
                <w:szCs w:val="16"/>
                <w:color w:val="auto"/>
              </w:rPr>
              <w:t>(b)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loan redemption rate (c)</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(200)bps</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20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2021 Change</w:t>
            </w:r>
          </w:p>
        </w:tc>
        <w:tc>
          <w:tcPr>
            <w:tcW w:w="160" w:type="dxa"/>
            <w:vAlign w:val="bottom"/>
          </w:tcPr>
          <w:p>
            <w:pPr>
              <w:spacing w:after="0"/>
              <w:rPr>
                <w:sz w:val="15"/>
                <w:szCs w:val="15"/>
                <w:color w:val="auto"/>
              </w:rPr>
            </w:pPr>
          </w:p>
        </w:tc>
        <w:tc>
          <w:tcPr>
            <w:tcW w:w="19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2021 Change</w:t>
            </w:r>
          </w:p>
        </w:tc>
      </w:tr>
      <w:tr>
        <w:trPr>
          <w:trHeight w:val="215"/>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 (a)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16%</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we opened one de novo store, bringing total segment store-count to 633.</w:t>
      </w:r>
    </w:p>
    <w:p>
      <w:pPr>
        <w:spacing w:after="0" w:line="15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PLO increased 37% to $35.5 million (40% on constant currency basis). On a same store basis, PLO increased 18% (20% on a constant currency basis).</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PSC increased 47% in the first quarter to $19.5 million (up 47% to $19.6 million on a constant currency basis) as a result of higher average PLO for the quarter.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Merchandise sales increased 40% (41% on a constant currency basis) and 15% on a same store basis (16% on a constant currency basis). Offsetting the sales increase, merchandise sales gross profit margin decreased from 35% to 29% reflecting a return to more normalized margins. Overall, merchandise sales gross profit increased 15% to $10.4 million (16% to $10.5 million on a constant currency basis).</w:t>
      </w:r>
    </w:p>
    <w:p>
      <w:pPr>
        <w:spacing w:after="0" w:line="1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Store expenses increased $4.9 million or 28% (29% on a constant currency basis) primarily due to growth in store count and rising labor costs resulting from growing transaction volume. On a same-store basis, store expenses increased by $0.9 million or 5% ($1.0 million or 6% on a constant currency basis).</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Segment contribution increased $ 1.5 million, or 31%, to $6.5 million ($1.6 million or 33% on a constant currency basis), due to the changes in net revenues and store expenses described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and Canadian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(43)%</w:t>
            </w:r>
          </w:p>
        </w:tc>
      </w:tr>
      <w:tr>
        <w:trPr>
          <w:trHeight w:val="213"/>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(43)%</w:t>
            </w: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121%</w:t>
            </w:r>
          </w:p>
        </w:tc>
      </w:tr>
      <w:tr>
        <w:trPr>
          <w:trHeight w:val="21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(94)%</w:t>
            </w:r>
          </w:p>
        </w:tc>
      </w:tr>
      <w:tr>
        <w:trPr>
          <w:trHeight w:val="219"/>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49%</w:t>
            </w:r>
          </w:p>
        </w:tc>
      </w:tr>
    </w:tbl>
    <w:p>
      <w:pPr>
        <w:spacing w:after="0" w:line="2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Segment contribution was $1.2 million, an increase of $0.4 million from the prior-year quarter primarily due to the increase in equity income for our unconsolidated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59%</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24%</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2,976</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(55)%</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114%</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(61)%</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5,502</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288%</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368%</w:t>
            </w:r>
          </w:p>
        </w:tc>
      </w:tr>
      <w:tr>
        <w:trPr>
          <w:trHeight w:val="21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266%</w:t>
            </w:r>
          </w:p>
        </w:tc>
      </w:tr>
    </w:tbl>
    <w:p>
      <w:pPr>
        <w:spacing w:after="0" w:line="25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Segment contribution increased $15.6 million or 59% over the prior year quarter primarily due to the improved operating results of all three segments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$3.0 million, or 24% primarily driven by the timing of fiscal year 2021 expenses.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Interest expense decreased $3.0 million primarily driven by the ASU 2020-06 accounting policy change which no longer requires debt discount be included on our balance sheet effective October 1, 2021. The policy change eliminates the non-cash interest amortization of that debt discount. See Note 1 to the consolidated financials for further discussion of this recently adopted accounting policy.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Income tax expense increased $4.4 million primarily due to an increase in income before income taxes of $15.8 million this quarter compared to the prior year same quarter.</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2021 Note 11: Income Taxes of Notes to Consolidated Financial Statements included in “Part II, Item 8 — Financial Statements and Supplemental Data” for quantification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20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cash and equivalents balance was $233.3 million at December 31, 2021 compared to $253.7 million at September 30, 2021. At December 31, 2021, our cash and equivalents were held in cash depository accounts with major banks or invested in high quality, short-term liquid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(used in)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(300)%</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(30,603)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(15,062)</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103%</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w:t>
            </w:r>
          </w:p>
        </w:tc>
        <w:tc>
          <w:tcPr>
            <w:tcW w:w="12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89%</w:t>
            </w:r>
          </w:p>
        </w:tc>
      </w:tr>
      <w:tr>
        <w:trPr>
          <w:trHeight w:val="220"/>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(21,658)</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2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flows provided by operating activities year-over-year was primarily due to a $11.4 million increase in net income.</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$15.5 million increase in cash flows used in investing activities year-over-year was primarily due to $16.5 million in outgoing cash flows used to fund investments and an increase of $5.1 million in net pawn lending, offset by an $11.3 million increase in the sale of forfeited collateral. Of the $16.5 million used to fund investments, $15.0 million was invested in Founders, as discussed in Note 6 in Part I, Item 1: Notes to Interim Condensed Consolidated Financial Statements.</w:t>
      </w:r>
    </w:p>
    <w:p>
      <w:pPr>
        <w:spacing w:after="0" w:line="15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net effect of these changes was a $56.5 million decrease in cash on hand during the current year, resulting in a $242.0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As of December 31, 2021, we had repurchased and retired 943,149 shares of our Class A Common Stock for $5.2 million. The resumption of our stock repurchase program and the amount and timing of purchases will be dependent on a variety of factors, such as the return to normal business conditions, stock price, trading volume, general market conditions, legal and regulatory requirements, cash flow levels,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three months ended December 31, 2021, there were no stock repurchases.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2022.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212529"/>
        </w:rPr>
        <w:t>debt maturing in 2024 and 2025, may require us to refinance these obligations through the issuance of new debt securities, equity securities, convertible securities or through new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ind w:right="40"/>
        <w:spacing w:after="0" w:line="253" w:lineRule="auto"/>
        <w:rPr>
          <w:rFonts w:ascii="Arial" w:cs="Arial" w:eastAsia="Arial" w:hAnsi="Arial"/>
          <w:sz w:val="18"/>
          <w:szCs w:val="18"/>
          <w:color w:val="auto"/>
        </w:rPr>
      </w:pPr>
      <w:hyperlink r:id="rId21">
        <w:r>
          <w:rPr>
            <w:rFonts w:ascii="Arial" w:cs="Arial" w:eastAsia="Arial" w:hAnsi="Arial"/>
            <w:sz w:val="18"/>
            <w:szCs w:val="18"/>
            <w:color w:val="auto"/>
          </w:rPr>
          <w:t>In "Part II, Item 7 — Management's Discussion and Analysis of Financial Condition and Results of Operations" of our Annual Report on Form</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10-K for the year ended September 30, 2021, we reported that we had $ 602.6 million in total contractual obligations as of September 30,</w:t>
        </w:r>
      </w:hyperlink>
      <w:r>
        <w:rPr>
          <w:rFonts w:ascii="Arial" w:cs="Arial" w:eastAsia="Arial" w:hAnsi="Arial"/>
          <w:sz w:val="18"/>
          <w:szCs w:val="18"/>
          <w:color w:val="auto"/>
        </w:rPr>
        <w:t xml:space="preserve"> 2021. There have been no material changes to this total obligation since September 30, 2021, other than changes as the result of adoption of accounting standards as further discussed in Note 1 of Notes to Interim Condensed Consolidated Financial Statements included in "Part I, Item 1 — Financial Statements."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2021, these collectively amounted to $25.5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2020, the FASB issued its Accounting Standards Update (“ASU”) 2020-06,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470-20) and Derivatives and Hedging – Contracts in Entity’s Own Equity (Subtopic 815 – 40)</w:t>
      </w:r>
      <w:r>
        <w:rPr>
          <w:rFonts w:ascii="Arial" w:cs="Arial" w:eastAsia="Arial" w:hAnsi="Arial"/>
          <w:sz w:val="18"/>
          <w:szCs w:val="18"/>
          <w:color w:val="auto"/>
        </w:rPr>
        <w:t>, (“ASU 2020-06”). 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the accounting for certain financial instruments with characteristics of liabilities and equity, including convertible instruments and contracts on an entity’s own equity. Additionally, ASU 2020-06 eliminates beneficial conversion feature and cash conversion models resulting in more convertible instruments being accounted for as a single unit. We early adopted this standard on October 1, 2021 under the modified retrospective basis. The effect of eliminating our debt discount on the 2024 and 2025 Convertible Notes will decrease non-cash interest expense amortization on our Condensed Consolidated Statement of Operations, and the reduction of interest expense will affect our basic earnings per common share. When calculating net income per share of common stock attributable to common shareholders, the Company uses the if-converted method as required under ASU 2020-06 to determine the dilutive effect of the Convertible Notes. The Company did not incur any impact to liquidity or cash flows with recently adopted accounting policy.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 xml:space="preserve">Item 1A — Risk Factors" of our Annual Report on Form 10-K for the year ended September 30, 2021 and "Part II, Item 1A — Risk Factors" </w:t>
        </w:r>
      </w:hyperlink>
      <w:r>
        <w:rPr>
          <w:rFonts w:ascii="Arial" w:cs="Arial" w:eastAsia="Arial" w:hAnsi="Arial"/>
          <w:sz w:val="18"/>
          <w:szCs w:val="18"/>
          <w:color w:val="auto"/>
        </w:rPr>
        <w:t>of this Report.</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2021. With the exception of the impacts of COVID-19, which are discussed elsewhere in this Report, there have been no material changes in our reported market risks or risk management policies since the filing of our Annual Report on Form 10-K for the year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December 31, 2021. Our principal executive officer and principal financial officer have concluded that as of December 31, 2021,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8" w:lineRule="exact"/>
        <w:rPr>
          <w:sz w:val="20"/>
          <w:szCs w:val="20"/>
          <w:color w:val="auto"/>
        </w:rPr>
      </w:pPr>
    </w:p>
    <w:p>
      <w:pPr>
        <w:ind w:right="3580" w:firstLine="3627"/>
        <w:spacing w:after="0" w:line="395"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10 of Notes to Interim Condensed Consolidated Financial Statements included in "Part I, Item 1 —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ind w:right="10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Important risk factors that could affect our operations and financial performance, or that could cause results or events to differ from current expectations, are described in </w:t>
      </w:r>
      <w:hyperlink r:id="rId21">
        <w:r>
          <w:rPr>
            <w:rFonts w:ascii="Arial" w:cs="Arial" w:eastAsia="Arial" w:hAnsi="Arial"/>
            <w:sz w:val="17"/>
            <w:szCs w:val="17"/>
            <w:color w:val="auto"/>
          </w:rPr>
          <w:t xml:space="preserve">"Part I, Item 1A — Risk Factors" of our Annual Report on Form 10-K for the year ended September 30, </w:t>
        </w:r>
      </w:hyperlink>
      <w:r>
        <w:rPr>
          <w:rFonts w:ascii="Arial" w:cs="Arial" w:eastAsia="Arial" w:hAnsi="Arial"/>
          <w:sz w:val="17"/>
          <w:szCs w:val="17"/>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94"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27260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471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4"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33">
        <w:r>
          <w:rPr>
            <w:rFonts w:ascii="Arial" w:cs="Arial" w:eastAsia="Arial" w:hAnsi="Arial"/>
            <w:sz w:val="16"/>
            <w:szCs w:val="16"/>
            <w:u w:val="single" w:color="auto"/>
            <w:color w:val="0000FF"/>
          </w:rPr>
          <w:t>Certification of Principal Executive Officer, pursuant to Rule 13a-</w:t>
        </w:r>
      </w:hyperlink>
    </w:p>
    <w:p>
      <w:pPr>
        <w:ind w:left="80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14(a) under the Securities Exchange Act of 1934</w:t>
        </w:r>
      </w:hyperlink>
    </w:p>
    <w:p>
      <w:pPr>
        <w:spacing w:after="0" w:line="10"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35">
        <w:r>
          <w:rPr>
            <w:rFonts w:ascii="Arial" w:cs="Arial" w:eastAsia="Arial" w:hAnsi="Arial"/>
            <w:sz w:val="16"/>
            <w:szCs w:val="16"/>
            <w:u w:val="single" w:color="auto"/>
            <w:color w:val="0000FF"/>
          </w:rPr>
          <w:t>Certification of Principal Financial Officer, pursuant to Rule 13a-14(a)</w:t>
        </w:r>
      </w:hyperlink>
    </w:p>
    <w:p>
      <w:pPr>
        <w:ind w:left="80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36">
        <w:r>
          <w:rPr>
            <w:rFonts w:ascii="Arial" w:cs="Arial" w:eastAsia="Arial" w:hAnsi="Arial"/>
            <w:sz w:val="16"/>
            <w:szCs w:val="16"/>
            <w:u w:val="single" w:color="auto"/>
            <w:color w:val="0000FF"/>
          </w:rPr>
          <w:t>Certifications of Principal Executive Officers, pursuant to 18 U.S.C.</w:t>
        </w:r>
      </w:hyperlink>
    </w:p>
    <w:p>
      <w:pPr>
        <w:ind w:left="80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Section 1350</w:t>
        </w:r>
      </w:hyperlink>
    </w:p>
    <w:p>
      <w:pPr>
        <w:spacing w:after="0" w:line="32" w:lineRule="exact"/>
        <w:rPr>
          <w:sz w:val="20"/>
          <w:szCs w:val="20"/>
          <w:color w:val="auto"/>
        </w:rPr>
      </w:pPr>
    </w:p>
    <w:p>
      <w:pPr>
        <w:ind w:left="800" w:right="4280" w:hanging="694"/>
        <w:spacing w:after="0" w:line="225"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sectPr>
          <w:pgSz w:w="11900" w:h="16838" w:orient="portrait"/>
          <w:cols w:equalWidth="0" w:num="2">
            <w:col w:w="9760" w:space="680"/>
            <w:col w:w="680"/>
          </w:cols>
          <w:pgMar w:left="320" w:top="144" w:right="459" w:bottom="1440" w:gutter="0" w:footer="0" w:header="0"/>
        </w:sectPr>
      </w:pPr>
    </w:p>
    <w:p>
      <w:pPr>
        <w:ind w:left="800" w:right="5440" w:hanging="542"/>
        <w:spacing w:after="0" w:line="232"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800" w:right="180" w:hanging="774"/>
        <w:spacing w:after="0" w:line="219"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February 2, 2022</w:t>
      </w:r>
      <w:r>
        <w:rPr>
          <w:sz w:val="20"/>
          <w:szCs w:val="20"/>
          <w:color w:val="auto"/>
        </w:rPr>
        <w:tab/>
      </w:r>
      <w:r>
        <w:rPr>
          <w:rFonts w:ascii="Arial" w:cs="Arial" w:eastAsia="Arial" w:hAnsi="Arial"/>
          <w:sz w:val="17"/>
          <w:szCs w:val="17"/>
          <w:color w:val="auto"/>
        </w:rPr>
        <w:t>/s/Timothy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33343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144"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Certification of Lachlan P. Given, Co-Interim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Lachlan P. Given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Co-Interim Chief Executive Officer</w:t>
      </w:r>
    </w:p>
    <w:p>
      <w:pPr>
        <w:sectPr>
          <w:pgSz w:w="11900" w:h="16838" w:orient="portrait"/>
          <w:cols w:equalWidth="0" w:num="1">
            <w:col w:w="11240"/>
          </w:cols>
          <w:pgMar w:left="320" w:top="110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Certification of John B. Powell Jr., Co-Interim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John B. Powell Jr., certify that:</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John B. Powell,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John B. Powell, Jr.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Co-Interim Chief Executive Officer</w:t>
      </w:r>
    </w:p>
    <w:p>
      <w:pPr>
        <w:sectPr>
          <w:pgSz w:w="11900" w:h="16838" w:orient="portrait"/>
          <w:cols w:equalWidth="0" w:num="1">
            <w:col w:w="11240"/>
          </w:cols>
          <w:pgMar w:left="320" w:top="110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left="340" w:right="100"/>
        <w:spacing w:after="0" w:line="281" w:lineRule="auto"/>
        <w:rPr>
          <w:sz w:val="20"/>
          <w:szCs w:val="20"/>
          <w:color w:val="auto"/>
        </w:rPr>
      </w:pPr>
      <w:r>
        <w:rPr>
          <w:rFonts w:ascii="Arial" w:cs="Arial" w:eastAsia="Arial" w:hAnsi="Arial"/>
          <w:sz w:val="18"/>
          <w:szCs w:val="18"/>
          <w:b w:val="1"/>
          <w:bCs w:val="1"/>
          <w:color w:val="auto"/>
        </w:rPr>
        <w:t>Certification of Lachlan P. Given, Co - Interim Chief Executive Officer, John B. Powell, Jr., Co-Interim Chief Executive Officer and Timothy K. Jugmans, Chief Financial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undersigned officer of EZCORP, Inc. hereby certifies that (a) EZCORP’s Quarterly Report on Form 10-Q for the quarter ended December 31, 2021,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Lachlan P. Given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Co-Interim Chief Executive Officer</w:t>
      </w: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John B. Powell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128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John B. Powell Jr.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Co-Interim Chief Executive Officer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21" Type="http://schemas.openxmlformats.org/officeDocument/2006/relationships/hyperlink" Target="http://www.sec.gov/ix?doc=/Archives/edgar/data/876523/000087652321000068/ezpw-2021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2022-02-02T15:16:13Z</dcterms:created>
  <dcterms:modified xsi:type="dcterms:W3CDTF">2022-02-02T15:16:13Z</dcterms:modified>
</cp:coreProperties>
</file>