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Fosse Eric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08/03/2018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EZCORP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EZPW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220" w:type="dxa"/>
            <w:vAlign w:val="bottom"/>
          </w:tcPr>
          <w:p>
            <w:pPr>
              <w:ind w:left="340"/>
              <w:spacing w:after="0"/>
              <w:rPr>
                <w:sz w:val="20"/>
                <w:szCs w:val="20"/>
                <w:color w:val="auto"/>
              </w:rPr>
            </w:pPr>
            <w:r>
              <w:rPr>
                <w:rFonts w:ascii="Arial" w:cs="Arial" w:eastAsia="Arial" w:hAnsi="Arial"/>
                <w:sz w:val="14"/>
                <w:szCs w:val="14"/>
                <w:color w:val="auto"/>
              </w:rPr>
              <w:t>(First)</w:t>
            </w:r>
          </w:p>
        </w:tc>
        <w:tc>
          <w:tcPr>
            <w:tcW w:w="1240" w:type="dxa"/>
            <w:vAlign w:val="bottom"/>
          </w:tcPr>
          <w:p>
            <w:pPr>
              <w:jc w:val="right"/>
              <w:ind w:right="482"/>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2500 BEE CAVE ROAD</w:t>
            </w:r>
          </w:p>
        </w:tc>
        <w:tc>
          <w:tcPr>
            <w:tcW w:w="12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BLDG 1 SUITE 200</w:t>
            </w:r>
          </w:p>
        </w:tc>
        <w:tc>
          <w:tcPr>
            <w:tcW w:w="12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ROLLINGWOOD TX</w:t>
            </w:r>
          </w:p>
        </w:tc>
        <w:tc>
          <w:tcPr>
            <w:tcW w:w="1240" w:type="dxa"/>
            <w:vAlign w:val="bottom"/>
          </w:tcPr>
          <w:p>
            <w:pPr>
              <w:jc w:val="right"/>
              <w:ind w:right="402"/>
              <w:spacing w:after="0"/>
              <w:rPr>
                <w:sz w:val="20"/>
                <w:szCs w:val="20"/>
                <w:color w:val="auto"/>
              </w:rPr>
            </w:pPr>
            <w:r>
              <w:rPr>
                <w:rFonts w:ascii="Arial" w:cs="Arial" w:eastAsia="Arial" w:hAnsi="Arial"/>
                <w:sz w:val="18"/>
                <w:szCs w:val="18"/>
                <w:color w:val="0000FF"/>
              </w:rPr>
              <w:t>78746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6"/>
        <w:spacing w:after="0"/>
        <w:rPr>
          <w:sz w:val="20"/>
          <w:szCs w:val="20"/>
          <w:color w:val="auto"/>
        </w:rPr>
      </w:pPr>
      <w:r>
        <w:rPr>
          <w:rFonts w:ascii="Arial" w:cs="Arial" w:eastAsia="Arial" w:hAnsi="Arial"/>
          <w:sz w:val="18"/>
          <w:szCs w:val="18"/>
          <w:color w:val="0000FF"/>
        </w:rPr>
        <w:t>President, US Pawn</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0" w:type="dxa"/>
            <w:vAlign w:val="bottom"/>
          </w:tcPr>
          <w:p>
            <w:pPr>
              <w:ind w:left="1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9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right"/>
              <w:ind w:right="276"/>
              <w:spacing w:after="0"/>
              <w:rPr>
                <w:sz w:val="20"/>
                <w:szCs w:val="20"/>
                <w:color w:val="auto"/>
              </w:rPr>
            </w:pPr>
            <w:r>
              <w:rPr>
                <w:rFonts w:ascii="Arial" w:cs="Arial" w:eastAsia="Arial" w:hAnsi="Arial"/>
                <w:sz w:val="11"/>
                <w:szCs w:val="11"/>
                <w:color w:val="008000"/>
              </w:rPr>
              <w:t>(2)</w:t>
            </w:r>
          </w:p>
        </w:tc>
        <w:tc>
          <w:tcPr>
            <w:tcW w:w="1960" w:type="dxa"/>
            <w:vAlign w:val="bottom"/>
          </w:tcPr>
          <w:p>
            <w:pPr>
              <w:jc w:val="center"/>
              <w:ind w:left="64"/>
              <w:spacing w:after="0"/>
              <w:rPr>
                <w:sz w:val="20"/>
                <w:szCs w:val="20"/>
                <w:color w:val="auto"/>
              </w:rPr>
            </w:pPr>
            <w:r>
              <w:rPr>
                <w:rFonts w:ascii="Arial" w:cs="Arial" w:eastAsia="Arial" w:hAnsi="Arial"/>
                <w:sz w:val="18"/>
                <w:szCs w:val="18"/>
                <w:color w:val="0000FF"/>
                <w:w w:val="90"/>
              </w:rPr>
              <w:t>Class A Non-Voting</w:t>
            </w:r>
          </w:p>
        </w:tc>
        <w:tc>
          <w:tcPr>
            <w:tcW w:w="800" w:type="dxa"/>
            <w:vAlign w:val="bottom"/>
            <w:vMerge w:val="restart"/>
          </w:tcPr>
          <w:p>
            <w:pPr>
              <w:ind w:left="220"/>
              <w:spacing w:after="0"/>
              <w:rPr>
                <w:sz w:val="20"/>
                <w:szCs w:val="20"/>
                <w:color w:val="auto"/>
              </w:rPr>
            </w:pPr>
            <w:r>
              <w:rPr>
                <w:rFonts w:ascii="Arial" w:cs="Arial" w:eastAsia="Arial" w:hAnsi="Arial"/>
                <w:sz w:val="18"/>
                <w:szCs w:val="18"/>
                <w:color w:val="0000FF"/>
              </w:rPr>
              <w:t>53,117</w:t>
            </w:r>
          </w:p>
        </w:tc>
        <w:tc>
          <w:tcPr>
            <w:tcW w:w="880" w:type="dxa"/>
            <w:vAlign w:val="bottom"/>
            <w:vMerge w:val="restart"/>
          </w:tcPr>
          <w:p>
            <w:pPr>
              <w:ind w:left="220"/>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960" w:type="dxa"/>
            <w:vAlign w:val="bottom"/>
            <w:vMerge w:val="restart"/>
          </w:tcPr>
          <w:p>
            <w:pPr>
              <w:jc w:val="center"/>
              <w:ind w:left="64"/>
              <w:spacing w:after="0"/>
              <w:rPr>
                <w:sz w:val="20"/>
                <w:szCs w:val="20"/>
                <w:color w:val="auto"/>
              </w:rPr>
            </w:pPr>
            <w:r>
              <w:rPr>
                <w:rFonts w:ascii="Arial" w:cs="Arial" w:eastAsia="Arial" w:hAnsi="Arial"/>
                <w:sz w:val="18"/>
                <w:szCs w:val="18"/>
                <w:color w:val="0000FF"/>
                <w:w w:val="89"/>
              </w:rPr>
              <w:t>Common Stock</w:t>
            </w: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purpose of this filing is to report the election of the Reporting Person as an Officer. At the time of this filing, the Reporting Person holds 53,117 Derivative Securities.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Subject to the attainment of specified performance goals, 16,275 shares vest, in whole or in part, on September 30, 2019, and 36,842 shares vest, in whole or in part, on September 30, 2020.</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unit represents a contingent right to receive one share of EZCORP Class A Non-Voting Common Stock at the time of vesting.</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2"/>
              </w:rPr>
              <w:t>/s/ Carrie Putnam, attorney in</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08/13/2018</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80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80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04753"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2020-01-12T20:35:59Z</dcterms:created>
  <dcterms:modified xsi:type="dcterms:W3CDTF">2020-01-12T20:35:59Z</dcterms:modified>
</cp:coreProperties>
</file>