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As filed with the Securities and Exchange Commission on October 11, 2022</w:t>
      </w:r>
    </w:p>
    <w:p>
      <w:pPr>
        <w:spacing w:after="0" w:line="14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357" w:lineRule="exact"/>
        <w:rPr>
          <w:sz w:val="24"/>
          <w:szCs w:val="24"/>
          <w:color w:val="auto"/>
        </w:rPr>
      </w:pPr>
    </w:p>
    <w:p>
      <w:pPr>
        <w:ind w:left="4860"/>
        <w:spacing w:after="0"/>
        <w:rPr>
          <w:sz w:val="20"/>
          <w:szCs w:val="20"/>
          <w:color w:val="auto"/>
        </w:rPr>
      </w:pPr>
      <w:r>
        <w:rPr>
          <w:rFonts w:ascii="Arial" w:cs="Arial" w:eastAsia="Arial" w:hAnsi="Arial"/>
          <w:sz w:val="20"/>
          <w:szCs w:val="20"/>
          <w:color w:val="auto"/>
        </w:rPr>
        <w:t>UNITED STATES</w:t>
      </w:r>
    </w:p>
    <w:p>
      <w:pPr>
        <w:spacing w:after="0" w:line="13" w:lineRule="exact"/>
        <w:rPr>
          <w:sz w:val="24"/>
          <w:szCs w:val="24"/>
          <w:color w:val="auto"/>
        </w:rPr>
      </w:pPr>
    </w:p>
    <w:p>
      <w:pPr>
        <w:ind w:left="3540"/>
        <w:spacing w:after="0"/>
        <w:rPr>
          <w:sz w:val="20"/>
          <w:szCs w:val="20"/>
          <w:color w:val="auto"/>
        </w:rPr>
      </w:pPr>
      <w:r>
        <w:rPr>
          <w:rFonts w:ascii="Arial" w:cs="Arial" w:eastAsia="Arial" w:hAnsi="Arial"/>
          <w:sz w:val="20"/>
          <w:szCs w:val="20"/>
          <w:color w:val="auto"/>
        </w:rPr>
        <w:t>SECURITIES AND EXCHANGE COMMISSION</w:t>
      </w:r>
    </w:p>
    <w:p>
      <w:pPr>
        <w:jc w:val="center"/>
        <w:spacing w:after="0"/>
        <w:rPr>
          <w:sz w:val="20"/>
          <w:szCs w:val="20"/>
          <w:color w:val="auto"/>
        </w:rPr>
      </w:pPr>
      <w:r>
        <w:rPr>
          <w:rFonts w:ascii="Arial" w:cs="Arial" w:eastAsia="Arial" w:hAnsi="Arial"/>
          <w:sz w:val="20"/>
          <w:szCs w:val="20"/>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EZCORP,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3" w:lineRule="exact"/>
        <w:rPr>
          <w:sz w:val="24"/>
          <w:szCs w:val="24"/>
          <w:color w:val="auto"/>
        </w:rPr>
      </w:pPr>
    </w:p>
    <w:p>
      <w:pPr>
        <w:ind w:left="200"/>
        <w:spacing w:after="0"/>
        <w:tabs>
          <w:tab w:leader="none" w:pos="11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7"/>
          <w:szCs w:val="17"/>
          <w:b w:val="1"/>
          <w:bCs w:val="1"/>
          <w:color w:val="auto"/>
        </w:rPr>
        <w:t>74-2540145</w:t>
      </w:r>
    </w:p>
    <w:p>
      <w:pPr>
        <w:spacing w:after="0" w:line="37" w:lineRule="exact"/>
        <w:rPr>
          <w:sz w:val="24"/>
          <w:szCs w:val="24"/>
          <w:color w:val="auto"/>
        </w:rPr>
      </w:pPr>
    </w:p>
    <w:p>
      <w:pPr>
        <w:ind w:left="160"/>
        <w:spacing w:after="0"/>
        <w:tabs>
          <w:tab w:leader="none" w:pos="4020" w:val="left"/>
        </w:tabs>
        <w:rPr>
          <w:sz w:val="20"/>
          <w:szCs w:val="20"/>
          <w:color w:val="auto"/>
        </w:rPr>
      </w:pPr>
      <w:r>
        <w:rPr>
          <w:rFonts w:ascii="Arial" w:cs="Arial" w:eastAsia="Arial" w:hAnsi="Arial"/>
          <w:sz w:val="14"/>
          <w:szCs w:val="14"/>
          <w:color w:val="auto"/>
        </w:rPr>
        <w:t>(State or other jurisdiction of incorporation or organization)</w:t>
        <w:tab/>
        <w:t>(I.R.S. Employer Identification No.)</w:t>
      </w:r>
    </w:p>
    <w:p>
      <w:pPr>
        <w:spacing w:after="0" w:line="95" w:lineRule="exact"/>
        <w:rPr>
          <w:sz w:val="24"/>
          <w:szCs w:val="24"/>
          <w:color w:val="auto"/>
        </w:rPr>
      </w:pPr>
    </w:p>
    <w:p>
      <w:pPr>
        <w:ind w:left="200"/>
        <w:spacing w:after="0"/>
        <w:tabs>
          <w:tab w:leader="none" w:pos="6040" w:val="left"/>
        </w:tabs>
        <w:rPr>
          <w:sz w:val="20"/>
          <w:szCs w:val="20"/>
          <w:color w:val="auto"/>
        </w:rPr>
      </w:pPr>
      <w:r>
        <w:rPr>
          <w:rFonts w:ascii="Arial" w:cs="Arial" w:eastAsia="Arial" w:hAnsi="Arial"/>
          <w:sz w:val="18"/>
          <w:szCs w:val="18"/>
          <w:b w:val="1"/>
          <w:bCs w:val="1"/>
          <w:color w:val="auto"/>
        </w:rPr>
        <w:t>2500 Bee Cave Road, Building One, Suite 200, Rollingwood, Texas</w:t>
      </w:r>
      <w:r>
        <w:rPr>
          <w:sz w:val="20"/>
          <w:szCs w:val="20"/>
          <w:color w:val="auto"/>
        </w:rPr>
        <w:tab/>
      </w:r>
      <w:r>
        <w:rPr>
          <w:rFonts w:ascii="Arial" w:cs="Arial" w:eastAsia="Arial" w:hAnsi="Arial"/>
          <w:sz w:val="17"/>
          <w:szCs w:val="17"/>
          <w:b w:val="1"/>
          <w:bCs w:val="1"/>
          <w:color w:val="auto"/>
        </w:rPr>
        <w:t>78746</w:t>
      </w:r>
    </w:p>
    <w:p>
      <w:pPr>
        <w:spacing w:after="0" w:line="37" w:lineRule="exact"/>
        <w:rPr>
          <w:sz w:val="24"/>
          <w:szCs w:val="24"/>
          <w:color w:val="auto"/>
        </w:rPr>
      </w:pPr>
    </w:p>
    <w:p>
      <w:pPr>
        <w:ind w:left="160"/>
        <w:spacing w:after="0"/>
        <w:tabs>
          <w:tab w:leader="none" w:pos="2840" w:val="left"/>
        </w:tabs>
        <w:rPr>
          <w:sz w:val="20"/>
          <w:szCs w:val="20"/>
          <w:color w:val="auto"/>
        </w:rPr>
      </w:pPr>
      <w:r>
        <w:rPr>
          <w:rFonts w:ascii="Arial" w:cs="Arial" w:eastAsia="Arial" w:hAnsi="Arial"/>
          <w:sz w:val="14"/>
          <w:szCs w:val="14"/>
          <w:color w:val="auto"/>
        </w:rPr>
        <w:t>(Address of Principal Executive Offices)</w:t>
        <w:tab/>
        <w:t>(Zip Code)</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EZCORP, INC. 2022 LONG-TERM INCENTIVE PLAN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 of the plan)</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H. Welch, Jr.</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EZCORP,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314-3409</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231" w:lineRule="exact"/>
        <w:rPr>
          <w:sz w:val="24"/>
          <w:szCs w:val="24"/>
          <w:color w:val="auto"/>
        </w:rPr>
      </w:pPr>
    </w:p>
    <w:p>
      <w:pPr>
        <w:jc w:val="both"/>
        <w:ind w:right="500"/>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5" w:lineRule="exact"/>
        <w:rPr>
          <w:sz w:val="24"/>
          <w:szCs w:val="24"/>
          <w:color w:val="auto"/>
        </w:rPr>
      </w:pPr>
    </w:p>
    <w:p>
      <w:pPr>
        <w:ind w:left="160"/>
        <w:spacing w:after="0" w:line="161" w:lineRule="exact"/>
        <w:tabs>
          <w:tab w:leader="none" w:pos="19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4"/>
          <w:szCs w:val="14"/>
          <w:color w:val="auto"/>
        </w:rPr>
        <w:t>☒</w:t>
      </w:r>
    </w:p>
    <w:p>
      <w:pPr>
        <w:spacing w:after="0" w:line="49" w:lineRule="exact"/>
        <w:rPr>
          <w:sz w:val="24"/>
          <w:szCs w:val="24"/>
          <w:color w:val="auto"/>
        </w:rPr>
      </w:pPr>
    </w:p>
    <w:p>
      <w:pPr>
        <w:ind w:left="160"/>
        <w:spacing w:after="0" w:line="161" w:lineRule="exact"/>
        <w:tabs>
          <w:tab w:leader="none" w:pos="18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6" w:lineRule="exact"/>
        <w:rPr>
          <w:sz w:val="24"/>
          <w:szCs w:val="24"/>
          <w:color w:val="auto"/>
        </w:rPr>
      </w:pPr>
    </w:p>
    <w:p>
      <w:pPr>
        <w:ind w:right="54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1124" w:right="339" w:bottom="1440" w:gutter="0" w:footer="0" w:header="0"/>
        </w:sectPr>
      </w:pPr>
    </w:p>
    <w:bookmarkStart w:id="1" w:name="page2"/>
    <w:bookmarkEnd w:id="1"/>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Pursuant to General Instruction E of Form S-8 (“Registration of Additional Securities”), the Registrant hereby makes the following statement:</w:t>
      </w:r>
    </w:p>
    <w:p>
      <w:pPr>
        <w:spacing w:after="0" w:line="266" w:lineRule="exact"/>
        <w:rPr>
          <w:sz w:val="20"/>
          <w:szCs w:val="20"/>
          <w:color w:val="auto"/>
        </w:rPr>
      </w:pPr>
    </w:p>
    <w:p>
      <w:pPr>
        <w:ind w:left="660" w:right="720"/>
        <w:spacing w:after="0" w:line="252" w:lineRule="auto"/>
        <w:rPr>
          <w:sz w:val="20"/>
          <w:szCs w:val="20"/>
          <w:color w:val="auto"/>
        </w:rPr>
      </w:pPr>
      <w:r>
        <w:rPr>
          <w:rFonts w:ascii="Arial" w:cs="Arial" w:eastAsia="Arial" w:hAnsi="Arial"/>
          <w:sz w:val="18"/>
          <w:szCs w:val="18"/>
          <w:color w:val="auto"/>
        </w:rPr>
        <w:t>On March 4, 2022, the Registrant filed with the Securities and Exchange Commission a Registration Statement on Form S-8 (Registration No. 333-263308) (the “Prior Registration Statement”) relating to shares of the Registrant’s common stock to be issued pursuant to the EZCORP, Inc. 2022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Exhibit</w:t>
            </w:r>
          </w:p>
        </w:tc>
        <w:tc>
          <w:tcPr>
            <w:tcW w:w="90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41"/>
        </w:trPr>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Number</w:t>
            </w:r>
          </w:p>
        </w:tc>
        <w:tc>
          <w:tcPr>
            <w:tcW w:w="90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FF"/>
              </w:rPr>
              <w:t>Opinion of legal counsel</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4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Consent of BDO USA, LLP, independent registered public accounting firm</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74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rPr>
              <w:t>Consent of legal counsel (included in Exhibit 5.1)</w:t>
            </w:r>
          </w:p>
        </w:tc>
        <w:tc>
          <w:tcPr>
            <w:tcW w:w="0" w:type="dxa"/>
            <w:vAlign w:val="bottom"/>
          </w:tcPr>
          <w:p>
            <w:pPr>
              <w:spacing w:after="0"/>
              <w:rPr>
                <w:sz w:val="1"/>
                <w:szCs w:val="1"/>
                <w:color w:val="auto"/>
              </w:rPr>
            </w:pPr>
          </w:p>
        </w:tc>
      </w:tr>
      <w:tr>
        <w:trPr>
          <w:trHeight w:val="459"/>
        </w:trPr>
        <w:tc>
          <w:tcPr>
            <w:tcW w:w="174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rPr>
              <w:t>Power of attorney (set forth on signature page)</w:t>
            </w:r>
          </w:p>
        </w:tc>
        <w:tc>
          <w:tcPr>
            <w:tcW w:w="0" w:type="dxa"/>
            <w:vAlign w:val="bottom"/>
          </w:tcPr>
          <w:p>
            <w:pPr>
              <w:spacing w:after="0"/>
              <w:rPr>
                <w:sz w:val="1"/>
                <w:szCs w:val="1"/>
                <w:color w:val="auto"/>
              </w:rPr>
            </w:pPr>
          </w:p>
        </w:tc>
      </w:tr>
      <w:tr>
        <w:trPr>
          <w:trHeight w:val="418"/>
        </w:trPr>
        <w:tc>
          <w:tcPr>
            <w:tcW w:w="1740" w:type="dxa"/>
            <w:vAlign w:val="bottom"/>
          </w:tcPr>
          <w:p>
            <w:pPr>
              <w:jc w:val="cente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Filing Fee Table</w:t>
            </w:r>
          </w:p>
        </w:tc>
        <w:tc>
          <w:tcPr>
            <w:tcW w:w="77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240"/>
          </w:cols>
          <w:pgMar w:left="320" w:top="1440" w:right="339" w:bottom="1440" w:gutter="0" w:footer="0" w:header="0"/>
        </w:sectPr>
      </w:pPr>
    </w:p>
    <w:bookmarkStart w:id="2" w:name="page3"/>
    <w:bookmarkEnd w:id="2"/>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6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meets all of the requirements for filing on Form S-8 and has duly caused this registration statement to be signed on its behalf by the undersigned, thereunto duly authorized, in the City of Rollingwood, State of Texas, on October 11, 2022.</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EZCORP, INC.</w:t>
      </w:r>
    </w:p>
    <w:p>
      <w:pPr>
        <w:spacing w:after="0" w:line="355" w:lineRule="exact"/>
        <w:rPr>
          <w:sz w:val="20"/>
          <w:szCs w:val="20"/>
          <w:color w:val="auto"/>
        </w:rPr>
      </w:pPr>
    </w:p>
    <w:p>
      <w:pPr>
        <w:ind w:left="422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-19050</wp:posOffset>
            </wp:positionV>
            <wp:extent cx="1261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4420"/>
        <w:spacing w:after="0"/>
        <w:rPr>
          <w:sz w:val="20"/>
          <w:szCs w:val="20"/>
          <w:color w:val="auto"/>
        </w:rPr>
      </w:pPr>
      <w:r>
        <w:rPr>
          <w:rFonts w:ascii="Arial" w:cs="Arial" w:eastAsia="Arial" w:hAnsi="Arial"/>
          <w:sz w:val="18"/>
          <w:szCs w:val="18"/>
          <w:color w:val="auto"/>
        </w:rPr>
        <w:t>Lachlan P. Given,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p>
      <w:pPr>
        <w:sectPr>
          <w:pgSz w:w="11900" w:h="16838" w:orient="portrait"/>
          <w:cols w:equalWidth="0" w:num="1">
            <w:col w:w="11220"/>
          </w:cols>
          <w:pgMar w:left="320" w:top="1440" w:right="359" w:bottom="1440" w:gutter="0" w:footer="0" w:header="0"/>
        </w:sectPr>
      </w:pPr>
    </w:p>
    <w:p>
      <w:pPr>
        <w:spacing w:after="0" w:line="222"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2117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2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17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Lachlan P. Given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17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Timothy K. Jugmans</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Robert J.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17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Robert J. Hicks</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17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Matthew W. Appel</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Zena Srivatsa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17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Zena Srivatsa Arnold</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Phillip 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17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Phillip E. Cohen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17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Jason A. Kulas</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Pablo Lagos Espinosa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17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Pablo Lagos Espinosa</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Gary L. Tillett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17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Gary L. Tillett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left="-5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45720</wp:posOffset>
            </wp:positionV>
            <wp:extent cx="2957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Chief Executive Officer and Director</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Accounting Officer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Chairman and Director</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45720</wp:posOffset>
            </wp:positionV>
            <wp:extent cx="1371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ectPr>
          <w:pgSz w:w="11900" w:h="16838" w:orient="portrait"/>
          <w:cols w:equalWidth="0" w:num="3">
            <w:col w:w="2900" w:space="720"/>
            <w:col w:w="4560" w:space="720"/>
            <w:col w:w="2320"/>
          </w:cols>
          <w:pgMar w:left="320" w:top="1440" w:right="3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107</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Calculation of Filing Fee Tables</w:t>
      </w:r>
    </w:p>
    <w:p>
      <w:pPr>
        <w:spacing w:after="0" w:line="172" w:lineRule="exact"/>
        <w:rPr>
          <w:sz w:val="20"/>
          <w:szCs w:val="20"/>
          <w:color w:val="auto"/>
        </w:rPr>
      </w:pPr>
    </w:p>
    <w:p>
      <w:pPr>
        <w:ind w:left="5080"/>
        <w:spacing w:after="0"/>
        <w:rPr>
          <w:sz w:val="20"/>
          <w:szCs w:val="20"/>
          <w:color w:val="auto"/>
        </w:rPr>
      </w:pPr>
      <w:r>
        <w:rPr>
          <w:rFonts w:ascii="Arial" w:cs="Arial" w:eastAsia="Arial" w:hAnsi="Arial"/>
          <w:sz w:val="25"/>
          <w:szCs w:val="25"/>
          <w:b w:val="1"/>
          <w:bCs w:val="1"/>
          <w:color w:val="auto"/>
        </w:rPr>
        <w:t>Form S-8</w:t>
      </w:r>
    </w:p>
    <w:p>
      <w:pPr>
        <w:jc w:val="center"/>
        <w:spacing w:after="0" w:line="228" w:lineRule="auto"/>
        <w:rPr>
          <w:sz w:val="20"/>
          <w:szCs w:val="20"/>
          <w:color w:val="auto"/>
        </w:rPr>
      </w:pPr>
      <w:r>
        <w:rPr>
          <w:rFonts w:ascii="Arial" w:cs="Arial" w:eastAsia="Arial" w:hAnsi="Arial"/>
          <w:sz w:val="25"/>
          <w:szCs w:val="25"/>
          <w:b w:val="1"/>
          <w:bCs w:val="1"/>
          <w:color w:val="auto"/>
        </w:rPr>
        <w:t>Registration Statement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Type)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EZCORP,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49"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Table 1 – Newly Registered Securities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50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Fee Calculation</w:t>
            </w:r>
          </w:p>
        </w:tc>
        <w:tc>
          <w:tcPr>
            <w:tcW w:w="1280" w:type="dxa"/>
            <w:vAlign w:val="bottom"/>
            <w:tcBorders>
              <w:top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w w:val="98"/>
              </w:rPr>
              <w:t>Amount Registered</w:t>
            </w:r>
          </w:p>
        </w:tc>
        <w:tc>
          <w:tcPr>
            <w:tcW w:w="12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Proposed</w:t>
            </w:r>
          </w:p>
        </w:tc>
        <w:tc>
          <w:tcPr>
            <w:tcW w:w="1340" w:type="dxa"/>
            <w:vAlign w:val="bottom"/>
            <w:tcBorders>
              <w:top w:val="single" w:sz="8" w:color="auto"/>
            </w:tcBorders>
          </w:tcPr>
          <w:p>
            <w:pPr>
              <w:jc w:val="center"/>
              <w:ind w:right="12"/>
              <w:spacing w:after="0" w:line="124" w:lineRule="exact"/>
              <w:rPr>
                <w:sz w:val="20"/>
                <w:szCs w:val="20"/>
                <w:color w:val="auto"/>
              </w:rPr>
            </w:pPr>
            <w:r>
              <w:rPr>
                <w:rFonts w:ascii="Arial" w:cs="Arial" w:eastAsia="Arial" w:hAnsi="Arial"/>
                <w:sz w:val="13"/>
                <w:szCs w:val="13"/>
                <w:b w:val="1"/>
                <w:bCs w:val="1"/>
                <w:color w:val="auto"/>
                <w:w w:val="96"/>
              </w:rPr>
              <w:t>Maximum</w:t>
            </w:r>
          </w:p>
        </w:tc>
        <w:tc>
          <w:tcPr>
            <w:tcW w:w="10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vMerge w:val="restart"/>
          </w:tcPr>
          <w:p>
            <w:pPr>
              <w:jc w:val="center"/>
              <w:ind w:left="51"/>
              <w:spacing w:after="0"/>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Maximum Offering</w:t>
            </w:r>
          </w:p>
        </w:tc>
        <w:tc>
          <w:tcPr>
            <w:tcW w:w="134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97"/>
              </w:rPr>
              <w:t>Aggregate Offering</w:t>
            </w:r>
          </w:p>
        </w:tc>
        <w:tc>
          <w:tcPr>
            <w:tcW w:w="10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Security Type</w:t>
            </w:r>
          </w:p>
        </w:tc>
        <w:tc>
          <w:tcPr>
            <w:tcW w:w="176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6"/>
              </w:rPr>
              <w:t>Security Class Title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Price Per Unit (2)</w:t>
            </w: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3"/>
              </w:rPr>
              <w:t>Price (2)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Fee Rate</w:t>
            </w:r>
          </w:p>
        </w:tc>
        <w:tc>
          <w:tcPr>
            <w:tcW w:w="1340" w:type="dxa"/>
            <w:vAlign w:val="bottom"/>
            <w:tcBorders>
              <w:bottom w:val="single" w:sz="8" w:color="auto"/>
            </w:tcBorders>
          </w:tcPr>
          <w:p>
            <w:pPr>
              <w:jc w:val="center"/>
              <w:ind w:left="51"/>
              <w:spacing w:after="0"/>
              <w:rPr>
                <w:sz w:val="20"/>
                <w:szCs w:val="20"/>
                <w:color w:val="auto"/>
              </w:rPr>
            </w:pPr>
            <w:r>
              <w:rPr>
                <w:rFonts w:ascii="Arial" w:cs="Arial" w:eastAsia="Arial" w:hAnsi="Arial"/>
                <w:sz w:val="13"/>
                <w:szCs w:val="13"/>
                <w:b w:val="1"/>
                <w:bCs w:val="1"/>
                <w:color w:val="auto"/>
                <w:w w:val="97"/>
              </w:rPr>
              <w:t>Registration Fee (2)</w:t>
            </w:r>
          </w:p>
        </w:tc>
        <w:tc>
          <w:tcPr>
            <w:tcW w:w="0" w:type="dxa"/>
            <w:vAlign w:val="bottom"/>
          </w:tcPr>
          <w:p>
            <w:pPr>
              <w:spacing w:after="0"/>
              <w:rPr>
                <w:sz w:val="1"/>
                <w:szCs w:val="1"/>
                <w:color w:val="auto"/>
              </w:rPr>
            </w:pPr>
          </w:p>
        </w:tc>
      </w:tr>
      <w:tr>
        <w:trPr>
          <w:trHeight w:val="153"/>
        </w:trPr>
        <w:tc>
          <w:tcPr>
            <w:tcW w:w="1500" w:type="dxa"/>
            <w:vAlign w:val="bottom"/>
          </w:tcPr>
          <w:p>
            <w:pPr>
              <w:spacing w:after="0"/>
              <w:rPr>
                <w:sz w:val="13"/>
                <w:szCs w:val="13"/>
                <w:color w:val="auto"/>
              </w:rPr>
            </w:pPr>
          </w:p>
        </w:tc>
        <w:tc>
          <w:tcPr>
            <w:tcW w:w="1760" w:type="dxa"/>
            <w:vAlign w:val="bottom"/>
          </w:tcPr>
          <w:p>
            <w:pPr>
              <w:jc w:val="center"/>
              <w:ind w:right="10"/>
              <w:spacing w:after="0" w:line="153" w:lineRule="exact"/>
              <w:rPr>
                <w:sz w:val="20"/>
                <w:szCs w:val="20"/>
                <w:color w:val="auto"/>
              </w:rPr>
            </w:pPr>
            <w:r>
              <w:rPr>
                <w:rFonts w:ascii="Arial" w:cs="Arial" w:eastAsia="Arial" w:hAnsi="Arial"/>
                <w:sz w:val="14"/>
                <w:szCs w:val="14"/>
                <w:color w:val="auto"/>
              </w:rPr>
              <w:t>Class A Non-Voting</w:t>
            </w: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Equity</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rPr>
              <w:t>Common Stock, par value,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rPr>
              <w:t>Rule 457(c) and</w:t>
            </w:r>
          </w:p>
        </w:tc>
        <w:tc>
          <w:tcPr>
            <w:tcW w:w="1280" w:type="dxa"/>
            <w:vAlign w:val="bottom"/>
            <w:vMerge w:val="restart"/>
          </w:tcPr>
          <w:p>
            <w:pPr>
              <w:jc w:val="right"/>
              <w:ind w:right="234"/>
              <w:spacing w:after="0"/>
              <w:rPr>
                <w:sz w:val="20"/>
                <w:szCs w:val="20"/>
                <w:color w:val="auto"/>
              </w:rPr>
            </w:pPr>
            <w:r>
              <w:rPr>
                <w:rFonts w:ascii="Arial" w:cs="Arial" w:eastAsia="Arial" w:hAnsi="Arial"/>
                <w:sz w:val="14"/>
                <w:szCs w:val="14"/>
                <w:color w:val="auto"/>
              </w:rPr>
              <w:t>1,500,000</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$7.84</w:t>
            </w:r>
          </w:p>
        </w:tc>
        <w:tc>
          <w:tcPr>
            <w:tcW w:w="1340" w:type="dxa"/>
            <w:vAlign w:val="bottom"/>
            <w:vMerge w:val="restart"/>
          </w:tcPr>
          <w:p>
            <w:pPr>
              <w:jc w:val="center"/>
              <w:ind w:right="32"/>
              <w:spacing w:after="0"/>
              <w:rPr>
                <w:sz w:val="20"/>
                <w:szCs w:val="20"/>
                <w:color w:val="auto"/>
              </w:rPr>
            </w:pPr>
            <w:r>
              <w:rPr>
                <w:rFonts w:ascii="Arial" w:cs="Arial" w:eastAsia="Arial" w:hAnsi="Arial"/>
                <w:sz w:val="14"/>
                <w:szCs w:val="14"/>
                <w:color w:val="auto"/>
              </w:rPr>
              <w:t>$11,760,000</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$110.20 per</w:t>
            </w:r>
          </w:p>
        </w:tc>
        <w:tc>
          <w:tcPr>
            <w:tcW w:w="1340" w:type="dxa"/>
            <w:vAlign w:val="bottom"/>
            <w:vMerge w:val="restart"/>
          </w:tcPr>
          <w:p>
            <w:pPr>
              <w:jc w:val="center"/>
              <w:ind w:left="31"/>
              <w:spacing w:after="0"/>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172"/>
        </w:trPr>
        <w:tc>
          <w:tcPr>
            <w:tcW w:w="1500" w:type="dxa"/>
            <w:vAlign w:val="bottom"/>
            <w:vMerge w:val="continue"/>
          </w:tcPr>
          <w:p>
            <w:pPr>
              <w:spacing w:after="0"/>
              <w:rPr>
                <w:sz w:val="14"/>
                <w:szCs w:val="14"/>
                <w:color w:val="auto"/>
              </w:rPr>
            </w:pPr>
          </w:p>
        </w:tc>
        <w:tc>
          <w:tcPr>
            <w:tcW w:w="1760" w:type="dxa"/>
            <w:vAlign w:val="bottom"/>
          </w:tcPr>
          <w:p>
            <w:pPr>
              <w:jc w:val="center"/>
              <w:ind w:right="10"/>
              <w:spacing w:after="0"/>
              <w:rPr>
                <w:sz w:val="20"/>
                <w:szCs w:val="20"/>
                <w:color w:val="auto"/>
              </w:rPr>
            </w:pPr>
            <w:r>
              <w:rPr>
                <w:rFonts w:ascii="Arial" w:cs="Arial" w:eastAsia="Arial" w:hAnsi="Arial"/>
                <w:sz w:val="14"/>
                <w:szCs w:val="14"/>
                <w:color w:val="auto"/>
              </w:rPr>
              <w:t>$0.01 per share</w:t>
            </w:r>
          </w:p>
        </w:tc>
        <w:tc>
          <w:tcPr>
            <w:tcW w:w="1160" w:type="dxa"/>
            <w:vAlign w:val="bottom"/>
          </w:tcPr>
          <w:p>
            <w:pPr>
              <w:jc w:val="center"/>
              <w:spacing w:after="0"/>
              <w:rPr>
                <w:sz w:val="20"/>
                <w:szCs w:val="20"/>
                <w:color w:val="auto"/>
              </w:rPr>
            </w:pPr>
            <w:r>
              <w:rPr>
                <w:rFonts w:ascii="Arial" w:cs="Arial" w:eastAsia="Arial" w:hAnsi="Arial"/>
                <w:sz w:val="14"/>
                <w:szCs w:val="14"/>
                <w:color w:val="auto"/>
              </w:rPr>
              <w:t>457(h)</w:t>
            </w: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$1,000,000</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1500" w:type="dxa"/>
            <w:vAlign w:val="bottom"/>
          </w:tcPr>
          <w:p>
            <w:pPr>
              <w:ind w:left="20"/>
              <w:spacing w:after="0"/>
              <w:rPr>
                <w:sz w:val="20"/>
                <w:szCs w:val="20"/>
                <w:color w:val="auto"/>
              </w:rPr>
            </w:pPr>
            <w:r>
              <w:rPr>
                <w:rFonts w:ascii="Arial" w:cs="Arial" w:eastAsia="Arial" w:hAnsi="Arial"/>
                <w:sz w:val="14"/>
                <w:szCs w:val="14"/>
                <w:color w:val="auto"/>
              </w:rPr>
              <w:t>Total Offering Amounts</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$11,760,000</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4"/>
                <w:szCs w:val="14"/>
                <w:color w:val="auto"/>
              </w:rPr>
              <w:t>Total Fee Offsets</w:t>
            </w: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4"/>
                <w:szCs w:val="14"/>
                <w:color w:val="auto"/>
              </w:rPr>
              <w:t>Net Fee Due</w:t>
            </w: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340" w:right="380" w:hanging="332"/>
        <w:spacing w:after="0" w:line="308"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 this Registration Statement shall be deemed to cover such additional shares of Class A Non-Voting Common Stock as may become issuable pursuant to the antidilution provisions of the 2022 Long-Term Incentive Plan.</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 457(h), on the basis of the price of securities of</w:t>
      </w:r>
    </w:p>
    <w:p>
      <w:pPr>
        <w:spacing w:after="0" w:line="49" w:lineRule="exact"/>
        <w:rPr>
          <w:rFonts w:ascii="Arial" w:cs="Arial" w:eastAsia="Arial" w:hAnsi="Arial"/>
          <w:sz w:val="18"/>
          <w:szCs w:val="18"/>
          <w:color w:val="auto"/>
        </w:rPr>
      </w:pPr>
    </w:p>
    <w:p>
      <w:pPr>
        <w:ind w:left="340" w:right="160"/>
        <w:spacing w:after="0" w:line="293" w:lineRule="auto"/>
        <w:rPr>
          <w:rFonts w:ascii="Arial" w:cs="Arial" w:eastAsia="Arial" w:hAnsi="Arial"/>
          <w:sz w:val="18"/>
          <w:szCs w:val="18"/>
          <w:color w:val="auto"/>
        </w:rPr>
      </w:pPr>
      <w:r>
        <w:rPr>
          <w:rFonts w:ascii="Arial" w:cs="Arial" w:eastAsia="Arial" w:hAnsi="Arial"/>
          <w:sz w:val="18"/>
          <w:szCs w:val="18"/>
          <w:color w:val="auto"/>
        </w:rPr>
        <w:t>the same class, as determined in accordance with Rule 457(c), using the average of the high and low prices for the Class A Non-Voting Common Stock reported on The NASDAQ Stock Market on October 7, 2022.</w:t>
      </w:r>
    </w:p>
    <w:p>
      <w:pPr>
        <w:sectPr>
          <w:pgSz w:w="11900" w:h="16838" w:orient="portrait"/>
          <w:cols w:equalWidth="0" w:num="1">
            <w:col w:w="11240"/>
          </w:cols>
          <w:pgMar w:left="320" w:top="1378" w:right="339" w:bottom="1440" w:gutter="0" w:footer="0" w:header="0"/>
        </w:sectPr>
      </w:pPr>
    </w:p>
    <w:bookmarkStart w:id="4" w:name="page5"/>
    <w:bookmarkEnd w:id="4"/>
    <w:p>
      <w:pPr>
        <w:ind w:left="34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5740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51155"/>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October 11, 2022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EZCORP,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Building One, Suite 200</w:t>
      </w:r>
    </w:p>
    <w:p>
      <w:pPr>
        <w:spacing w:after="0"/>
        <w:rPr>
          <w:sz w:val="20"/>
          <w:szCs w:val="20"/>
          <w:color w:val="auto"/>
        </w:rPr>
      </w:pPr>
      <w:r>
        <w:rPr>
          <w:rFonts w:ascii="Arial" w:cs="Arial" w:eastAsia="Arial" w:hAnsi="Arial"/>
          <w:sz w:val="20"/>
          <w:szCs w:val="20"/>
          <w:color w:val="auto"/>
        </w:rPr>
        <w:t>2500 Bee Cave Road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Rollingwood, Texas 78746</w:t>
      </w:r>
    </w:p>
    <w:p>
      <w:pPr>
        <w:spacing w:after="0" w:line="24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Registration Statement on Form S-8</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48"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I am Chief Legal Officer and Secretary for EZCORP, Inc., a Delaware corporation (the “Company”), and have represented the Company in connection with the preparation of the Registration Statement on Form S-8 (the “Registration Statement”) to be filed with the Securities and Exchange Commission in connection with the registration under the Securities Act of 1933 of the offer and sale of 1,500,000 shares of the Company's Class A Non-Voting Common Stock, par value $.01 per share (the “Shares”), that may be issued from time to time pursuant to awards granted under the EZCORP, Inc. 2022 Long-Term Incentive Plan (the “Plan”).</w:t>
      </w:r>
    </w:p>
    <w:p>
      <w:pPr>
        <w:spacing w:after="0" w:line="134" w:lineRule="exact"/>
        <w:rPr>
          <w:sz w:val="20"/>
          <w:szCs w:val="20"/>
          <w:color w:val="auto"/>
        </w:rPr>
      </w:pPr>
    </w:p>
    <w:p>
      <w:pPr>
        <w:ind w:right="520"/>
        <w:spacing w:after="0" w:line="261" w:lineRule="auto"/>
        <w:rPr>
          <w:sz w:val="20"/>
          <w:szCs w:val="20"/>
          <w:color w:val="auto"/>
        </w:rPr>
      </w:pPr>
      <w:r>
        <w:rPr>
          <w:rFonts w:ascii="Arial" w:cs="Arial" w:eastAsia="Arial" w:hAnsi="Arial"/>
          <w:sz w:val="20"/>
          <w:szCs w:val="20"/>
          <w:color w:val="auto"/>
        </w:rPr>
        <w:t>In reaching the opinion set forth herein, I have examined such agreements, certificates of public officials and officers of the Company, records, documents and matters of law as I deemed relevant.</w:t>
      </w:r>
    </w:p>
    <w:p>
      <w:pPr>
        <w:spacing w:after="0" w:line="121"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Based on the foregoing and subject further to the assumptions, exceptions and qualifications hereinafter stated, I am of the opinion that the Shares, when issued in the manner contemplated by the Registration Statement and in accordance with the terms of the Plan and the relevant award agreements, will be legally issued, fully paid and nonassessable.</w:t>
      </w:r>
    </w:p>
    <w:p>
      <w:pPr>
        <w:spacing w:after="0" w:line="132"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In rendering the opinion set forth herein, I have assumed that the Company will receive the full amount and type of consideration (as specified in the Plan and each applicable award agreement) for each of the Shares or will have received that consideration upon the issuance of the Shares pursuant to the applicable award agreement; that such consideration will be in cash, personal property or services already performed; that such consideration will equal or exceed the par value per share of the Shares; that appropriate certificates or other evidence of ownership with respect to the Shares will be properly executed upon each such issuance; and that each grant of an award pursuant to the Plan will be duly authorized.</w:t>
      </w:r>
    </w:p>
    <w:p>
      <w:pPr>
        <w:spacing w:after="0" w:line="14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opinion expressed above is limited to the laws of the State of Texas, the Delaware General Corporation Law and the federal laws of the United States of America. I am not admitted to the practice of law in the State of Delaware.</w:t>
      </w:r>
    </w:p>
    <w:p>
      <w:pPr>
        <w:spacing w:after="0" w:line="150"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I hereby consent to the filing of this opinion as an exhibit to the Registration Statement. In giving this consent, I do not thereby admit that I come into the category of persons whose consent is required under Section 7 of the Securities Act of 1933 or the rules and regulations of the Securities and Exchange Commission promulgated thereunder.</w:t>
      </w:r>
    </w:p>
    <w:p>
      <w:pPr>
        <w:spacing w:after="0" w:line="13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Sincerely,</w:t>
      </w:r>
    </w:p>
    <w:p>
      <w:pPr>
        <w:spacing w:after="0" w:line="1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 Thomas H. Welch, Jr.</w:t>
      </w:r>
    </w:p>
    <w:p>
      <w:pPr>
        <w:spacing w:after="0" w:line="1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Thomas H. Welch, Jr.,</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EZCORP, Inc. 2500 Bee Cave Road Building One, Suite 200 Rollingwood, Texas 78746 (512) 314-3400</w:t>
      </w:r>
    </w:p>
    <w:p>
      <w:pPr>
        <w:sectPr>
          <w:pgSz w:w="11900" w:h="16838" w:orient="portrait"/>
          <w:cols w:equalWidth="0" w:num="1">
            <w:col w:w="11220"/>
          </w:cols>
          <w:pgMar w:left="320" w:top="487"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EZCORP, Inc.</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Austin, Texas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hereby consent to the incorporation by reference in this Registration Statement of our reports dated November 17, 2021, relating to the consolidated financial statements and the effectiveness of EZCORP, Inc.’s internal control over financial reporting, appearing in the Company’s Annual Report on Form 10-K for the year ended September 30, 2021.</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BDO USA, LLP</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Dallas, Texas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October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265"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sectPr>
      <w:pgSz w:w="11900" w:h="16838" w:orient="portrait"/>
      <w:cols w:equalWidth="0" w:num="1">
        <w:col w:w="11240"/>
      </w:cols>
      <w:pgMar w:left="320" w:top="1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2022-10-11T15:14:09Z</dcterms:created>
  <dcterms:modified xsi:type="dcterms:W3CDTF">2022-10-11T15:14:09Z</dcterms:modified>
</cp:coreProperties>
</file>