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EZCORP INC-CL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4151689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4342091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4342091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jc w:val="right"/>
        <w:ind w:left="1760" w:right="6540" w:hanging="874"/>
        <w:spacing w:after="0" w:line="405" w:lineRule="auto"/>
        <w:tabs>
          <w:tab w:leader="none" w:pos="1328" w:val="left"/>
        </w:tabs>
        <w:numPr>
          <w:ilvl w:val="0"/>
          <w:numId w:val="7"/>
        </w:numPr>
        <w:rPr>
          <w:rFonts w:ascii="Arial" w:cs="Arial" w:eastAsia="Arial" w:hAnsi="Arial"/>
          <w:sz w:val="16"/>
          <w:szCs w:val="16"/>
          <w:color w:val="auto"/>
        </w:rPr>
      </w:pPr>
      <w:r>
        <w:rPr>
          <w:rFonts w:ascii="Arial" w:cs="Arial" w:eastAsia="Arial" w:hAnsi="Arial"/>
          <w:sz w:val="16"/>
          <w:szCs w:val="16"/>
          <w:color w:val="auto"/>
        </w:rPr>
        <w:t>Address of Issuer’s Principal Executive Offices 1901 Capital Parkway, Austin,TX 78746</w:t>
      </w: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302301106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4342091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8.41%</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4151689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4342091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2020-01-09T19:19:44Z</dcterms:created>
  <dcterms:modified xsi:type="dcterms:W3CDTF">2020-01-09T19:19:44Z</dcterms:modified>
</cp:coreProperties>
</file>