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0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August 9, 2016 (August 9, 2016)</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212"/>
        </w:trPr>
        <w:tc>
          <w:tcPr>
            <w:tcW w:w="1880" w:type="dxa"/>
            <w:vAlign w:val="bottom"/>
          </w:tcPr>
          <w:p>
            <w:pPr>
              <w:spacing w:after="0"/>
              <w:rPr>
                <w:sz w:val="18"/>
                <w:szCs w:val="18"/>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Rollingwood, Texas 78746</w:t>
            </w:r>
          </w:p>
        </w:tc>
        <w:tc>
          <w:tcPr>
            <w:tcW w:w="1460" w:type="dxa"/>
            <w:vAlign w:val="bottom"/>
          </w:tcPr>
          <w:p>
            <w:pPr>
              <w:spacing w:after="0"/>
              <w:rPr>
                <w:sz w:val="18"/>
                <w:szCs w:val="18"/>
                <w:color w:val="auto"/>
              </w:rPr>
            </w:pPr>
          </w:p>
        </w:tc>
      </w:tr>
      <w:tr>
        <w:trPr>
          <w:trHeight w:val="186"/>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16"/>
                <w:szCs w:val="16"/>
                <w:color w:val="auto"/>
              </w:rPr>
            </w:pPr>
          </w:p>
        </w:tc>
      </w:tr>
      <w:tr>
        <w:trPr>
          <w:trHeight w:val="377"/>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3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August 9, 2016, EZCORP, Inc. will issue a press release announcing its results of operations and financial condition for the fiscal quarter ended June 30, 2016. A copy of that press release is attached as Exhibit 99.1.</w:t>
      </w:r>
    </w:p>
    <w:p>
      <w:pPr>
        <w:spacing w:after="0" w:line="1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to the financial information prepared in conformity with generally accepted accounting principles in the United States of America ("GAAP"), we provide certain other non-GAAP financial information such as constant currency results ("constant currency"). Management believes that presentation of non-GAAP financial information is meaningful and useful in understanding the activities and business metrics of our Mexico Pawn operations, which are denominated in Mexican pesos. Management believes that these non-GAAP financial measures reflect an additional way of viewing aspects of our business that, when viewed with our GAAP results, provides a more complete understanding of factors and trends affecting our business. Management provides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instead of or superior to, its financial statements prepared in accordance with GAAP. This non-GAAP financial information may be determined or calculated differently by other companies, limiting the usefulness of those measures for comparative purposes.</w:t>
      </w:r>
    </w:p>
    <w:p>
      <w:pPr>
        <w:spacing w:after="0" w:line="11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A copy of the presentation materials that management will review during the Company’s third quarter of fiscal 2016 earnings conference call (to be held on August 10, 2016) will be posted in the Investor Relations section of the Company’s website at </w:t>
      </w:r>
      <w:r>
        <w:rPr>
          <w:rFonts w:ascii="Arial" w:cs="Arial" w:eastAsia="Arial" w:hAnsi="Arial"/>
          <w:sz w:val="18"/>
          <w:szCs w:val="18"/>
          <w:u w:val="single" w:color="auto"/>
          <w:color w:val="0000FF"/>
        </w:rPr>
        <w:t>www.ezcorp.com</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37" w:lineRule="exact"/>
        <w:rPr>
          <w:sz w:val="20"/>
          <w:szCs w:val="20"/>
          <w:color w:val="auto"/>
        </w:rPr>
      </w:pPr>
    </w:p>
    <w:p>
      <w:pPr>
        <w:ind w:left="880" w:hanging="52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98" w:lineRule="exact"/>
        <w:rPr>
          <w:sz w:val="20"/>
          <w:szCs w:val="20"/>
          <w:color w:val="auto"/>
        </w:rPr>
      </w:pPr>
    </w:p>
    <w:p>
      <w:pPr>
        <w:ind w:left="1120" w:right="820" w:hanging="562"/>
        <w:spacing w:after="0" w:line="277" w:lineRule="auto"/>
        <w:tabs>
          <w:tab w:leader="none" w:pos="1100" w:val="left"/>
        </w:tabs>
        <w:rPr>
          <w:sz w:val="20"/>
          <w:szCs w:val="20"/>
          <w:color w:val="auto"/>
        </w:rPr>
      </w:pPr>
      <w:r>
        <w:rPr>
          <w:rFonts w:ascii="Arial" w:cs="Arial" w:eastAsia="Arial" w:hAnsi="Arial"/>
          <w:sz w:val="18"/>
          <w:szCs w:val="18"/>
          <w:color w:val="auto"/>
        </w:rPr>
        <w:t>99.1</w:t>
        <w:tab/>
        <w:t>Press Release, dated August 9, 2016, announcing EZCORP, Inc.’s results of operations and financial condition for the fiscal quarter ended June 30, 2016.</w:t>
      </w:r>
    </w:p>
    <w:p>
      <w:pPr>
        <w:sectPr>
          <w:pgSz w:w="11900" w:h="16838" w:orient="portrait"/>
          <w:cols w:equalWidth="0" w:num="1">
            <w:col w:w="11400"/>
          </w:cols>
          <w:pgMar w:left="240" w:top="742" w:right="25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August 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David McGuire</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Deputy Chief Financial Officer and Chief Accounting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220"/>
          </w:cols>
          <w:pgMar w:left="240" w:top="742"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2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8"/>
        </w:trPr>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9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No.</w:t>
            </w:r>
          </w:p>
        </w:tc>
        <w:tc>
          <w:tcPr>
            <w:tcW w:w="9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2"/>
        </w:trPr>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99.1</w:t>
            </w:r>
          </w:p>
        </w:tc>
        <w:tc>
          <w:tcPr>
            <w:tcW w:w="140" w:type="dxa"/>
            <w:vAlign w:val="bottom"/>
          </w:tcPr>
          <w:p>
            <w:pPr>
              <w:spacing w:after="0"/>
              <w:rPr>
                <w:sz w:val="24"/>
                <w:szCs w:val="24"/>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4"/>
              </w:rPr>
              <w:t>Press Release, dated August 9, 2016, announcing EZCORP, Inc.’s results of operations and financial condition for the fiscal quarter</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ended June 30, 2016.</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4" w:name="page5"/>
    <w:bookmarkEnd w:id="4"/>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2781935</wp:posOffset>
            </wp:positionH>
            <wp:positionV relativeFrom="page">
              <wp:posOffset>380365</wp:posOffset>
            </wp:positionV>
            <wp:extent cx="2006600" cy="351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5"/>
          <w:szCs w:val="25"/>
          <w:b w:val="1"/>
          <w:bCs w:val="1"/>
          <w:color w:val="auto"/>
        </w:rPr>
        <w:t>EZCORP Announces Third Quarter Fiscal 2016 Results</w:t>
      </w:r>
    </w:p>
    <w:p>
      <w:pPr>
        <w:spacing w:after="0" w:line="294" w:lineRule="exact"/>
        <w:rPr>
          <w:sz w:val="20"/>
          <w:szCs w:val="20"/>
          <w:color w:val="auto"/>
        </w:rPr>
      </w:pPr>
    </w:p>
    <w:p>
      <w:pPr>
        <w:ind w:left="340" w:right="180" w:hanging="332"/>
        <w:spacing w:after="0" w:line="261"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9"/>
          <w:szCs w:val="19"/>
          <w:color w:val="auto"/>
        </w:rPr>
        <w:t>Net Revenue up $6.6 million to $100.4 million, and Income From Continuing Operations Before Income Taxes up $7.6 million to $3.8 million, driven by strong pawn performance in both U.S. and Mexico.</w:t>
      </w:r>
    </w:p>
    <w:p>
      <w:pPr>
        <w:spacing w:after="0" w:line="65" w:lineRule="exact"/>
        <w:rPr>
          <w:rFonts w:ascii="Arial" w:cs="Arial" w:eastAsia="Arial" w:hAnsi="Arial"/>
          <w:sz w:val="18"/>
          <w:szCs w:val="18"/>
          <w:color w:val="auto"/>
        </w:rPr>
      </w:pPr>
    </w:p>
    <w:p>
      <w:pPr>
        <w:ind w:left="660" w:hanging="166"/>
        <w:spacing w:after="0"/>
        <w:tabs>
          <w:tab w:leader="none" w:pos="660" w:val="left"/>
        </w:tabs>
        <w:numPr>
          <w:ilvl w:val="1"/>
          <w:numId w:val="3"/>
        </w:numPr>
        <w:rPr>
          <w:rFonts w:ascii="Arial" w:cs="Arial" w:eastAsia="Arial" w:hAnsi="Arial"/>
          <w:sz w:val="19"/>
          <w:szCs w:val="19"/>
          <w:color w:val="auto"/>
        </w:rPr>
      </w:pPr>
      <w:r>
        <w:rPr>
          <w:rFonts w:ascii="Arial" w:cs="Arial" w:eastAsia="Arial" w:hAnsi="Arial"/>
          <w:sz w:val="19"/>
          <w:szCs w:val="19"/>
          <w:color w:val="auto"/>
        </w:rPr>
        <w:t>Pawn loans outstanding (PLO) up 11% to $160.3 million; same store PLO up 9%.</w:t>
      </w:r>
    </w:p>
    <w:p>
      <w:pPr>
        <w:spacing w:after="0" w:line="105" w:lineRule="exact"/>
        <w:rPr>
          <w:rFonts w:ascii="Arial" w:cs="Arial" w:eastAsia="Arial" w:hAnsi="Arial"/>
          <w:sz w:val="19"/>
          <w:szCs w:val="19"/>
          <w:color w:val="auto"/>
        </w:rPr>
      </w:pPr>
    </w:p>
    <w:p>
      <w:pPr>
        <w:ind w:left="660" w:hanging="166"/>
        <w:spacing w:after="0"/>
        <w:tabs>
          <w:tab w:leader="none" w:pos="660" w:val="left"/>
        </w:tabs>
        <w:numPr>
          <w:ilvl w:val="1"/>
          <w:numId w:val="3"/>
        </w:numPr>
        <w:rPr>
          <w:rFonts w:ascii="Arial" w:cs="Arial" w:eastAsia="Arial" w:hAnsi="Arial"/>
          <w:sz w:val="19"/>
          <w:szCs w:val="19"/>
          <w:color w:val="auto"/>
        </w:rPr>
      </w:pPr>
      <w:r>
        <w:rPr>
          <w:rFonts w:ascii="Arial" w:cs="Arial" w:eastAsia="Arial" w:hAnsi="Arial"/>
          <w:sz w:val="19"/>
          <w:szCs w:val="19"/>
          <w:color w:val="auto"/>
        </w:rPr>
        <w:t>Pawn service charges (PSC) up 8% to $62.5 million; same store PSC up 8%.</w:t>
      </w:r>
    </w:p>
    <w:p>
      <w:pPr>
        <w:spacing w:after="0" w:line="105" w:lineRule="exact"/>
        <w:rPr>
          <w:rFonts w:ascii="Arial" w:cs="Arial" w:eastAsia="Arial" w:hAnsi="Arial"/>
          <w:sz w:val="19"/>
          <w:szCs w:val="19"/>
          <w:color w:val="auto"/>
        </w:rPr>
      </w:pPr>
    </w:p>
    <w:p>
      <w:pPr>
        <w:ind w:left="660" w:hanging="166"/>
        <w:spacing w:after="0"/>
        <w:tabs>
          <w:tab w:leader="none" w:pos="660" w:val="left"/>
        </w:tabs>
        <w:numPr>
          <w:ilvl w:val="1"/>
          <w:numId w:val="3"/>
        </w:numPr>
        <w:rPr>
          <w:rFonts w:ascii="Arial" w:cs="Arial" w:eastAsia="Arial" w:hAnsi="Arial"/>
          <w:sz w:val="19"/>
          <w:szCs w:val="19"/>
          <w:color w:val="auto"/>
        </w:rPr>
      </w:pPr>
      <w:r>
        <w:rPr>
          <w:rFonts w:ascii="Arial" w:cs="Arial" w:eastAsia="Arial" w:hAnsi="Arial"/>
          <w:sz w:val="19"/>
          <w:szCs w:val="19"/>
          <w:color w:val="auto"/>
        </w:rPr>
        <w:t>Merchandise sales gross margin on both consolidated and same store basis increased 200bps to 36%.</w:t>
      </w:r>
    </w:p>
    <w:p>
      <w:pPr>
        <w:spacing w:after="0" w:line="105" w:lineRule="exact"/>
        <w:rPr>
          <w:rFonts w:ascii="Arial" w:cs="Arial" w:eastAsia="Arial" w:hAnsi="Arial"/>
          <w:sz w:val="19"/>
          <w:szCs w:val="19"/>
          <w:color w:val="auto"/>
        </w:rPr>
      </w:pPr>
    </w:p>
    <w:p>
      <w:pPr>
        <w:ind w:left="340" w:hanging="332"/>
        <w:spacing w:after="0"/>
        <w:tabs>
          <w:tab w:leader="none" w:pos="340" w:val="left"/>
        </w:tabs>
        <w:numPr>
          <w:ilvl w:val="0"/>
          <w:numId w:val="3"/>
        </w:numPr>
        <w:rPr>
          <w:rFonts w:ascii="Arial" w:cs="Arial" w:eastAsia="Arial" w:hAnsi="Arial"/>
          <w:sz w:val="19"/>
          <w:szCs w:val="19"/>
          <w:color w:val="auto"/>
        </w:rPr>
      </w:pPr>
      <w:r>
        <w:rPr>
          <w:rFonts w:ascii="Arial" w:cs="Arial" w:eastAsia="Arial" w:hAnsi="Arial"/>
          <w:sz w:val="19"/>
          <w:szCs w:val="19"/>
          <w:color w:val="auto"/>
        </w:rPr>
        <w:t>Definitive agreement to sell Grupo Finmart announced July 6, 2016; close expected by September 30, 2016.</w:t>
      </w:r>
    </w:p>
    <w:p>
      <w:pPr>
        <w:spacing w:after="0" w:line="105" w:lineRule="exact"/>
        <w:rPr>
          <w:rFonts w:ascii="Arial" w:cs="Arial" w:eastAsia="Arial" w:hAnsi="Arial"/>
          <w:sz w:val="19"/>
          <w:szCs w:val="19"/>
          <w:color w:val="auto"/>
        </w:rPr>
      </w:pPr>
    </w:p>
    <w:p>
      <w:pPr>
        <w:ind w:left="340" w:hanging="332"/>
        <w:spacing w:after="0"/>
        <w:tabs>
          <w:tab w:leader="none" w:pos="340" w:val="left"/>
        </w:tabs>
        <w:numPr>
          <w:ilvl w:val="0"/>
          <w:numId w:val="3"/>
        </w:numPr>
        <w:rPr>
          <w:rFonts w:ascii="Arial" w:cs="Arial" w:eastAsia="Arial" w:hAnsi="Arial"/>
          <w:sz w:val="19"/>
          <w:szCs w:val="19"/>
          <w:color w:val="auto"/>
        </w:rPr>
      </w:pPr>
      <w:r>
        <w:rPr>
          <w:rFonts w:ascii="Arial" w:cs="Arial" w:eastAsia="Arial" w:hAnsi="Arial"/>
          <w:sz w:val="19"/>
          <w:szCs w:val="19"/>
          <w:color w:val="auto"/>
        </w:rPr>
        <w:t>Received commitment for a $100 million secured credit facility to support the business.</w:t>
      </w:r>
    </w:p>
    <w:p>
      <w:pPr>
        <w:spacing w:after="0" w:line="27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All amounts in this release are EZCORP continuing operations in conformity with U.S. generally accepted accounting principles ("GAAP") unless otherwise noted. Comparisons shown in this release are to the same period in the prior year unless otherwise noted.</w:t>
      </w:r>
    </w:p>
    <w:p>
      <w:pPr>
        <w:spacing w:after="0" w:line="220"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Austin, Texas (August 9, 2016) — </w:t>
      </w:r>
      <w:r>
        <w:rPr>
          <w:rFonts w:ascii="Arial" w:cs="Arial" w:eastAsia="Arial" w:hAnsi="Arial"/>
          <w:sz w:val="18"/>
          <w:szCs w:val="18"/>
          <w:color w:val="auto"/>
        </w:rPr>
        <w:t>EZCORP, Inc. (NASDAQ: EZPW), a leading provider of pawn loans in the United States and Mexico, today announced</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for its third quarter ended June 30, 2016.</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COMMENTARY AND OUTLOOK</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Stuart Grimshaw, EZCORP’s Chief Executive Officer, said: "We have been consistently executing the three year strategic program announced in July 2015 to lead the market in serving and satisfying customers’ need for cash. Pawn momentum remains strong with four consecutive quarters of improvement in same store PLO in the U.S. and eight consecutive quarters in Mexico.</w:t>
      </w:r>
    </w:p>
    <w:p>
      <w:pPr>
        <w:spacing w:after="0" w:line="18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"Our focus on customer engagement and optimizing our U.S. and Mexico pawn businesses will continue, including investments in technology to improve innovation and productivity, reduce costs, and leverage investments. We are confident these initiatives, along with the quality pawn performance we have demonstrated in recent quarters, will help us continue to build our platform for profitable growth.</w:t>
      </w:r>
    </w:p>
    <w:p>
      <w:pPr>
        <w:spacing w:after="0" w:line="12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recently announced an agreement to sell Grupo Finmart, and we expect to close that transaction by the end of our fiscal year. After the sale of Grupo Finmart, 99% of our revenue will be generated from our U.S. and Mexico pawn businesses."</w:t>
      </w:r>
    </w:p>
    <w:p>
      <w:pPr>
        <w:spacing w:after="0" w:line="360" w:lineRule="exact"/>
        <w:rPr>
          <w:sz w:val="20"/>
          <w:szCs w:val="20"/>
          <w:color w:val="auto"/>
        </w:rPr>
      </w:pPr>
    </w:p>
    <w:p>
      <w:pPr>
        <w:jc w:val="both"/>
        <w:ind w:right="60" w:firstLine="8"/>
        <w:spacing w:after="0" w:line="250" w:lineRule="auto"/>
        <w:tabs>
          <w:tab w:leader="none" w:pos="94" w:val="left"/>
        </w:tabs>
        <w:numPr>
          <w:ilvl w:val="0"/>
          <w:numId w:val="4"/>
        </w:numPr>
        <w:rPr>
          <w:rFonts w:ascii="Arial" w:cs="Arial" w:eastAsia="Arial" w:hAnsi="Arial"/>
          <w:sz w:val="23"/>
          <w:szCs w:val="23"/>
          <w:i w:val="1"/>
          <w:iCs w:val="1"/>
          <w:color w:val="auto"/>
          <w:vertAlign w:val="superscript"/>
        </w:rPr>
      </w:pPr>
      <w:r>
        <w:rPr>
          <w:rFonts w:ascii="Arial" w:cs="Arial" w:eastAsia="Arial" w:hAnsi="Arial"/>
          <w:sz w:val="17"/>
          <w:szCs w:val="17"/>
          <w:i w:val="1"/>
          <w:iCs w:val="1"/>
          <w:color w:val="auto"/>
        </w:rPr>
        <w:t>In addition to the financial information prepared in conformity with U.S. generally accepted accounting principles (“GAAP”), we provide certain financial information on a “constant currency” basis, which excludes the impact of foreign currency exchange rate fluctuations. For additional information about the constant currency calculations, as well as a reconciliation of the constant currency financial measures to the comparable GAAP financial measures, see “Non-GAAP Financial Information” at the end of this release.</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1</w:t>
      </w:r>
    </w:p>
    <w:p>
      <w:pPr>
        <w:sectPr>
          <w:pgSz w:w="11900" w:h="16838" w:orient="portrait"/>
          <w:cols w:equalWidth="0" w:num="1">
            <w:col w:w="11360"/>
          </w:cols>
          <w:pgMar w:left="240" w:top="1440" w:right="2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CONSOLIDATED RESULTS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Three-Months Ended June 30, 2016</w:t>
      </w:r>
    </w:p>
    <w:p>
      <w:pPr>
        <w:spacing w:after="0" w:line="171" w:lineRule="exact"/>
        <w:rPr>
          <w:sz w:val="20"/>
          <w:szCs w:val="20"/>
          <w:color w:val="auto"/>
        </w:rPr>
      </w:pPr>
    </w:p>
    <w:p>
      <w:pPr>
        <w:ind w:left="660" w:right="20" w:hanging="328"/>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Net income from continuing operations attributable to EZCORP was $2.9 million ($0.05 per share), compared to a net loss of $0.7 million ($0.01 per share). This increase was driven by revenue growth from strong customer engagement and continued focus on expense management.</w:t>
      </w:r>
    </w:p>
    <w:p>
      <w:pPr>
        <w:spacing w:after="0" w:line="69" w:lineRule="exact"/>
        <w:rPr>
          <w:rFonts w:ascii="Arial" w:cs="Arial" w:eastAsia="Arial" w:hAnsi="Arial"/>
          <w:sz w:val="16"/>
          <w:szCs w:val="16"/>
          <w:color w:val="auto"/>
        </w:rPr>
      </w:pPr>
    </w:p>
    <w:p>
      <w:pPr>
        <w:jc w:val="both"/>
        <w:ind w:left="660" w:right="320" w:hanging="328"/>
        <w:spacing w:after="0" w:line="23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Total revenue for the current quarter was $170.2 million, up 3%, and net revenue was $100.4 million, up 7%. On a constant currency basis</w:t>
      </w:r>
      <w:r>
        <w:rPr>
          <w:rFonts w:ascii="Arial" w:cs="Arial" w:eastAsia="Arial" w:hAnsi="Arial"/>
          <w:sz w:val="24"/>
          <w:szCs w:val="24"/>
          <w:color w:val="auto"/>
          <w:vertAlign w:val="superscript"/>
        </w:rPr>
        <w:t>1</w:t>
      </w:r>
      <w:r>
        <w:rPr>
          <w:rFonts w:ascii="Arial" w:cs="Arial" w:eastAsia="Arial" w:hAnsi="Arial"/>
          <w:sz w:val="17"/>
          <w:szCs w:val="17"/>
          <w:color w:val="auto"/>
        </w:rPr>
        <w:t>, total revenue was $174.3 million, up 6%, with net revenue of $102.8 million, up 10%. The increase in both total revenue and net revenue (stated on a GAAP and constant currency basis) is primarily due to higher pawn service charges and merchandise margin.</w:t>
      </w:r>
    </w:p>
    <w:p>
      <w:pPr>
        <w:spacing w:after="0" w:line="148" w:lineRule="exact"/>
        <w:rPr>
          <w:rFonts w:ascii="Arial" w:cs="Arial" w:eastAsia="Arial" w:hAnsi="Arial"/>
          <w:sz w:val="17"/>
          <w:szCs w:val="17"/>
          <w:color w:val="auto"/>
        </w:rPr>
      </w:pPr>
    </w:p>
    <w:p>
      <w:pPr>
        <w:ind w:left="660" w:right="8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operating expenses for the current quarter decreased 2% (flat on a constant currency basis) as we continue to implement operational efficiencies. Corporate administrative expense was $14.5 million, down 14%.</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Nine-Months Ended June 30, 2016</w:t>
      </w:r>
    </w:p>
    <w:p>
      <w:pPr>
        <w:spacing w:after="0" w:line="171" w:lineRule="exact"/>
        <w:rPr>
          <w:sz w:val="20"/>
          <w:szCs w:val="20"/>
          <w:color w:val="auto"/>
        </w:rPr>
      </w:pPr>
    </w:p>
    <w:p>
      <w:pPr>
        <w:ind w:left="660" w:right="18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Net income from continuing operations attributable to EZCORP was $9.0 million ($0.16 per share), compared to net income of $5.8 million ($0.11 per share). This increase reflects continued improvement in our U.S. and Mexico pawn businesses (as discussed below).</w:t>
      </w:r>
    </w:p>
    <w:p>
      <w:pPr>
        <w:spacing w:after="0" w:line="92" w:lineRule="exact"/>
        <w:rPr>
          <w:rFonts w:ascii="Arial" w:cs="Arial" w:eastAsia="Arial" w:hAnsi="Arial"/>
          <w:sz w:val="17"/>
          <w:szCs w:val="17"/>
          <w:color w:val="auto"/>
        </w:rPr>
      </w:pPr>
    </w:p>
    <w:p>
      <w:pPr>
        <w:ind w:left="660" w:right="140" w:hanging="328"/>
        <w:spacing w:after="0" w:line="28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Total revenue for the nine-months ended June 30, 2016 was $545.9 million, 1% lower, with net revenue of $321.4 million, a 6% increase. On a constant currency basis, total revenue was $559.9 million, 2% higher, and net revenue was $329.1 million, 8% higher. Higher pawn service charges and merchandise margins drove the increase in total revenue and net revenue on a constant currency basis.</w:t>
      </w:r>
    </w:p>
    <w:p>
      <w:pPr>
        <w:spacing w:after="0" w:line="111" w:lineRule="exact"/>
        <w:rPr>
          <w:rFonts w:ascii="Arial" w:cs="Arial" w:eastAsia="Arial" w:hAnsi="Arial"/>
          <w:sz w:val="17"/>
          <w:szCs w:val="17"/>
          <w:color w:val="auto"/>
        </w:rPr>
      </w:pPr>
    </w:p>
    <w:p>
      <w:pPr>
        <w:ind w:left="660" w:right="1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operating expenses for the nine-months ended June 30, 2016 increased 5% (7% on a constant currency basis), primarily due to new store costs offset by store rationalization, accrued incentives at both field and corporate levels, as well as restatement expenses.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METRICS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Pawn Segment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Three-Months Ended June 30, 2016</w:t>
      </w:r>
    </w:p>
    <w:p>
      <w:pPr>
        <w:spacing w:after="0" w:line="171" w:lineRule="exact"/>
        <w:rPr>
          <w:sz w:val="20"/>
          <w:szCs w:val="20"/>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Enhanced focus on customers drove pawn lending, resulting in an increase in total PLO of 13% to $143.9 million, up 10% on a same store basis. The pawn loan redemption rate for the quarter was 85%, consistent with the prior-year period.</w:t>
      </w:r>
    </w:p>
    <w:p>
      <w:pPr>
        <w:spacing w:after="0" w:line="116" w:lineRule="exact"/>
        <w:rPr>
          <w:rFonts w:ascii="Arial" w:cs="Arial" w:eastAsia="Arial" w:hAnsi="Arial"/>
          <w:sz w:val="18"/>
          <w:szCs w:val="18"/>
          <w:color w:val="auto"/>
        </w:rPr>
      </w:pPr>
    </w:p>
    <w:p>
      <w:pPr>
        <w:ind w:left="660" w:right="240" w:hanging="328"/>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Total PSC increased 10% to $54.4 million, up 8% on a same store basis, as a result of strong same store PLO growth of 10%. Annualized yield on PLO decreased slightly to 164%, from 167% in the prior year quarter. The lower PLO yield is primarily due to shift in portfolio composition.</w:t>
      </w:r>
    </w:p>
    <w:p>
      <w:pPr>
        <w:spacing w:after="0" w:line="69" w:lineRule="exact"/>
        <w:rPr>
          <w:rFonts w:ascii="Arial" w:cs="Arial" w:eastAsia="Arial" w:hAnsi="Arial"/>
          <w:sz w:val="16"/>
          <w:szCs w:val="16"/>
          <w:color w:val="auto"/>
        </w:rPr>
      </w:pPr>
    </w:p>
    <w:p>
      <w:pPr>
        <w:ind w:left="660" w:right="7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Merchandise sales gross margin improved to 37% from 35% attributable to discipline in pawn loan valuations and pricing cadence, driving merchandise sales gross profit growth of 8% to $29.2 million.</w:t>
      </w:r>
    </w:p>
    <w:p>
      <w:pPr>
        <w:spacing w:after="0" w:line="116"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Store expenses were tightly managed, leveraging 9% growth in net revenue to $85.7 million into a 25% increase in segment profit before tax to $20.2 million.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Aged inventory reduced to 9% of total inventory from 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Nine-Months Ended June 30, 2016</w:t>
      </w:r>
    </w:p>
    <w:p>
      <w:pPr>
        <w:spacing w:after="0" w:line="171" w:lineRule="exact"/>
        <w:rPr>
          <w:sz w:val="20"/>
          <w:szCs w:val="20"/>
          <w:color w:val="auto"/>
        </w:rPr>
      </w:pPr>
    </w:p>
    <w:p>
      <w:pPr>
        <w:ind w:left="660" w:right="1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Same store PLO growth continues, increasing to 10% as compared to a decrease of 11% in the prior-year period, generating same store PSC growth of 5% in the nine-month period ended June 30, 2016.</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Annualized PLO yield and pawn loan redemption rate both decreased slightly from the prior-year period to 164% from 165%, and to 84% from 85%, respectively.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Merchandise sales gross margin increased to 38% from 34%, resulting in a 15% increase in merchandise sales gross profit to $102.3 million.</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Expense management leveraged a 7% growth in net revenue to $277.3 million into an 11% increase in segment profit before tax to $78.7 million.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Mexico Pawn Segment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Three-Months Ended June 30, 2016</w:t>
      </w:r>
    </w:p>
    <w:p>
      <w:pPr>
        <w:spacing w:after="0" w:line="171" w:lineRule="exact"/>
        <w:rPr>
          <w:sz w:val="20"/>
          <w:szCs w:val="20"/>
          <w:color w:val="auto"/>
        </w:rPr>
      </w:pPr>
    </w:p>
    <w:p>
      <w:pPr>
        <w:jc w:val="both"/>
        <w:ind w:left="660" w:right="320" w:hanging="328"/>
        <w:spacing w:after="0" w:line="286"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Focusing on customer engagement drove the increase in PSC and PLO on a constant currency basis. PSC grew 1% to $8.1 million (up 20% on a constant currency basis). PLO decreased 1% to $16.3 million (up 19% on a constant currency basis). The pawn loan redemption rate increased to 77% from 76% in the prior-year period. Annualized PLO yield was a strong 192% compared to 194%.</w:t>
      </w:r>
    </w:p>
    <w:p>
      <w:pPr>
        <w:sectPr>
          <w:pgSz w:w="11900" w:h="16838" w:orient="portrait"/>
          <w:cols w:equalWidth="0" w:num="1">
            <w:col w:w="11420"/>
          </w:cols>
          <w:pgMar w:left="240" w:top="850" w:right="239"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2</w:t>
      </w:r>
    </w:p>
    <w:p>
      <w:pPr>
        <w:sectPr>
          <w:pgSz w:w="11900" w:h="16838" w:orient="portrait"/>
          <w:cols w:equalWidth="0" w:num="1">
            <w:col w:w="11420"/>
          </w:cols>
          <w:pgMar w:left="240" w:top="850" w:right="239" w:bottom="1440" w:gutter="0" w:footer="0" w:header="0"/>
          <w:type w:val="continuous"/>
        </w:sectPr>
      </w:pPr>
    </w:p>
    <w:bookmarkStart w:id="6" w:name="page7"/>
    <w:bookmarkEnd w:id="6"/>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Merchandise sales gross margin increased to 33% from 29% as the result of disciplined pawn loan valuations and pricing cadence. Merchandise sales gross profit increased 5% to $4.6 million (up 24% on a constant currency basis).</w:t>
      </w:r>
    </w:p>
    <w:p>
      <w:pPr>
        <w:spacing w:after="0" w:line="116"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Store expenses were tightly managed, leveraging 2% growth in net revenue to $12.9 million into a 476% increase in segment profit before tax to $2.7 million (net revenue up 20% and segment profit before tax up 773% on a constant currency basis).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Aged inventory reduced to 3% of total inventory from 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Nine-Months Ended June 30, 2016</w:t>
      </w:r>
    </w:p>
    <w:p>
      <w:pPr>
        <w:spacing w:after="0" w:line="171" w:lineRule="exact"/>
        <w:rPr>
          <w:sz w:val="20"/>
          <w:szCs w:val="20"/>
          <w:color w:val="auto"/>
        </w:rPr>
      </w:pPr>
    </w:p>
    <w:p>
      <w:pPr>
        <w:ind w:left="660" w:right="4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PSC increased 2% to $23.6 million (up 22% on a constant currency basis). Annualized yield on pawn loans decreased to 194% from 196%. The pawn loan redemption rate on pawn loans year-to-date increased slightly to 78% from 77%.</w:t>
      </w:r>
    </w:p>
    <w:p>
      <w:pPr>
        <w:spacing w:after="0" w:line="116"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Merchandise sales gross margin increased to 33% from 29%, resulting in a 1% increase in merchandise sales gross profit to $14.9 million (up 21% on a constant currency basis).</w:t>
      </w:r>
    </w:p>
    <w:p>
      <w:pPr>
        <w:spacing w:after="0" w:line="116"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 management leveraged a 1% growth in net revenue to $39.0 million into a 165% increase in segment profit before tax to $6.2 million (net revenue up 20% and segment profit before tax up 259% on a constant currency basis).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 GRUPO FINMART</w:t>
      </w:r>
    </w:p>
    <w:p>
      <w:pPr>
        <w:spacing w:after="0" w:line="17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July 6, 2016, we announced that we had entered into a definitive agreement to sell Prestaciones Finmart, S.A.P.I. DE C.V., SOFOM, E.N.R. (“Grupo Finmart”) to Alpha Holding, S.A. de C.V. (“AlphaCredit”), a leader in consumer lending in Mexico and Colombia. We currently own 94% of Grupo Finmart, a provider of consumer loans to government agency employees in Mexico.</w:t>
      </w:r>
    </w:p>
    <w:p>
      <w:pPr>
        <w:spacing w:after="0" w:line="12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decision to divest Grupo Finmart is a result of the continued execution of our three-year strategic program and is expected to provide us with additional capital to invest in our U.S. and Mexico pawn businesses.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a result of the decision to sell the Grupo Finmart business, we have classified our Grupo Finmart segment as held for sale as of June 30, 2016 and recast all operations of Grupo Finmart as discontinued operations for the three and nine-months ended June 30, 2016.</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EZCORP will host a conference call on Wednesday, August 10, 2016, at 7:30am Central Time to discuss third quarter results. Analysts and institutional investors may participate on the conference call by dialing (888) 734-0328, Conference ID: 58992016, International dialing (678) 894-3054. The conference call will be webcast simultaneously to the public through this link: http://investors.ezcorp.com/. A replay of the conference call will be available online at </w:t>
      </w:r>
      <w:r>
        <w:rPr>
          <w:rFonts w:ascii="Arial" w:cs="Arial" w:eastAsia="Arial" w:hAnsi="Arial"/>
          <w:sz w:val="18"/>
          <w:szCs w:val="18"/>
          <w:u w:val="single" w:color="auto"/>
          <w:color w:val="0000FF"/>
        </w:rPr>
        <w:t>http://investors.ezcorp.com/</w:t>
      </w:r>
      <w:r>
        <w:rPr>
          <w:rFonts w:ascii="Arial" w:cs="Arial" w:eastAsia="Arial" w:hAnsi="Arial"/>
          <w:sz w:val="18"/>
          <w:szCs w:val="18"/>
          <w:color w:val="0000FF"/>
        </w:rPr>
        <w:t xml:space="preserve"> </w:t>
      </w:r>
      <w:r>
        <w:rPr>
          <w:rFonts w:ascii="Arial" w:cs="Arial" w:eastAsia="Arial" w:hAnsi="Arial"/>
          <w:sz w:val="18"/>
          <w:szCs w:val="18"/>
          <w:color w:val="000000"/>
        </w:rPr>
        <w:t>shortly after the call.</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1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EZCORP is a leading provider of pawn loans in the United States and Mexico. At our pawn stores, we also sell merchandise, primarily collateral forfeited from pawn lending operations and used merchandise purchased from customers.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7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w:t>
      </w:r>
    </w:p>
    <w:p>
      <w:pPr>
        <w:spacing w:after="0" w:line="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Actual results for future periods may differ materially from those expressed or implied by these forward-looking statements due to a number of uncertainties and other factors, including operating risks, liquidity risks, legislative or regulatory developments, market factors or current or future litigation.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3</w:t>
      </w:r>
    </w:p>
    <w:p>
      <w:pPr>
        <w:sectPr>
          <w:pgSz w:w="11900" w:h="16838" w:orient="portrait"/>
          <w:cols w:equalWidth="0" w:num="1">
            <w:col w:w="11420"/>
          </w:cols>
          <w:pgMar w:left="240" w:top="746"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Jeff Christensen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jeff_christensen@ezcorp.com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(512) 437-3545</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ind w:right="4459"/>
        <w:spacing w:after="0"/>
        <w:rPr>
          <w:sz w:val="20"/>
          <w:szCs w:val="20"/>
          <w:color w:val="auto"/>
        </w:rPr>
      </w:pPr>
      <w:r>
        <w:rPr>
          <w:rFonts w:ascii="Arial" w:cs="Arial" w:eastAsia="Arial" w:hAnsi="Arial"/>
          <w:sz w:val="18"/>
          <w:szCs w:val="18"/>
          <w:i w:val="1"/>
          <w:iCs w:val="1"/>
          <w:color w:val="auto"/>
        </w:rPr>
        <w:t>4</w:t>
      </w:r>
    </w:p>
    <w:p>
      <w:pPr>
        <w:sectPr>
          <w:pgSz w:w="11900" w:h="16838" w:orient="portrait"/>
          <w:cols w:equalWidth="0" w:num="1">
            <w:col w:w="10219"/>
          </w:cols>
          <w:pgMar w:left="240" w:top="796"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260" w:type="dxa"/>
            <w:vAlign w:val="bottom"/>
            <w:gridSpan w:val="4"/>
          </w:tcPr>
          <w:p>
            <w:pPr>
              <w:jc w:val="right"/>
              <w:ind w:right="319"/>
              <w:spacing w:after="0"/>
              <w:rPr>
                <w:sz w:val="20"/>
                <w:szCs w:val="20"/>
                <w:color w:val="auto"/>
              </w:rPr>
            </w:pPr>
            <w:r>
              <w:rPr>
                <w:rFonts w:ascii="Arial" w:cs="Arial" w:eastAsia="Arial" w:hAnsi="Arial"/>
                <w:sz w:val="14"/>
                <w:szCs w:val="14"/>
                <w:b w:val="1"/>
                <w:bCs w:val="1"/>
                <w:color w:val="auto"/>
                <w:w w:val="96"/>
              </w:rPr>
              <w:t>Nine Months Ended June 30,</w:t>
            </w:r>
          </w:p>
        </w:tc>
      </w:tr>
      <w:tr>
        <w:trPr>
          <w:trHeight w:val="264"/>
        </w:trPr>
        <w:tc>
          <w:tcPr>
            <w:tcW w:w="59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2015</w:t>
            </w:r>
          </w:p>
        </w:tc>
      </w:tr>
      <w:tr>
        <w:trPr>
          <w:trHeight w:val="379"/>
        </w:trPr>
        <w:tc>
          <w:tcPr>
            <w:tcW w:w="5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9"/>
        </w:trPr>
        <w:tc>
          <w:tcPr>
            <w:tcW w:w="5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6"/>
          </w:tcPr>
          <w:p>
            <w:pPr>
              <w:ind w:left="60"/>
              <w:spacing w:after="0"/>
              <w:rPr>
                <w:sz w:val="20"/>
                <w:szCs w:val="20"/>
                <w:color w:val="auto"/>
              </w:rPr>
            </w:pPr>
            <w:r>
              <w:rPr>
                <w:rFonts w:ascii="Arial" w:cs="Arial" w:eastAsia="Arial" w:hAnsi="Arial"/>
                <w:sz w:val="14"/>
                <w:szCs w:val="14"/>
                <w:i w:val="1"/>
                <w:iCs w:val="1"/>
                <w:color w:val="auto"/>
              </w:rPr>
              <w:t>(in thousands, except per share amounts)</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6"/>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Merchandise sales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94,014</w:t>
            </w:r>
          </w:p>
        </w:tc>
        <w:tc>
          <w:tcPr>
            <w:tcW w:w="120" w:type="dxa"/>
            <w:vAlign w:val="bottom"/>
          </w:tcPr>
          <w:p>
            <w:pPr>
              <w:spacing w:after="0"/>
              <w:rPr>
                <w:sz w:val="20"/>
                <w:szCs w:val="20"/>
                <w:color w:val="auto"/>
              </w:rPr>
            </w:pP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93,137</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311,941</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310,628</w:t>
            </w:r>
          </w:p>
        </w:tc>
      </w:tr>
      <w:tr>
        <w:trPr>
          <w:trHeight w:val="33"/>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Jewelry scrapping sales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47,521</w:t>
            </w: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Pawn service charges</w:t>
            </w:r>
          </w:p>
        </w:tc>
        <w:tc>
          <w:tcPr>
            <w:tcW w:w="2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62,473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57,599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193,197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181,996</w:t>
            </w:r>
          </w:p>
        </w:tc>
      </w:tr>
      <w:tr>
        <w:trPr>
          <w:trHeight w:val="33"/>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loan fees and interest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7,517</w:t>
            </w: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Other revenues</w:t>
            </w:r>
          </w:p>
        </w:tc>
        <w:tc>
          <w:tcPr>
            <w:tcW w:w="2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2,047</w:t>
            </w:r>
          </w:p>
        </w:tc>
      </w:tr>
      <w:tr>
        <w:trPr>
          <w:trHeight w:val="33"/>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revenues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170,150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164,619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545,920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549,709</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Merchandise cost of goods sold</w:t>
            </w:r>
          </w:p>
        </w:tc>
        <w:tc>
          <w:tcPr>
            <w:tcW w:w="2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60,140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61,460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194,731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206,430</w:t>
            </w:r>
          </w:p>
        </w:tc>
      </w:tr>
      <w:tr>
        <w:trPr>
          <w:trHeight w:val="33"/>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Jewelry scrapping cost of goods sold</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37,609</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Consumer loan bad debt</w:t>
            </w:r>
          </w:p>
        </w:tc>
        <w:tc>
          <w:tcPr>
            <w:tcW w:w="2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506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771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1,549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2,197</w:t>
            </w:r>
          </w:p>
        </w:tc>
      </w:tr>
      <w:tr>
        <w:trPr>
          <w:trHeight w:val="33"/>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revenues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100,394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93,808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321,369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303,473</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73,172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71,455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221,446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213,335</w:t>
            </w: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Administrative</w:t>
            </w:r>
          </w:p>
        </w:tc>
        <w:tc>
          <w:tcPr>
            <w:tcW w:w="2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14,481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16,860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50,085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44,212</w:t>
            </w:r>
          </w:p>
        </w:tc>
      </w:tr>
      <w:tr>
        <w:trPr>
          <w:trHeight w:val="33"/>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22,448</w:t>
            </w: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(Gain) loss on sale or disposal of assets</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641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725</w:t>
            </w:r>
          </w:p>
        </w:tc>
      </w:tr>
      <w:tr>
        <w:trPr>
          <w:trHeight w:val="33"/>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Restructuring</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763</w:t>
            </w:r>
          </w:p>
        </w:tc>
      </w:tr>
      <w:tr>
        <w:trPr>
          <w:trHeight w:val="217"/>
        </w:trPr>
        <w:tc>
          <w:tcPr>
            <w:tcW w:w="5960" w:type="dxa"/>
            <w:vAlign w:val="bottom"/>
          </w:tcPr>
          <w:p>
            <w:pPr>
              <w:ind w:left="50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93,886</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95,971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294,504</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281,483</w:t>
            </w:r>
          </w:p>
        </w:tc>
      </w:tr>
      <w:tr>
        <w:trPr>
          <w:trHeight w:val="33"/>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5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Operating income (loss)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6,508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26,865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21,990</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3,936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3,783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12,456</w:t>
            </w:r>
          </w:p>
        </w:tc>
      </w:tr>
      <w:tr>
        <w:trPr>
          <w:trHeight w:val="33"/>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Equity in net income of unconsolidated affiliate</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(1,694)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(5,626)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(338)</w:t>
            </w:r>
          </w:p>
        </w:tc>
      </w:tr>
      <w:tr>
        <w:trPr>
          <w:trHeight w:val="33"/>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 (income)</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953</w:t>
            </w:r>
          </w:p>
        </w:tc>
      </w:tr>
      <w:tr>
        <w:trPr>
          <w:trHeight w:val="217"/>
        </w:trPr>
        <w:tc>
          <w:tcPr>
            <w:tcW w:w="5960" w:type="dxa"/>
            <w:vAlign w:val="bottom"/>
          </w:tcPr>
          <w:p>
            <w:pPr>
              <w:ind w:left="40"/>
              <w:spacing w:after="0"/>
              <w:rPr>
                <w:sz w:val="20"/>
                <w:szCs w:val="20"/>
                <w:color w:val="auto"/>
              </w:rPr>
            </w:pPr>
            <w:r>
              <w:rPr>
                <w:rFonts w:ascii="Arial" w:cs="Arial" w:eastAsia="Arial" w:hAnsi="Arial"/>
                <w:sz w:val="16"/>
                <w:szCs w:val="16"/>
                <w:color w:val="auto"/>
              </w:rPr>
              <w:t>Income (loss) from continuing operations before income taxes</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3,816</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(3,818)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19,728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9,142</w:t>
            </w:r>
          </w:p>
        </w:tc>
      </w:tr>
      <w:tr>
        <w:trPr>
          <w:trHeight w:val="33"/>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11,224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4,217</w:t>
            </w:r>
          </w:p>
        </w:tc>
      </w:tr>
      <w:tr>
        <w:trPr>
          <w:trHeight w:val="217"/>
        </w:trPr>
        <w:tc>
          <w:tcPr>
            <w:tcW w:w="5960" w:type="dxa"/>
            <w:vAlign w:val="bottom"/>
          </w:tcPr>
          <w:p>
            <w:pPr>
              <w:ind w:left="40"/>
              <w:spacing w:after="0"/>
              <w:rPr>
                <w:sz w:val="20"/>
                <w:szCs w:val="20"/>
                <w:color w:val="auto"/>
              </w:rPr>
            </w:pPr>
            <w:r>
              <w:rPr>
                <w:rFonts w:ascii="Arial" w:cs="Arial" w:eastAsia="Arial" w:hAnsi="Arial"/>
                <w:sz w:val="16"/>
                <w:szCs w:val="16"/>
                <w:color w:val="auto"/>
              </w:rPr>
              <w:t>Income (loss) from continuing operations, net of tax</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2,778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8,504</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4,925</w:t>
            </w:r>
          </w:p>
        </w:tc>
      </w:tr>
      <w:tr>
        <w:trPr>
          <w:trHeight w:val="33"/>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discontinued operations, net of tax</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(9,133)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(9,454)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(100,916)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(5,047)</w:t>
            </w:r>
          </w:p>
        </w:tc>
      </w:tr>
      <w:tr>
        <w:trPr>
          <w:trHeight w:val="217"/>
        </w:trPr>
        <w:tc>
          <w:tcPr>
            <w:tcW w:w="5960" w:type="dxa"/>
            <w:vAlign w:val="bottom"/>
          </w:tcPr>
          <w:p>
            <w:pPr>
              <w:ind w:left="40"/>
              <w:spacing w:after="0"/>
              <w:rPr>
                <w:sz w:val="20"/>
                <w:szCs w:val="20"/>
                <w:color w:val="auto"/>
              </w:rPr>
            </w:pPr>
            <w:r>
              <w:rPr>
                <w:rFonts w:ascii="Arial" w:cs="Arial" w:eastAsia="Arial" w:hAnsi="Arial"/>
                <w:sz w:val="16"/>
                <w:szCs w:val="16"/>
                <w:color w:val="auto"/>
              </w:rPr>
              <w:t>Net loss</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(6,355)</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(10,237)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(92,412)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w:t>
            </w:r>
          </w:p>
        </w:tc>
      </w:tr>
      <w:tr>
        <w:trPr>
          <w:trHeight w:val="33"/>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noncontrolling interest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(3,230)</w:t>
            </w:r>
          </w:p>
        </w:tc>
      </w:tr>
      <w:tr>
        <w:trPr>
          <w:trHeight w:val="284"/>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 income attributable to EZCORP, Inc.</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(5,689)</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(9,847)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(87,288)</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3,108</w:t>
            </w:r>
          </w:p>
        </w:tc>
      </w:tr>
      <w:tr>
        <w:trPr>
          <w:trHeight w:val="257"/>
        </w:trPr>
        <w:tc>
          <w:tcPr>
            <w:tcW w:w="59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6"/>
                <w:szCs w:val="16"/>
                <w:color w:val="auto"/>
              </w:rPr>
              <w:t xml:space="preserve">Basic earnings per share attributable to EZCORP, Inc. </w:t>
            </w:r>
            <w:r>
              <w:rPr>
                <w:rFonts w:ascii="Arial" w:cs="Arial" w:eastAsia="Arial" w:hAnsi="Arial"/>
                <w:sz w:val="18"/>
                <w:szCs w:val="18"/>
                <w:color w:val="auto"/>
              </w:rPr>
              <w:t>—</w:t>
            </w:r>
            <w:r>
              <w:rPr>
                <w:rFonts w:ascii="Arial" w:cs="Arial" w:eastAsia="Arial" w:hAnsi="Arial"/>
                <w:sz w:val="16"/>
                <w:szCs w:val="16"/>
                <w:color w:val="auto"/>
              </w:rPr>
              <w:t xml:space="preserve"> continuing operations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21"/>
                <w:szCs w:val="21"/>
                <w:color w:val="auto"/>
              </w:rPr>
            </w:pP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0.16</w:t>
            </w:r>
          </w:p>
        </w:tc>
        <w:tc>
          <w:tcPr>
            <w:tcW w:w="12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0.11</w:t>
            </w: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Diluted earnings per share attributable to EZCORP, Inc. </w:t>
            </w:r>
            <w:r>
              <w:rPr>
                <w:rFonts w:ascii="Arial" w:cs="Arial" w:eastAsia="Arial" w:hAnsi="Arial"/>
                <w:sz w:val="18"/>
                <w:szCs w:val="18"/>
                <w:color w:val="auto"/>
              </w:rPr>
              <w:t>—</w:t>
            </w:r>
            <w:r>
              <w:rPr>
                <w:rFonts w:ascii="Arial" w:cs="Arial" w:eastAsia="Arial" w:hAnsi="Arial"/>
                <w:sz w:val="16"/>
                <w:szCs w:val="16"/>
                <w:color w:val="auto"/>
              </w:rPr>
              <w:t xml:space="preserve"> continuing operations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0.11</w:t>
            </w:r>
          </w:p>
        </w:tc>
      </w:tr>
      <w:tr>
        <w:trPr>
          <w:trHeight w:val="270"/>
        </w:trPr>
        <w:tc>
          <w:tcPr>
            <w:tcW w:w="5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basic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53,980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54,574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54,216</w:t>
            </w:r>
          </w:p>
        </w:tc>
      </w:tr>
      <w:tr>
        <w:trPr>
          <w:trHeight w:val="270"/>
        </w:trPr>
        <w:tc>
          <w:tcPr>
            <w:tcW w:w="5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from continuing operations attributable to EZCORP, Inc.</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5,807</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Net loss from discontinued operations attributable to EZCORP, Inc.</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(8,593)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(9,164)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(96,242)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(2,699)</w:t>
            </w:r>
          </w:p>
        </w:tc>
      </w:tr>
      <w:tr>
        <w:trPr>
          <w:trHeight w:val="33"/>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 income attributable to EZCORP, Inc.</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(87,288)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3,108</w:t>
            </w:r>
          </w:p>
        </w:tc>
      </w:tr>
      <w:tr>
        <w:trPr>
          <w:trHeight w:val="20"/>
        </w:trPr>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74"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5</w:t>
      </w:r>
    </w:p>
    <w:p>
      <w:pPr>
        <w:sectPr>
          <w:pgSz w:w="11900" w:h="16838" w:orient="portrait"/>
          <w:cols w:equalWidth="0" w:num="1">
            <w:col w:w="11420"/>
          </w:cols>
          <w:pgMar w:left="240" w:top="774"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112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7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2015</w:t>
            </w:r>
          </w:p>
        </w:tc>
      </w:tr>
      <w:tr>
        <w:trPr>
          <w:trHeight w:val="385"/>
        </w:trPr>
        <w:tc>
          <w:tcPr>
            <w:tcW w:w="7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5"/>
          </w:tcPr>
          <w:p>
            <w:pPr>
              <w:ind w:left="64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29,380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113,405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56,244</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144</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Pawn loans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160,269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144,377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159,964</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Pawn service charges receivable, net</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29,643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26,989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30,852</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Inventory, net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130,368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115,283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124,084</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Income taxes receivable</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2,745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40,657</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Current assets held for sale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156,587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82,845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72,858</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20,734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57,644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24,933</w:t>
            </w:r>
          </w:p>
        </w:tc>
      </w:tr>
      <w:tr>
        <w:trPr>
          <w:trHeight w:val="33"/>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531,981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543,506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509,736</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Investment in unconsolidated affiliate</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57,656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90,423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56,182</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Property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61,201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99,353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73,938</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254,273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249,174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251,646</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30,569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30,778</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Deferred tax asset, net</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33,386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39,569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24,405</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Non-current assets held for sale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231,977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226,623</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Other assets, net</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18,950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26,493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13,736</w:t>
            </w:r>
          </w:p>
        </w:tc>
      </w:tr>
      <w:tr>
        <w:trPr>
          <w:trHeight w:val="33"/>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988,016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1,318,446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1,187,044</w:t>
            </w: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7"/>
        </w:trPr>
        <w:tc>
          <w:tcPr>
            <w:tcW w:w="7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 temporary equity and equity:</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 accrued expenses and other current liabilities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59,239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77,966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109,875</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Current liabilities held for sale</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130,627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81,248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87,725</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Customer layaway deposits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11,201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10,470</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Income taxes payable</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4,842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205,909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168,849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208,070</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Long-term debt, net</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211,421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207,925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197,976</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Non-current liabilities held for sale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125,378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101,644</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Deferred gains and other long-term liabilities</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3,321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4,752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3,703</w:t>
            </w:r>
          </w:p>
        </w:tc>
      </w:tr>
      <w:tr>
        <w:trPr>
          <w:trHeight w:val="33"/>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420,651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506,904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511,393</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Commitments and contingencies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Temporary equity:</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0"/>
        </w:trPr>
        <w:tc>
          <w:tcPr>
            <w:tcW w:w="7780" w:type="dxa"/>
            <w:vAlign w:val="bottom"/>
          </w:tcPr>
          <w:p>
            <w:pPr>
              <w:ind w:left="500"/>
              <w:spacing w:after="0"/>
              <w:rPr>
                <w:sz w:val="20"/>
                <w:szCs w:val="20"/>
                <w:color w:val="auto"/>
              </w:rPr>
            </w:pPr>
            <w:r>
              <w:rPr>
                <w:rFonts w:ascii="Arial" w:cs="Arial" w:eastAsia="Arial" w:hAnsi="Arial"/>
                <w:sz w:val="16"/>
                <w:szCs w:val="16"/>
                <w:color w:val="auto"/>
                <w:w w:val="94"/>
              </w:rPr>
              <w:t>Class A Non-voting Common Stock, subject to possible redemption at $10.06 per share; none as of June 30,</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3"/>
        </w:trPr>
        <w:tc>
          <w:tcPr>
            <w:tcW w:w="7780" w:type="dxa"/>
            <w:vAlign w:val="bottom"/>
          </w:tcPr>
          <w:p>
            <w:pPr>
              <w:ind w:left="500"/>
              <w:spacing w:after="0"/>
              <w:rPr>
                <w:sz w:val="20"/>
                <w:szCs w:val="20"/>
                <w:color w:val="auto"/>
              </w:rPr>
            </w:pPr>
            <w:r>
              <w:rPr>
                <w:rFonts w:ascii="Arial" w:cs="Arial" w:eastAsia="Arial" w:hAnsi="Arial"/>
                <w:sz w:val="16"/>
                <w:szCs w:val="16"/>
                <w:color w:val="auto"/>
                <w:w w:val="91"/>
              </w:rPr>
              <w:t>2016 and 1,168,456 shares issued and outstanding at redemption value as of June 30, 2015 and September 30,</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6"/>
        </w:trPr>
        <w:tc>
          <w:tcPr>
            <w:tcW w:w="7780" w:type="dxa"/>
            <w:vAlign w:val="bottom"/>
          </w:tcPr>
          <w:p>
            <w:pPr>
              <w:ind w:left="500"/>
              <w:spacing w:after="0"/>
              <w:rPr>
                <w:sz w:val="20"/>
                <w:szCs w:val="20"/>
                <w:color w:val="auto"/>
              </w:rPr>
            </w:pPr>
            <w:r>
              <w:rPr>
                <w:rFonts w:ascii="Arial" w:cs="Arial" w:eastAsia="Arial" w:hAnsi="Arial"/>
                <w:sz w:val="16"/>
                <w:szCs w:val="16"/>
                <w:color w:val="auto"/>
              </w:rPr>
              <w:t>2015</w:t>
            </w:r>
          </w:p>
        </w:tc>
        <w:tc>
          <w:tcPr>
            <w:tcW w:w="20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11,696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11,696</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Redeemable noncontrolling interest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2,532</w:t>
            </w:r>
          </w:p>
        </w:tc>
      </w:tr>
      <w:tr>
        <w:trPr>
          <w:trHeight w:val="217"/>
        </w:trPr>
        <w:tc>
          <w:tcPr>
            <w:tcW w:w="7780" w:type="dxa"/>
            <w:vAlign w:val="bottom"/>
          </w:tcPr>
          <w:p>
            <w:pPr>
              <w:ind w:left="720"/>
              <w:spacing w:after="0"/>
              <w:rPr>
                <w:sz w:val="20"/>
                <w:szCs w:val="20"/>
                <w:color w:val="auto"/>
              </w:rPr>
            </w:pPr>
            <w:r>
              <w:rPr>
                <w:rFonts w:ascii="Arial" w:cs="Arial" w:eastAsia="Arial" w:hAnsi="Arial"/>
                <w:sz w:val="16"/>
                <w:szCs w:val="16"/>
                <w:color w:val="auto"/>
              </w:rPr>
              <w:t>Total temporary equity</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(2,410)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28,014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14,228</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0"/>
        </w:trPr>
        <w:tc>
          <w:tcPr>
            <w:tcW w:w="7780" w:type="dxa"/>
            <w:vAlign w:val="bottom"/>
          </w:tcPr>
          <w:p>
            <w:pPr>
              <w:ind w:left="500"/>
              <w:spacing w:after="0"/>
              <w:rPr>
                <w:sz w:val="20"/>
                <w:szCs w:val="20"/>
                <w:color w:val="auto"/>
              </w:rPr>
            </w:pPr>
            <w:r>
              <w:rPr>
                <w:rFonts w:ascii="Arial" w:cs="Arial" w:eastAsia="Arial" w:hAnsi="Arial"/>
                <w:sz w:val="16"/>
                <w:szCs w:val="16"/>
                <w:color w:val="auto"/>
                <w:w w:val="95"/>
              </w:rPr>
              <w:t>Class A Non-voting Common Stock, par value $.01 per share; shares authorized: 100 million as of June 30,</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3"/>
        </w:trPr>
        <w:tc>
          <w:tcPr>
            <w:tcW w:w="7780" w:type="dxa"/>
            <w:vAlign w:val="bottom"/>
          </w:tcPr>
          <w:p>
            <w:pPr>
              <w:ind w:left="500"/>
              <w:spacing w:after="0"/>
              <w:rPr>
                <w:sz w:val="20"/>
                <w:szCs w:val="20"/>
                <w:color w:val="auto"/>
              </w:rPr>
            </w:pPr>
            <w:r>
              <w:rPr>
                <w:rFonts w:ascii="Arial" w:cs="Arial" w:eastAsia="Arial" w:hAnsi="Arial"/>
                <w:sz w:val="16"/>
                <w:szCs w:val="16"/>
                <w:color w:val="auto"/>
                <w:w w:val="90"/>
              </w:rPr>
              <w:t>2016 and 2015 and September 30, 2015; issued and outstanding: 51,019,332 as of June 30, 2016; 50,681,477 as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6"/>
        </w:trPr>
        <w:tc>
          <w:tcPr>
            <w:tcW w:w="7780" w:type="dxa"/>
            <w:vAlign w:val="bottom"/>
          </w:tcPr>
          <w:p>
            <w:pPr>
              <w:ind w:left="500"/>
              <w:spacing w:after="0"/>
              <w:rPr>
                <w:sz w:val="20"/>
                <w:szCs w:val="20"/>
                <w:color w:val="auto"/>
              </w:rPr>
            </w:pPr>
            <w:r>
              <w:rPr>
                <w:rFonts w:ascii="Arial" w:cs="Arial" w:eastAsia="Arial" w:hAnsi="Arial"/>
                <w:sz w:val="16"/>
                <w:szCs w:val="16"/>
                <w:color w:val="auto"/>
              </w:rPr>
              <w:t>of June 30, 2015; and 50,726,289 as of September 30, 2015</w:t>
            </w:r>
          </w:p>
        </w:tc>
        <w:tc>
          <w:tcPr>
            <w:tcW w:w="20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510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507</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778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3"/>
              </w:rPr>
              <w:t>Class B Voting Common Stock, convertible, par value $.01 per share; 3 million shares authorized; issued and</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outstanding: 2,970,171</w:t>
            </w: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313,607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327,018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307,080</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320,537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498,360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407,825</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(64,703)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(42,386)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(54,019)</w:t>
            </w:r>
          </w:p>
        </w:tc>
      </w:tr>
      <w:tr>
        <w:trPr>
          <w:trHeight w:val="33"/>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EZCORP, Inc. stockholders’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569,981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783,528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661,423</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Noncontrolling interest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equity</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569,775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783,528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661,423</w:t>
            </w:r>
          </w:p>
        </w:tc>
      </w:tr>
      <w:tr>
        <w:trPr>
          <w:trHeight w:val="244"/>
        </w:trPr>
        <w:tc>
          <w:tcPr>
            <w:tcW w:w="7780" w:type="dxa"/>
            <w:vAlign w:val="bottom"/>
          </w:tcPr>
          <w:p>
            <w:pPr>
              <w:ind w:left="40"/>
              <w:spacing w:after="0"/>
              <w:rPr>
                <w:sz w:val="20"/>
                <w:szCs w:val="20"/>
                <w:color w:val="auto"/>
              </w:rPr>
            </w:pPr>
            <w:r>
              <w:rPr>
                <w:rFonts w:ascii="Arial" w:cs="Arial" w:eastAsia="Arial" w:hAnsi="Arial"/>
                <w:sz w:val="16"/>
                <w:szCs w:val="16"/>
                <w:color w:val="auto"/>
              </w:rPr>
              <w:t>Total liabilities, temporary equity and equity</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988,016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1,318,446</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1,187,044</w:t>
            </w: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74" w:right="239" w:bottom="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6</w:t>
      </w:r>
    </w:p>
    <w:p>
      <w:pPr>
        <w:sectPr>
          <w:pgSz w:w="11900" w:h="16838" w:orient="portrait"/>
          <w:cols w:equalWidth="0" w:num="1">
            <w:col w:w="11420"/>
          </w:cols>
          <w:pgMar w:left="240" w:top="774" w:right="239" w:bottom="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center"/>
              <w:ind w:right="219"/>
              <w:spacing w:after="0"/>
              <w:rPr>
                <w:sz w:val="20"/>
                <w:szCs w:val="20"/>
                <w:color w:val="auto"/>
              </w:rPr>
            </w:pPr>
            <w:r>
              <w:rPr>
                <w:rFonts w:ascii="Arial" w:cs="Arial" w:eastAsia="Arial" w:hAnsi="Arial"/>
                <w:sz w:val="14"/>
                <w:szCs w:val="14"/>
                <w:b w:val="1"/>
                <w:bCs w:val="1"/>
                <w:color w:val="auto"/>
                <w:w w:val="93"/>
              </w:rPr>
              <w:t>Nine Months Ended June 30,</w:t>
            </w: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r>
      <w:tr>
        <w:trPr>
          <w:trHeight w:val="379"/>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3"/>
          </w:tcPr>
          <w:p>
            <w:pPr>
              <w:jc w:val="center"/>
              <w:ind w:left="520"/>
              <w:spacing w:after="0"/>
              <w:rPr>
                <w:sz w:val="20"/>
                <w:szCs w:val="20"/>
                <w:color w:val="auto"/>
              </w:rPr>
            </w:pPr>
            <w:r>
              <w:rPr>
                <w:rFonts w:ascii="Arial" w:cs="Arial" w:eastAsia="Arial" w:hAnsi="Arial"/>
                <w:sz w:val="14"/>
                <w:szCs w:val="14"/>
                <w:b w:val="1"/>
                <w:bCs w:val="1"/>
                <w:color w:val="auto"/>
                <w:w w:val="95"/>
              </w:rPr>
              <w:t>(Unaudited)</w:t>
            </w:r>
          </w:p>
        </w:tc>
        <w:tc>
          <w:tcPr>
            <w:tcW w:w="900" w:type="dxa"/>
            <w:vAlign w:val="bottom"/>
          </w:tcPr>
          <w:p>
            <w:pPr>
              <w:spacing w:after="0"/>
              <w:rPr>
                <w:sz w:val="24"/>
                <w:szCs w:val="24"/>
                <w:color w:val="auto"/>
              </w:rPr>
            </w:pPr>
          </w:p>
        </w:tc>
      </w:tr>
      <w:tr>
        <w:trPr>
          <w:trHeight w:val="209"/>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center"/>
              <w:ind w:left="520"/>
              <w:spacing w:after="0"/>
              <w:rPr>
                <w:sz w:val="20"/>
                <w:szCs w:val="20"/>
                <w:color w:val="auto"/>
              </w:rPr>
            </w:pPr>
            <w:r>
              <w:rPr>
                <w:rFonts w:ascii="Arial" w:cs="Arial" w:eastAsia="Arial" w:hAnsi="Arial"/>
                <w:sz w:val="14"/>
                <w:szCs w:val="14"/>
                <w:i w:val="1"/>
                <w:iCs w:val="1"/>
                <w:color w:val="auto"/>
                <w:w w:val="92"/>
              </w:rPr>
              <w:t>(in thousands)</w:t>
            </w:r>
          </w:p>
        </w:tc>
        <w:tc>
          <w:tcPr>
            <w:tcW w:w="900" w:type="dxa"/>
            <w:vAlign w:val="bottom"/>
          </w:tcPr>
          <w:p>
            <w:pPr>
              <w:spacing w:after="0"/>
              <w:rPr>
                <w:sz w:val="18"/>
                <w:szCs w:val="18"/>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(92,412)</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from 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100,172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7,819</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20,422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25,316</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Amortization of debt discount and consumer loan premium, net</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6,574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6,099</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Consumer loan loss provision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18,652</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(5,742)</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Impairment of goodwill</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10,550</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Amortization of deferred financing costs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1,318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1,213</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1,348</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Loss on sale or disposal of assets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641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956</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Stock compensation expense (benefit)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3,206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(1,319)</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Income from investment in unconsolidated affiliate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(5,626)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(338)</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Changes in operating assets and liabilities, net of business acquisitions: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Service charges and fees receivable</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1,838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5,329</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Inventory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926</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Prepaid expenses, other current assets and other assets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(1,038)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(5,124)</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 and other, deferred gains and other long-term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(13,029)</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Customer layaway deposits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781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1,127</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Restricted cash</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Income taxes receivable</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45,499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17,459</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of restructuring charges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(3,668)</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Dividends from unconsolidated affiliate</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2,197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4,842</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 xml:space="preserve">Net cash provided by operating activities </w:t>
            </w:r>
            <w:r>
              <w:rPr>
                <w:rFonts w:ascii="Arial" w:cs="Arial" w:eastAsia="Arial" w:hAnsi="Arial"/>
                <w:sz w:val="18"/>
                <w:szCs w:val="18"/>
                <w:color w:val="auto"/>
              </w:rPr>
              <w:t>—</w:t>
            </w:r>
            <w:r>
              <w:rPr>
                <w:rFonts w:ascii="Arial" w:cs="Arial" w:eastAsia="Arial" w:hAnsi="Arial"/>
                <w:sz w:val="16"/>
                <w:szCs w:val="16"/>
                <w:color w:val="auto"/>
              </w:rPr>
              <w:t xml:space="preserve"> continuing operations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47,011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71,835</w:t>
            </w:r>
          </w:p>
        </w:tc>
      </w:tr>
      <w:tr>
        <w:trPr>
          <w:trHeight w:val="243"/>
        </w:trPr>
        <w:tc>
          <w:tcPr>
            <w:tcW w:w="8580" w:type="dxa"/>
            <w:vAlign w:val="bottom"/>
          </w:tcPr>
          <w:p>
            <w:pPr>
              <w:ind w:left="820"/>
              <w:spacing w:after="0"/>
              <w:rPr>
                <w:sz w:val="20"/>
                <w:szCs w:val="20"/>
                <w:color w:val="auto"/>
              </w:rPr>
            </w:pPr>
            <w:r>
              <w:rPr>
                <w:rFonts w:ascii="Arial" w:cs="Arial" w:eastAsia="Arial" w:hAnsi="Arial"/>
                <w:sz w:val="16"/>
                <w:szCs w:val="16"/>
                <w:color w:val="auto"/>
              </w:rPr>
              <w:t xml:space="preserve">Net cash provided by (used in) operating activities </w:t>
            </w:r>
            <w:r>
              <w:rPr>
                <w:rFonts w:ascii="Arial" w:cs="Arial" w:eastAsia="Arial" w:hAnsi="Arial"/>
                <w:sz w:val="18"/>
                <w:szCs w:val="18"/>
                <w:color w:val="auto"/>
              </w:rPr>
              <w:t>—</w:t>
            </w:r>
            <w:r>
              <w:rPr>
                <w:rFonts w:ascii="Arial" w:cs="Arial" w:eastAsia="Arial" w:hAnsi="Arial"/>
                <w:sz w:val="16"/>
                <w:szCs w:val="16"/>
                <w:color w:val="auto"/>
              </w:rPr>
              <w:t xml:space="preserve"> discontinued operations*</w:t>
            </w:r>
          </w:p>
        </w:tc>
        <w:tc>
          <w:tcPr>
            <w:tcW w:w="320" w:type="dxa"/>
            <w:vAlign w:val="bottom"/>
          </w:tcPr>
          <w:p>
            <w:pPr>
              <w:spacing w:after="0"/>
              <w:rPr>
                <w:sz w:val="21"/>
                <w:szCs w:val="21"/>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10,926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(21,523)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Loans made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(469,133)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(575,038)</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Loans repaid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291,704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409,793</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Recovery of pawn loan principal through sale of forfeited collateral</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173,710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191,170</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Additions to 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(21,914)</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Acquisitions, net of cash acquired</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(6,000)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(4,120)</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in unconsolidated affiliate</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(12,140)</w:t>
            </w:r>
          </w:p>
        </w:tc>
      </w:tr>
      <w:tr>
        <w:trPr>
          <w:trHeight w:val="223"/>
        </w:trPr>
        <w:tc>
          <w:tcPr>
            <w:tcW w:w="8580" w:type="dxa"/>
            <w:vAlign w:val="bottom"/>
          </w:tcPr>
          <w:p>
            <w:pPr>
              <w:ind w:left="820"/>
              <w:spacing w:after="0"/>
              <w:rPr>
                <w:sz w:val="20"/>
                <w:szCs w:val="20"/>
                <w:color w:val="auto"/>
              </w:rPr>
            </w:pPr>
            <w:r>
              <w:rPr>
                <w:rFonts w:ascii="Arial" w:cs="Arial" w:eastAsia="Arial" w:hAnsi="Arial"/>
                <w:sz w:val="16"/>
                <w:szCs w:val="16"/>
                <w:color w:val="auto"/>
              </w:rPr>
              <w:t xml:space="preserve">Net cash used in investing activities </w:t>
            </w:r>
            <w:r>
              <w:rPr>
                <w:rFonts w:ascii="Arial" w:cs="Arial" w:eastAsia="Arial" w:hAnsi="Arial"/>
                <w:sz w:val="18"/>
                <w:szCs w:val="18"/>
                <w:color w:val="auto"/>
              </w:rPr>
              <w:t>—</w:t>
            </w:r>
            <w:r>
              <w:rPr>
                <w:rFonts w:ascii="Arial" w:cs="Arial" w:eastAsia="Arial" w:hAnsi="Arial"/>
                <w:sz w:val="16"/>
                <w:szCs w:val="16"/>
                <w:color w:val="auto"/>
              </w:rPr>
              <w:t xml:space="preserve"> continuing operations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(16,127)</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(12,249)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 xml:space="preserve">Net cash provided by (used in) investing activities </w:t>
            </w:r>
            <w:r>
              <w:rPr>
                <w:rFonts w:ascii="Arial" w:cs="Arial" w:eastAsia="Arial" w:hAnsi="Arial"/>
                <w:sz w:val="18"/>
                <w:szCs w:val="18"/>
                <w:color w:val="auto"/>
              </w:rPr>
              <w:t>—</w:t>
            </w:r>
            <w:r>
              <w:rPr>
                <w:rFonts w:ascii="Arial" w:cs="Arial" w:eastAsia="Arial" w:hAnsi="Arial"/>
                <w:sz w:val="16"/>
                <w:szCs w:val="16"/>
                <w:color w:val="auto"/>
              </w:rPr>
              <w:t xml:space="preserve"> 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4,590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(1,894)</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Payout of deferred consideration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(6,000)</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Repurchase of redeemable common stock issued due to acquisitions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(11,750)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 of subsidiary shares from noncontrolling interest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(2,774)</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Payments on capital lease obligations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(355)</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 xml:space="preserve">Net cash used in financing activities </w:t>
            </w:r>
            <w:r>
              <w:rPr>
                <w:rFonts w:ascii="Arial" w:cs="Arial" w:eastAsia="Arial" w:hAnsi="Arial"/>
                <w:sz w:val="18"/>
                <w:szCs w:val="18"/>
                <w:color w:val="auto"/>
              </w:rPr>
              <w:t>—</w:t>
            </w:r>
            <w:r>
              <w:rPr>
                <w:rFonts w:ascii="Arial" w:cs="Arial" w:eastAsia="Arial" w:hAnsi="Arial"/>
                <w:sz w:val="16"/>
                <w:szCs w:val="16"/>
                <w:color w:val="auto"/>
              </w:rPr>
              <w:t xml:space="preserve"> continuing operations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(26,673)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(9,129)</w:t>
            </w:r>
          </w:p>
        </w:tc>
      </w:tr>
      <w:tr>
        <w:trPr>
          <w:trHeight w:val="243"/>
        </w:trPr>
        <w:tc>
          <w:tcPr>
            <w:tcW w:w="8580" w:type="dxa"/>
            <w:vAlign w:val="bottom"/>
          </w:tcPr>
          <w:p>
            <w:pPr>
              <w:ind w:left="820"/>
              <w:spacing w:after="0"/>
              <w:rPr>
                <w:sz w:val="20"/>
                <w:szCs w:val="20"/>
                <w:color w:val="auto"/>
              </w:rPr>
            </w:pPr>
            <w:r>
              <w:rPr>
                <w:rFonts w:ascii="Arial" w:cs="Arial" w:eastAsia="Arial" w:hAnsi="Arial"/>
                <w:sz w:val="16"/>
                <w:szCs w:val="16"/>
                <w:color w:val="auto"/>
              </w:rPr>
              <w:t xml:space="preserve">Net cash (used in) provided by financing activities </w:t>
            </w:r>
            <w:r>
              <w:rPr>
                <w:rFonts w:ascii="Arial" w:cs="Arial" w:eastAsia="Arial" w:hAnsi="Arial"/>
                <w:sz w:val="18"/>
                <w:szCs w:val="18"/>
                <w:color w:val="auto"/>
              </w:rPr>
              <w:t>—</w:t>
            </w:r>
            <w:r>
              <w:rPr>
                <w:rFonts w:ascii="Arial" w:cs="Arial" w:eastAsia="Arial" w:hAnsi="Arial"/>
                <w:sz w:val="16"/>
                <w:szCs w:val="16"/>
                <w:color w:val="auto"/>
              </w:rPr>
              <w:t xml:space="preserve"> discontinued operations*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(41,237)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37,713</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(6,506)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(5,691)</w:t>
            </w: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(28,016)</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59,062</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 excluding held for sale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56,244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52,294</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Cash and cash equivalents held for sale at beginning of period</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2,880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3,031</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31,108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114,387</w:t>
            </w:r>
          </w:p>
        </w:tc>
      </w:tr>
      <w:tr>
        <w:trPr>
          <w:trHeight w:val="33"/>
        </w:trPr>
        <w:tc>
          <w:tcPr>
            <w:tcW w:w="8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936" w:right="239" w:bottom="516"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7</w:t>
      </w:r>
    </w:p>
    <w:p>
      <w:pPr>
        <w:sectPr>
          <w:pgSz w:w="11900" w:h="16838" w:orient="portrait"/>
          <w:cols w:equalWidth="0" w:num="1">
            <w:col w:w="11420"/>
          </w:cols>
          <w:pgMar w:left="240" w:top="936" w:right="239" w:bottom="516"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580" w:type="dxa"/>
            <w:vAlign w:val="bottom"/>
          </w:tcPr>
          <w:p>
            <w:pPr>
              <w:ind w:left="40"/>
              <w:spacing w:after="0"/>
              <w:rPr>
                <w:sz w:val="20"/>
                <w:szCs w:val="20"/>
                <w:color w:val="auto"/>
              </w:rPr>
            </w:pPr>
            <w:r>
              <w:rPr>
                <w:rFonts w:ascii="Arial" w:cs="Arial" w:eastAsia="Arial" w:hAnsi="Arial"/>
                <w:sz w:val="16"/>
                <w:szCs w:val="16"/>
                <w:color w:val="auto"/>
              </w:rPr>
              <w:t>Less: cash and cash equivalents held for sale at end of period</w:t>
            </w: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(1,728)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(982)</w:t>
            </w:r>
          </w:p>
        </w:tc>
      </w:tr>
      <w:tr>
        <w:trPr>
          <w:trHeight w:val="33"/>
        </w:trPr>
        <w:tc>
          <w:tcPr>
            <w:tcW w:w="85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 excluding held for sale</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29,380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113,405</w:t>
            </w:r>
          </w:p>
        </w:tc>
      </w:tr>
      <w:tr>
        <w:trPr>
          <w:trHeight w:val="20"/>
        </w:trPr>
        <w:tc>
          <w:tcPr>
            <w:tcW w:w="8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71"/>
        </w:trPr>
        <w:tc>
          <w:tcPr>
            <w:tcW w:w="8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Pawn loans forfeited and transferred to inventory</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179,394</w:t>
            </w:r>
          </w:p>
        </w:tc>
        <w:tc>
          <w:tcPr>
            <w:tcW w:w="10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170,185</w:t>
            </w: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Issuance of common stock, subject to possible redemption, due to acquisition</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11,696</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Deferred consideration</w:t>
            </w:r>
          </w:p>
        </w:tc>
        <w:tc>
          <w:tcPr>
            <w:tcW w:w="4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124</w:t>
            </w: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8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Payable to purchase additional shares of noncontrolling interest</w:t>
            </w:r>
          </w:p>
        </w:tc>
        <w:tc>
          <w:tcPr>
            <w:tcW w:w="4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322</w:t>
            </w:r>
          </w:p>
        </w:tc>
      </w:tr>
      <w:tr>
        <w:trPr>
          <w:trHeight w:val="33"/>
        </w:trPr>
        <w:tc>
          <w:tcPr>
            <w:tcW w:w="85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8</w:t>
      </w:r>
    </w:p>
    <w:p>
      <w:pPr>
        <w:sectPr>
          <w:pgSz w:w="11900" w:h="16838" w:orient="portrait"/>
          <w:cols w:equalWidth="0" w:num="1">
            <w:col w:w="11420"/>
          </w:cols>
          <w:pgMar w:left="240" w:top="936"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SELECTED OPERATING SEGMENT RESULTS (UNAUDITED)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Pawn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from continuing operations for the U.S. Pawn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65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Percentage Change</w:t>
            </w:r>
          </w:p>
        </w:tc>
      </w:tr>
      <w:tr>
        <w:trPr>
          <w:trHeight w:val="385"/>
        </w:trPr>
        <w:tc>
          <w:tcPr>
            <w:tcW w:w="6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6"/>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54,395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49,609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10 %</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324"/>
        </w:trPr>
        <w:tc>
          <w:tcPr>
            <w:tcW w:w="65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79,826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77,126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29,240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27,043</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37"/>
        </w:trPr>
        <w:tc>
          <w:tcPr>
            <w:tcW w:w="654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1600" w:type="dxa"/>
            <w:vAlign w:val="bottom"/>
          </w:tcPr>
          <w:p>
            <w:pPr>
              <w:jc w:val="right"/>
              <w:ind w:right="153"/>
              <w:spacing w:after="0"/>
              <w:rPr>
                <w:sz w:val="20"/>
                <w:szCs w:val="20"/>
                <w:color w:val="auto"/>
              </w:rPr>
            </w:pPr>
            <w:r>
              <w:rPr>
                <w:rFonts w:ascii="Arial" w:cs="Arial" w:eastAsia="Arial" w:hAnsi="Arial"/>
                <w:sz w:val="18"/>
                <w:szCs w:val="18"/>
                <w:color w:val="auto"/>
              </w:rPr>
              <w:t>200bps</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324"/>
        </w:trPr>
        <w:tc>
          <w:tcPr>
            <w:tcW w:w="65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10,918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9,614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2,073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1,966</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37"/>
        </w:trPr>
        <w:tc>
          <w:tcPr>
            <w:tcW w:w="654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600" w:type="dxa"/>
            <w:vAlign w:val="bottom"/>
          </w:tcPr>
          <w:p>
            <w:pPr>
              <w:jc w:val="right"/>
              <w:ind w:right="153"/>
              <w:spacing w:after="0"/>
              <w:rPr>
                <w:sz w:val="20"/>
                <w:szCs w:val="20"/>
                <w:color w:val="auto"/>
              </w:rPr>
            </w:pPr>
            <w:r>
              <w:rPr>
                <w:rFonts w:ascii="Arial" w:cs="Arial" w:eastAsia="Arial" w:hAnsi="Arial"/>
                <w:sz w:val="18"/>
                <w:szCs w:val="18"/>
                <w:color w:val="auto"/>
              </w:rPr>
              <w:t>(100)bps</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324"/>
        </w:trPr>
        <w:tc>
          <w:tcPr>
            <w:tcW w:w="65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162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6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85,747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78,780</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318"/>
        </w:trPr>
        <w:tc>
          <w:tcPr>
            <w:tcW w:w="65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62,733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58,902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7 %</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2,888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3,707</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7"/>
        </w:trPr>
        <w:tc>
          <w:tcPr>
            <w:tcW w:w="654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20,126</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16,171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24 %</w:t>
            </w:r>
          </w:p>
        </w:tc>
      </w:tr>
      <w:tr>
        <w:trPr>
          <w:trHeight w:val="27"/>
        </w:trPr>
        <w:tc>
          <w:tcPr>
            <w:tcW w:w="6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318"/>
        </w:trPr>
        <w:tc>
          <w:tcPr>
            <w:tcW w:w="65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 segment (income) expenses</w:t>
            </w:r>
          </w:p>
        </w:tc>
        <w:tc>
          <w:tcPr>
            <w:tcW w:w="3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65</w:t>
            </w:r>
          </w:p>
        </w:tc>
        <w:tc>
          <w:tcPr>
            <w:tcW w:w="1700" w:type="dxa"/>
            <w:vAlign w:val="bottom"/>
            <w:gridSpan w:val="2"/>
          </w:tcPr>
          <w:p>
            <w:pPr>
              <w:jc w:val="right"/>
              <w:ind w:right="153"/>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6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20,178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16,106</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0"/>
        </w:trPr>
        <w:tc>
          <w:tcPr>
            <w:tcW w:w="6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11"/>
        </w:trPr>
        <w:tc>
          <w:tcPr>
            <w:tcW w:w="6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Net earning assets — continuing operations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257,396</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223,941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15 %</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turnover — general merchandise (b)</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Inventory turnover — jewelry (b)</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monthly ending pawn loan balance per store (a)</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235</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Average annual yield on pawn loans outstanding</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1600" w:type="dxa"/>
            <w:vAlign w:val="bottom"/>
          </w:tcPr>
          <w:p>
            <w:pPr>
              <w:jc w:val="right"/>
              <w:ind w:right="153"/>
              <w:spacing w:after="0"/>
              <w:rPr>
                <w:sz w:val="20"/>
                <w:szCs w:val="20"/>
                <w:color w:val="auto"/>
              </w:rPr>
            </w:pPr>
            <w:r>
              <w:rPr>
                <w:rFonts w:ascii="Arial" w:cs="Arial" w:eastAsia="Arial" w:hAnsi="Arial"/>
                <w:sz w:val="18"/>
                <w:szCs w:val="18"/>
                <w:color w:val="auto"/>
              </w:rPr>
              <w:t>(300)bps</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6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Pawn loan redemption rate (c)</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620" w:hanging="585"/>
        <w:spacing w:after="0"/>
        <w:tabs>
          <w:tab w:leader="none" w:pos="6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42" w:lineRule="exact"/>
        <w:rPr>
          <w:sz w:val="20"/>
          <w:szCs w:val="20"/>
          <w:color w:val="auto"/>
        </w:rPr>
      </w:pPr>
    </w:p>
    <w:p>
      <w:pPr>
        <w:ind w:left="620" w:hanging="585"/>
        <w:spacing w:after="0"/>
        <w:tabs>
          <w:tab w:leader="none" w:pos="6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 averages during the applicable period.</w:t>
      </w:r>
    </w:p>
    <w:p>
      <w:pPr>
        <w:spacing w:after="0" w:line="41" w:lineRule="exact"/>
        <w:rPr>
          <w:rFonts w:ascii="Arial" w:cs="Arial" w:eastAsia="Arial" w:hAnsi="Arial"/>
          <w:sz w:val="14"/>
          <w:szCs w:val="14"/>
          <w:color w:val="auto"/>
        </w:rPr>
      </w:pPr>
    </w:p>
    <w:p>
      <w:pPr>
        <w:ind w:left="620" w:hanging="585"/>
        <w:spacing w:after="0"/>
        <w:tabs>
          <w:tab w:leader="none" w:pos="6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Calculation of inventory turnover excludes the effects of scrapping.</w:t>
      </w:r>
    </w:p>
    <w:p>
      <w:pPr>
        <w:spacing w:after="0" w:line="41" w:lineRule="exact"/>
        <w:rPr>
          <w:rFonts w:ascii="Arial" w:cs="Arial" w:eastAsia="Arial" w:hAnsi="Arial"/>
          <w:sz w:val="14"/>
          <w:szCs w:val="14"/>
          <w:color w:val="auto"/>
        </w:rPr>
      </w:pPr>
    </w:p>
    <w:p>
      <w:pPr>
        <w:ind w:left="620" w:hanging="585"/>
        <w:spacing w:after="0"/>
        <w:tabs>
          <w:tab w:leader="none" w:pos="6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pawn loan redemption rate represents the percentage of loans made that are repaid, renewed or extended.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9</w:t>
      </w:r>
    </w:p>
    <w:p>
      <w:pPr>
        <w:sectPr>
          <w:pgSz w:w="11900" w:h="16838" w:orient="portrait"/>
          <w:cols w:equalWidth="0" w:num="1">
            <w:col w:w="11420"/>
          </w:cols>
          <w:pgMar w:left="240" w:top="74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Mexico Pawn</w:t>
      </w:r>
    </w:p>
    <w:p>
      <w:pPr>
        <w:spacing w:after="0" w:line="17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following table presents selected summary financial data from continuing operations for the Mexico Pawn segment, including constant currency results, after translation to U.S. dollars from its functional currency of the Mexican peso. See “Non-GAAP Financial Information”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972"/>
              <w:spacing w:after="0"/>
              <w:rPr>
                <w:sz w:val="20"/>
                <w:szCs w:val="20"/>
                <w:color w:val="auto"/>
              </w:rPr>
            </w:pPr>
            <w:r>
              <w:rPr>
                <w:rFonts w:ascii="Arial" w:cs="Arial" w:eastAsia="Arial" w:hAnsi="Arial"/>
                <w:sz w:val="14"/>
                <w:szCs w:val="14"/>
                <w:b w:val="1"/>
                <w:bCs w:val="1"/>
                <w:color w:val="auto"/>
                <w:w w:val="94"/>
              </w:rPr>
              <w:t>Three Months Ended June 30,</w:t>
            </w: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2016 (GAAP)</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2015 (GAAP)</w:t>
            </w:r>
          </w:p>
        </w:tc>
        <w:tc>
          <w:tcPr>
            <w:tcW w:w="100" w:type="dxa"/>
            <w:vAlign w:val="bottom"/>
          </w:tcPr>
          <w:p>
            <w:pPr>
              <w:spacing w:after="0"/>
              <w:rPr>
                <w:sz w:val="13"/>
                <w:szCs w:val="13"/>
                <w:color w:val="auto"/>
              </w:rPr>
            </w:pPr>
          </w:p>
        </w:tc>
        <w:tc>
          <w:tcPr>
            <w:tcW w:w="15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Percentage Change</w:t>
            </w:r>
          </w:p>
        </w:tc>
        <w:tc>
          <w:tcPr>
            <w:tcW w:w="120" w:type="dxa"/>
            <w:vAlign w:val="bottom"/>
          </w:tcPr>
          <w:p>
            <w:pPr>
              <w:spacing w:after="0"/>
              <w:rPr>
                <w:sz w:val="13"/>
                <w:szCs w:val="13"/>
                <w:color w:val="auto"/>
              </w:rPr>
            </w:pPr>
          </w:p>
        </w:tc>
        <w:tc>
          <w:tcPr>
            <w:tcW w:w="1280" w:type="dxa"/>
            <w:vAlign w:val="bottom"/>
          </w:tcPr>
          <w:p>
            <w:pPr>
              <w:jc w:val="center"/>
              <w:ind w:right="32"/>
              <w:spacing w:after="0" w:line="153" w:lineRule="exact"/>
              <w:rPr>
                <w:sz w:val="20"/>
                <w:szCs w:val="20"/>
                <w:color w:val="auto"/>
              </w:rPr>
            </w:pPr>
            <w:r>
              <w:rPr>
                <w:rFonts w:ascii="Arial" w:cs="Arial" w:eastAsia="Arial" w:hAnsi="Arial"/>
                <w:sz w:val="14"/>
                <w:szCs w:val="14"/>
                <w:b w:val="1"/>
                <w:bCs w:val="1"/>
                <w:color w:val="auto"/>
                <w:w w:val="91"/>
              </w:rPr>
              <w:t>2016 (Constant</w:t>
            </w:r>
          </w:p>
        </w:tc>
        <w:tc>
          <w:tcPr>
            <w:tcW w:w="120" w:type="dxa"/>
            <w:vAlign w:val="bottom"/>
          </w:tcPr>
          <w:p>
            <w:pPr>
              <w:spacing w:after="0"/>
              <w:rPr>
                <w:sz w:val="13"/>
                <w:szCs w:val="13"/>
                <w:color w:val="auto"/>
              </w:rPr>
            </w:pPr>
          </w:p>
        </w:tc>
        <w:tc>
          <w:tcPr>
            <w:tcW w:w="1760" w:type="dxa"/>
            <w:vAlign w:val="bottom"/>
          </w:tcPr>
          <w:p>
            <w:pPr>
              <w:jc w:val="right"/>
              <w:ind w:right="216"/>
              <w:spacing w:after="0" w:line="153" w:lineRule="exact"/>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(GAAP)</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6"/>
              </w:rPr>
              <w:t>Currency)</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385"/>
        </w:trPr>
        <w:tc>
          <w:tcPr>
            <w:tcW w:w="3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gridSpan w:val="4"/>
          </w:tcPr>
          <w:p>
            <w:pPr>
              <w:jc w:val="right"/>
              <w:ind w:right="731"/>
              <w:spacing w:after="0"/>
              <w:rPr>
                <w:sz w:val="20"/>
                <w:szCs w:val="20"/>
                <w:color w:val="auto"/>
              </w:rPr>
            </w:pPr>
            <w:r>
              <w:rPr>
                <w:rFonts w:ascii="Arial" w:cs="Arial" w:eastAsia="Arial" w:hAnsi="Arial"/>
                <w:sz w:val="14"/>
                <w:szCs w:val="14"/>
                <w:i w:val="1"/>
                <w:iCs w:val="1"/>
                <w:color w:val="auto"/>
              </w:rPr>
              <w:t>(in USD thousands)</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center"/>
              <w:ind w:right="32"/>
              <w:spacing w:after="0"/>
              <w:rPr>
                <w:sz w:val="20"/>
                <w:szCs w:val="20"/>
                <w:color w:val="auto"/>
              </w:rPr>
            </w:pPr>
            <w:r>
              <w:rPr>
                <w:rFonts w:ascii="Arial" w:cs="Arial" w:eastAsia="Arial" w:hAnsi="Arial"/>
                <w:sz w:val="14"/>
                <w:szCs w:val="14"/>
                <w:i w:val="1"/>
                <w:iCs w:val="1"/>
                <w:color w:val="auto"/>
                <w:w w:val="94"/>
              </w:rPr>
              <w:t>(in USD thousands)</w:t>
            </w: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8,078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7,990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9,556</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220" w:type="dxa"/>
            <w:vAlign w:val="bottom"/>
          </w:tcPr>
          <w:p>
            <w:pPr>
              <w:spacing w:after="0"/>
              <w:rPr>
                <w:sz w:val="21"/>
                <w:szCs w:val="21"/>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14,187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15,447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16,783</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4,633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4,420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5,481</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37"/>
        </w:trPr>
        <w:tc>
          <w:tcPr>
            <w:tcW w:w="366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8"/>
                <w:szCs w:val="18"/>
                <w:color w:val="auto"/>
              </w:rPr>
              <w:t>400bps</w:t>
            </w: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1760" w:type="dxa"/>
            <w:vAlign w:val="bottom"/>
          </w:tcPr>
          <w:p>
            <w:pPr>
              <w:jc w:val="right"/>
              <w:ind w:right="156"/>
              <w:spacing w:after="0"/>
              <w:rPr>
                <w:sz w:val="20"/>
                <w:szCs w:val="20"/>
                <w:color w:val="auto"/>
              </w:rPr>
            </w:pPr>
            <w:r>
              <w:rPr>
                <w:rFonts w:ascii="Arial" w:cs="Arial" w:eastAsia="Arial" w:hAnsi="Arial"/>
                <w:sz w:val="18"/>
                <w:szCs w:val="18"/>
                <w:color w:val="auto"/>
              </w:rPr>
              <w:t>400bps</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220" w:type="dxa"/>
            <w:vAlign w:val="bottom"/>
          </w:tcPr>
          <w:p>
            <w:pPr>
              <w:spacing w:after="0"/>
              <w:rPr>
                <w:sz w:val="21"/>
                <w:szCs w:val="21"/>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886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369</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w:t>
            </w:r>
          </w:p>
        </w:tc>
        <w:tc>
          <w:tcPr>
            <w:tcW w:w="1560" w:type="dxa"/>
            <w:vAlign w:val="bottom"/>
            <w:tcBorders>
              <w:bottom w:val="single" w:sz="8" w:color="CCEEFF"/>
            </w:tcBorders>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56</w:t>
            </w:r>
          </w:p>
        </w:tc>
        <w:tc>
          <w:tcPr>
            <w:tcW w:w="188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500"/>
              <w:spacing w:after="0"/>
              <w:rPr>
                <w:sz w:val="20"/>
                <w:szCs w:val="20"/>
                <w:color w:val="auto"/>
              </w:rPr>
            </w:pPr>
            <w:r>
              <w:rPr>
                <w:rFonts w:ascii="Arial" w:cs="Arial" w:eastAsia="Arial" w:hAnsi="Arial"/>
                <w:sz w:val="18"/>
                <w:szCs w:val="18"/>
                <w:color w:val="auto"/>
                <w:w w:val="96"/>
              </w:rPr>
              <w:t>Gross margin on jewelry scrapping sales</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8"/>
                <w:szCs w:val="18"/>
                <w:color w:val="auto"/>
              </w:rPr>
              <w:t>1,300bps</w:t>
            </w: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760" w:type="dxa"/>
            <w:vAlign w:val="bottom"/>
          </w:tcPr>
          <w:p>
            <w:pPr>
              <w:jc w:val="right"/>
              <w:ind w:right="156"/>
              <w:spacing w:after="0"/>
              <w:rPr>
                <w:sz w:val="20"/>
                <w:szCs w:val="20"/>
                <w:color w:val="auto"/>
              </w:rPr>
            </w:pPr>
            <w:r>
              <w:rPr>
                <w:rFonts w:ascii="Arial" w:cs="Arial" w:eastAsia="Arial" w:hAnsi="Arial"/>
                <w:sz w:val="18"/>
                <w:szCs w:val="18"/>
                <w:color w:val="auto"/>
              </w:rPr>
              <w:t>1,300bps</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220" w:type="dxa"/>
            <w:vAlign w:val="bottom"/>
          </w:tcPr>
          <w:p>
            <w:pPr>
              <w:spacing w:after="0"/>
              <w:rPr>
                <w:sz w:val="21"/>
                <w:szCs w:val="21"/>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274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186</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12,915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12,703</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15,279</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91"/>
        </w:trPr>
        <w:tc>
          <w:tcPr>
            <w:tcW w:w="36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220" w:type="dxa"/>
            <w:vAlign w:val="bottom"/>
          </w:tcPr>
          <w:p>
            <w:pPr>
              <w:spacing w:after="0"/>
              <w:rPr>
                <w:sz w:val="21"/>
                <w:szCs w:val="21"/>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8,744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10,801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10,344</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1,097</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852</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366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3,451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805</w:t>
            </w:r>
          </w:p>
        </w:tc>
        <w:tc>
          <w:tcPr>
            <w:tcW w:w="1560" w:type="dxa"/>
            <w:vAlign w:val="bottom"/>
            <w:gridSpan w:val="2"/>
          </w:tcPr>
          <w:p>
            <w:pPr>
              <w:jc w:val="right"/>
              <w:ind w:right="17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4,083</w:t>
            </w:r>
          </w:p>
        </w:tc>
        <w:tc>
          <w:tcPr>
            <w:tcW w:w="1880" w:type="dxa"/>
            <w:vAlign w:val="bottom"/>
            <w:gridSpan w:val="2"/>
          </w:tcPr>
          <w:p>
            <w:pPr>
              <w:jc w:val="right"/>
              <w:ind w:right="1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Other segment expenses (income) (a)</w:t>
            </w:r>
          </w:p>
        </w:tc>
        <w:tc>
          <w:tcPr>
            <w:tcW w:w="220" w:type="dxa"/>
            <w:vAlign w:val="bottom"/>
          </w:tcPr>
          <w:p>
            <w:pPr>
              <w:spacing w:after="0"/>
              <w:rPr>
                <w:sz w:val="21"/>
                <w:szCs w:val="21"/>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336</w:t>
            </w:r>
          </w:p>
        </w:tc>
        <w:tc>
          <w:tcPr>
            <w:tcW w:w="1560" w:type="dxa"/>
            <w:vAlign w:val="bottom"/>
            <w:gridSpan w:val="2"/>
          </w:tcPr>
          <w:p>
            <w:pPr>
              <w:jc w:val="right"/>
              <w:ind w:right="17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880" w:type="dxa"/>
            <w:vAlign w:val="bottom"/>
            <w:gridSpan w:val="2"/>
          </w:tcPr>
          <w:p>
            <w:pPr>
              <w:jc w:val="right"/>
              <w:ind w:right="1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2,703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469</w:t>
            </w:r>
          </w:p>
        </w:tc>
        <w:tc>
          <w:tcPr>
            <w:tcW w:w="1560" w:type="dxa"/>
            <w:vAlign w:val="bottom"/>
            <w:tcBorders>
              <w:bottom w:val="single" w:sz="8" w:color="CCEEFF"/>
            </w:tcBorders>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4,095</w:t>
            </w:r>
          </w:p>
        </w:tc>
        <w:tc>
          <w:tcPr>
            <w:tcW w:w="188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w w:val="96"/>
              </w:rPr>
              <w:t>Net earning assets —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33,214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35,464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39,349</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turnover (b)</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3660" w:type="dxa"/>
            <w:vAlign w:val="bottom"/>
          </w:tcPr>
          <w:p>
            <w:pPr>
              <w:ind w:left="280"/>
              <w:spacing w:after="0"/>
              <w:rPr>
                <w:sz w:val="20"/>
                <w:szCs w:val="20"/>
                <w:color w:val="auto"/>
              </w:rPr>
            </w:pPr>
            <w:r>
              <w:rPr>
                <w:rFonts w:ascii="Arial" w:cs="Arial" w:eastAsia="Arial" w:hAnsi="Arial"/>
                <w:sz w:val="18"/>
                <w:szCs w:val="18"/>
                <w:color w:val="auto"/>
                <w:w w:val="96"/>
              </w:rPr>
              <w:t>Average monthly ending pawn loan balance</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80"/>
              <w:spacing w:after="0"/>
              <w:rPr>
                <w:sz w:val="20"/>
                <w:szCs w:val="20"/>
                <w:color w:val="auto"/>
              </w:rPr>
            </w:pPr>
            <w:r>
              <w:rPr>
                <w:rFonts w:ascii="Arial" w:cs="Arial" w:eastAsia="Arial" w:hAnsi="Arial"/>
                <w:sz w:val="18"/>
                <w:szCs w:val="18"/>
                <w:color w:val="auto"/>
              </w:rPr>
              <w:t>per store (c)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70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84</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Average annual yield on pawn loans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outstanding</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(200)bps</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Pawn loan redemption rate (d)</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8"/>
                <w:szCs w:val="18"/>
                <w:color w:val="auto"/>
              </w:rPr>
              <w:t>100bps</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760" w:type="dxa"/>
            <w:vAlign w:val="bottom"/>
          </w:tcPr>
          <w:p>
            <w:pPr>
              <w:jc w:val="right"/>
              <w:ind w:right="156"/>
              <w:spacing w:after="0"/>
              <w:rPr>
                <w:sz w:val="20"/>
                <w:szCs w:val="20"/>
                <w:color w:val="auto"/>
              </w:rPr>
            </w:pPr>
            <w:r>
              <w:rPr>
                <w:rFonts w:ascii="Arial" w:cs="Arial" w:eastAsia="Arial" w:hAnsi="Arial"/>
                <w:sz w:val="18"/>
                <w:szCs w:val="18"/>
                <w:color w:val="auto"/>
              </w:rPr>
              <w:t>100bps</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80" w:hanging="345"/>
        <w:spacing w:after="0"/>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42" w:lineRule="exact"/>
        <w:rPr>
          <w:sz w:val="20"/>
          <w:szCs w:val="20"/>
          <w:color w:val="auto"/>
        </w:rPr>
      </w:pPr>
    </w:p>
    <w:p>
      <w:pPr>
        <w:ind w:left="380" w:right="380" w:hanging="345"/>
        <w:spacing w:after="0" w:line="253" w:lineRule="auto"/>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three-months ended June 30, 2016 constant currency balance excludes $0.8 million of net foreign currency transaction losses resulting from movement in exchange rates. The three-months ended June 30, 2015 includes net foreign currency transaction losses totaling $0.4 million that are not excluded from the above results.</w:t>
      </w:r>
    </w:p>
    <w:p>
      <w:pPr>
        <w:spacing w:after="0" w:line="11" w:lineRule="exact"/>
        <w:rPr>
          <w:rFonts w:ascii="Arial" w:cs="Arial" w:eastAsia="Arial" w:hAnsi="Arial"/>
          <w:sz w:val="14"/>
          <w:szCs w:val="14"/>
          <w:color w:val="auto"/>
        </w:rPr>
      </w:pPr>
    </w:p>
    <w:p>
      <w:pPr>
        <w:ind w:left="380" w:hanging="345"/>
        <w:spacing w:after="0"/>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Calculation of inventory turnover excludes the effects of scrapping.</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 averages during the applicable period.</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pawn loan redemption rate represents the percentage of loans made that are repaid, renewed or extended.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10</w:t>
      </w:r>
    </w:p>
    <w:p>
      <w:pPr>
        <w:sectPr>
          <w:pgSz w:w="11900" w:h="16838" w:orient="portrait"/>
          <w:cols w:equalWidth="0" w:num="1">
            <w:col w:w="11420"/>
          </w:cols>
          <w:pgMar w:left="240" w:top="74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U.S. Pawn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from continuing operations for the U.S. Pawn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Nine Months Ended June 30,</w:t>
            </w:r>
          </w:p>
        </w:tc>
        <w:tc>
          <w:tcPr>
            <w:tcW w:w="120" w:type="dxa"/>
            <w:vAlign w:val="bottom"/>
          </w:tcPr>
          <w:p>
            <w:pPr>
              <w:spacing w:after="0"/>
              <w:rPr>
                <w:sz w:val="16"/>
                <w:szCs w:val="16"/>
                <w:color w:val="auto"/>
              </w:rPr>
            </w:pPr>
          </w:p>
        </w:tc>
        <w:tc>
          <w:tcPr>
            <w:tcW w:w="12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71"/>
        </w:trPr>
        <w:tc>
          <w:tcPr>
            <w:tcW w:w="7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8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7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385"/>
        </w:trPr>
        <w:tc>
          <w:tcPr>
            <w:tcW w:w="7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169,630</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158,961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320" w:type="dxa"/>
            <w:vAlign w:val="bottom"/>
          </w:tcPr>
          <w:p>
            <w:pPr>
              <w:spacing w:after="0"/>
              <w:rPr>
                <w:sz w:val="21"/>
                <w:szCs w:val="21"/>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266,560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259,040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102,272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88,850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7"/>
        </w:trPr>
        <w:tc>
          <w:tcPr>
            <w:tcW w:w="728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1260" w:type="dxa"/>
            <w:vAlign w:val="bottom"/>
          </w:tcPr>
          <w:p>
            <w:pPr>
              <w:jc w:val="right"/>
              <w:ind w:right="156"/>
              <w:spacing w:after="0"/>
              <w:rPr>
                <w:sz w:val="20"/>
                <w:szCs w:val="20"/>
                <w:color w:val="auto"/>
              </w:rPr>
            </w:pPr>
            <w:r>
              <w:rPr>
                <w:rFonts w:ascii="Arial" w:cs="Arial" w:eastAsia="Arial" w:hAnsi="Arial"/>
                <w:sz w:val="18"/>
                <w:szCs w:val="18"/>
                <w:color w:val="auto"/>
              </w:rPr>
              <w:t>400bps</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320" w:type="dxa"/>
            <w:vAlign w:val="bottom"/>
          </w:tcPr>
          <w:p>
            <w:pPr>
              <w:spacing w:after="0"/>
              <w:rPr>
                <w:sz w:val="21"/>
                <w:szCs w:val="21"/>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32,117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44,012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5,084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9,568</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7"/>
        </w:trPr>
        <w:tc>
          <w:tcPr>
            <w:tcW w:w="728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260" w:type="dxa"/>
            <w:vAlign w:val="bottom"/>
          </w:tcPr>
          <w:p>
            <w:pPr>
              <w:jc w:val="right"/>
              <w:ind w:right="156"/>
              <w:spacing w:after="0"/>
              <w:rPr>
                <w:sz w:val="20"/>
                <w:szCs w:val="20"/>
                <w:color w:val="auto"/>
              </w:rPr>
            </w:pPr>
            <w:r>
              <w:rPr>
                <w:rFonts w:ascii="Arial" w:cs="Arial" w:eastAsia="Arial" w:hAnsi="Arial"/>
                <w:sz w:val="18"/>
                <w:szCs w:val="18"/>
                <w:color w:val="auto"/>
              </w:rPr>
              <w:t>(600)bps</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320" w:type="dxa"/>
            <w:vAlign w:val="bottom"/>
          </w:tcPr>
          <w:p>
            <w:pPr>
              <w:spacing w:after="0"/>
              <w:rPr>
                <w:sz w:val="21"/>
                <w:szCs w:val="21"/>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570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277,267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257,949</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324"/>
        </w:trPr>
        <w:tc>
          <w:tcPr>
            <w:tcW w:w="7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320" w:type="dxa"/>
            <w:vAlign w:val="bottom"/>
          </w:tcPr>
          <w:p>
            <w:pPr>
              <w:spacing w:after="0"/>
              <w:rPr>
                <w:sz w:val="21"/>
                <w:szCs w:val="21"/>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187,518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176,329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9,489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10,766</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728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80,260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70,854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7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Other segment expenses</w:t>
            </w:r>
          </w:p>
        </w:tc>
        <w:tc>
          <w:tcPr>
            <w:tcW w:w="320" w:type="dxa"/>
            <w:vAlign w:val="bottom"/>
          </w:tcPr>
          <w:p>
            <w:pPr>
              <w:spacing w:after="0"/>
              <w:rPr>
                <w:sz w:val="21"/>
                <w:szCs w:val="21"/>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64</w:t>
            </w:r>
          </w:p>
        </w:tc>
        <w:tc>
          <w:tcPr>
            <w:tcW w:w="1380" w:type="dxa"/>
            <w:vAlign w:val="bottom"/>
            <w:gridSpan w:val="2"/>
          </w:tcPr>
          <w:p>
            <w:pPr>
              <w:jc w:val="right"/>
              <w:ind w:right="1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78,653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70,790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Average monthly ending pawn loan balance per store (a)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248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annual yield on pawn loans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(100)bps</w:t>
            </w: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Pawn loan redemption rate (b)</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1260" w:type="dxa"/>
            <w:vAlign w:val="bottom"/>
          </w:tcPr>
          <w:p>
            <w:pPr>
              <w:jc w:val="right"/>
              <w:ind w:right="156"/>
              <w:spacing w:after="0"/>
              <w:rPr>
                <w:sz w:val="20"/>
                <w:szCs w:val="20"/>
                <w:color w:val="auto"/>
              </w:rPr>
            </w:pPr>
            <w:r>
              <w:rPr>
                <w:rFonts w:ascii="Arial" w:cs="Arial" w:eastAsia="Arial" w:hAnsi="Arial"/>
                <w:sz w:val="18"/>
                <w:szCs w:val="18"/>
                <w:color w:val="auto"/>
              </w:rPr>
              <w:t>(100)bps</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80" w:hanging="345"/>
        <w:spacing w:after="0"/>
        <w:tabs>
          <w:tab w:leader="none" w:pos="3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42" w:lineRule="exact"/>
        <w:rPr>
          <w:sz w:val="20"/>
          <w:szCs w:val="20"/>
          <w:color w:val="auto"/>
        </w:rPr>
      </w:pPr>
    </w:p>
    <w:p>
      <w:pPr>
        <w:ind w:left="380" w:hanging="345"/>
        <w:spacing w:after="0"/>
        <w:tabs>
          <w:tab w:leader="none" w:pos="3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 averages during the applicable period.</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pawn loan redemption rate represents the percentage of loans made that are repaid, renewed or extended.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11</w:t>
      </w:r>
    </w:p>
    <w:p>
      <w:pPr>
        <w:sectPr>
          <w:pgSz w:w="11900" w:h="16838" w:orient="portrait"/>
          <w:cols w:equalWidth="0" w:num="1">
            <w:col w:w="11420"/>
          </w:cols>
          <w:pgMar w:left="240" w:top="746"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Mexico Pawn</w:t>
      </w:r>
    </w:p>
    <w:p>
      <w:pPr>
        <w:spacing w:after="0" w:line="17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following table presents selected summary financial data from continuing operations for the Mexico Pawn segment, including constant currency results, after translation to U.S. dollars from its functional currency of the Mexican peso. See “Non-GAAP Financial Information”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1013"/>
              <w:spacing w:after="0"/>
              <w:rPr>
                <w:sz w:val="20"/>
                <w:szCs w:val="20"/>
                <w:color w:val="auto"/>
              </w:rPr>
            </w:pPr>
            <w:r>
              <w:rPr>
                <w:rFonts w:ascii="Arial" w:cs="Arial" w:eastAsia="Arial" w:hAnsi="Arial"/>
                <w:sz w:val="14"/>
                <w:szCs w:val="14"/>
                <w:b w:val="1"/>
                <w:bCs w:val="1"/>
                <w:color w:val="auto"/>
                <w:w w:val="96"/>
              </w:rPr>
              <w:t>Nine Months Ended June 30,</w:t>
            </w: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2016 (GAAP)</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2015 (GAAP)</w:t>
            </w:r>
          </w:p>
        </w:tc>
        <w:tc>
          <w:tcPr>
            <w:tcW w:w="100" w:type="dxa"/>
            <w:vAlign w:val="bottom"/>
          </w:tcPr>
          <w:p>
            <w:pPr>
              <w:spacing w:after="0"/>
              <w:rPr>
                <w:sz w:val="13"/>
                <w:szCs w:val="13"/>
                <w:color w:val="auto"/>
              </w:rPr>
            </w:pPr>
          </w:p>
        </w:tc>
        <w:tc>
          <w:tcPr>
            <w:tcW w:w="15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Percentage Change</w:t>
            </w:r>
          </w:p>
        </w:tc>
        <w:tc>
          <w:tcPr>
            <w:tcW w:w="120" w:type="dxa"/>
            <w:vAlign w:val="bottom"/>
          </w:tcPr>
          <w:p>
            <w:pPr>
              <w:spacing w:after="0"/>
              <w:rPr>
                <w:sz w:val="13"/>
                <w:szCs w:val="13"/>
                <w:color w:val="auto"/>
              </w:rPr>
            </w:pPr>
          </w:p>
        </w:tc>
        <w:tc>
          <w:tcPr>
            <w:tcW w:w="1280" w:type="dxa"/>
            <w:vAlign w:val="bottom"/>
          </w:tcPr>
          <w:p>
            <w:pPr>
              <w:jc w:val="center"/>
              <w:ind w:right="33"/>
              <w:spacing w:after="0" w:line="153" w:lineRule="exact"/>
              <w:rPr>
                <w:sz w:val="20"/>
                <w:szCs w:val="20"/>
                <w:color w:val="auto"/>
              </w:rPr>
            </w:pPr>
            <w:r>
              <w:rPr>
                <w:rFonts w:ascii="Arial" w:cs="Arial" w:eastAsia="Arial" w:hAnsi="Arial"/>
                <w:sz w:val="14"/>
                <w:szCs w:val="14"/>
                <w:b w:val="1"/>
                <w:bCs w:val="1"/>
                <w:color w:val="auto"/>
                <w:w w:val="91"/>
              </w:rPr>
              <w:t>2016 (Constant</w:t>
            </w:r>
          </w:p>
        </w:tc>
        <w:tc>
          <w:tcPr>
            <w:tcW w:w="120" w:type="dxa"/>
            <w:vAlign w:val="bottom"/>
          </w:tcPr>
          <w:p>
            <w:pPr>
              <w:spacing w:after="0"/>
              <w:rPr>
                <w:sz w:val="13"/>
                <w:szCs w:val="13"/>
                <w:color w:val="auto"/>
              </w:rPr>
            </w:pPr>
          </w:p>
        </w:tc>
        <w:tc>
          <w:tcPr>
            <w:tcW w:w="1760" w:type="dxa"/>
            <w:vAlign w:val="bottom"/>
          </w:tcPr>
          <w:p>
            <w:pPr>
              <w:jc w:val="right"/>
              <w:ind w:right="216"/>
              <w:spacing w:after="0" w:line="153" w:lineRule="exact"/>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(GAAP)</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Currency)</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385"/>
        </w:trPr>
        <w:tc>
          <w:tcPr>
            <w:tcW w:w="3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gridSpan w:val="4"/>
          </w:tcPr>
          <w:p>
            <w:pPr>
              <w:jc w:val="right"/>
              <w:ind w:right="731"/>
              <w:spacing w:after="0"/>
              <w:rPr>
                <w:sz w:val="20"/>
                <w:szCs w:val="20"/>
                <w:color w:val="auto"/>
              </w:rPr>
            </w:pPr>
            <w:r>
              <w:rPr>
                <w:rFonts w:ascii="Arial" w:cs="Arial" w:eastAsia="Arial" w:hAnsi="Arial"/>
                <w:sz w:val="14"/>
                <w:szCs w:val="14"/>
                <w:i w:val="1"/>
                <w:iCs w:val="1"/>
                <w:color w:val="auto"/>
              </w:rPr>
              <w:t>(in USD thousands)</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center"/>
              <w:ind w:right="33"/>
              <w:spacing w:after="0"/>
              <w:rPr>
                <w:sz w:val="20"/>
                <w:szCs w:val="20"/>
                <w:color w:val="auto"/>
              </w:rPr>
            </w:pPr>
            <w:r>
              <w:rPr>
                <w:rFonts w:ascii="Arial" w:cs="Arial" w:eastAsia="Arial" w:hAnsi="Arial"/>
                <w:sz w:val="14"/>
                <w:szCs w:val="14"/>
                <w:i w:val="1"/>
                <w:iCs w:val="1"/>
                <w:color w:val="auto"/>
                <w:w w:val="94"/>
              </w:rPr>
              <w:t>(in USD thousands)</w:t>
            </w: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23,567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23,035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28,216</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220" w:type="dxa"/>
            <w:vAlign w:val="bottom"/>
          </w:tcPr>
          <w:p>
            <w:pPr>
              <w:spacing w:after="0"/>
              <w:rPr>
                <w:sz w:val="21"/>
                <w:szCs w:val="21"/>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45,376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49,910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54,328</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14,934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14,719</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17,880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7"/>
        </w:trPr>
        <w:tc>
          <w:tcPr>
            <w:tcW w:w="366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8"/>
                <w:szCs w:val="18"/>
                <w:color w:val="auto"/>
              </w:rPr>
              <w:t>400bps</w:t>
            </w: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1760" w:type="dxa"/>
            <w:vAlign w:val="bottom"/>
          </w:tcPr>
          <w:p>
            <w:pPr>
              <w:jc w:val="right"/>
              <w:ind w:right="156"/>
              <w:spacing w:after="0"/>
              <w:rPr>
                <w:sz w:val="20"/>
                <w:szCs w:val="20"/>
                <w:color w:val="auto"/>
              </w:rPr>
            </w:pPr>
            <w:r>
              <w:rPr>
                <w:rFonts w:ascii="Arial" w:cs="Arial" w:eastAsia="Arial" w:hAnsi="Arial"/>
                <w:sz w:val="18"/>
                <w:szCs w:val="18"/>
                <w:color w:val="auto"/>
              </w:rPr>
              <w:t>400bps</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220" w:type="dxa"/>
            <w:vAlign w:val="bottom"/>
          </w:tcPr>
          <w:p>
            <w:pPr>
              <w:spacing w:after="0"/>
              <w:rPr>
                <w:sz w:val="21"/>
                <w:szCs w:val="21"/>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3,210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1,788</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262</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325</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37"/>
        </w:trPr>
        <w:tc>
          <w:tcPr>
            <w:tcW w:w="3660" w:type="dxa"/>
            <w:vAlign w:val="bottom"/>
          </w:tcPr>
          <w:p>
            <w:pPr>
              <w:ind w:left="500"/>
              <w:spacing w:after="0"/>
              <w:rPr>
                <w:sz w:val="20"/>
                <w:szCs w:val="20"/>
                <w:color w:val="auto"/>
              </w:rPr>
            </w:pPr>
            <w:r>
              <w:rPr>
                <w:rFonts w:ascii="Arial" w:cs="Arial" w:eastAsia="Arial" w:hAnsi="Arial"/>
                <w:sz w:val="18"/>
                <w:szCs w:val="18"/>
                <w:color w:val="auto"/>
                <w:w w:val="96"/>
              </w:rPr>
              <w:t>Gross margin on jewelry scrapping sales</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8"/>
                <w:szCs w:val="18"/>
                <w:color w:val="auto"/>
              </w:rPr>
              <w:t>1,000bps</w:t>
            </w: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760" w:type="dxa"/>
            <w:vAlign w:val="bottom"/>
          </w:tcPr>
          <w:p>
            <w:pPr>
              <w:jc w:val="right"/>
              <w:ind w:right="156"/>
              <w:spacing w:after="0"/>
              <w:rPr>
                <w:sz w:val="20"/>
                <w:szCs w:val="20"/>
                <w:color w:val="auto"/>
              </w:rPr>
            </w:pPr>
            <w:r>
              <w:rPr>
                <w:rFonts w:ascii="Arial" w:cs="Arial" w:eastAsia="Arial" w:hAnsi="Arial"/>
                <w:sz w:val="18"/>
                <w:szCs w:val="18"/>
                <w:color w:val="auto"/>
              </w:rPr>
              <w:t>1,000bps</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220" w:type="dxa"/>
            <w:vAlign w:val="bottom"/>
          </w:tcPr>
          <w:p>
            <w:pPr>
              <w:spacing w:after="0"/>
              <w:rPr>
                <w:sz w:val="21"/>
                <w:szCs w:val="21"/>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783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277</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39,003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38,799</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46,698</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91"/>
        </w:trPr>
        <w:tc>
          <w:tcPr>
            <w:tcW w:w="36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220" w:type="dxa"/>
            <w:vAlign w:val="bottom"/>
          </w:tcPr>
          <w:p>
            <w:pPr>
              <w:spacing w:after="0"/>
              <w:rPr>
                <w:sz w:val="21"/>
                <w:szCs w:val="21"/>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28,961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31,727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34,674</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2,285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3,442</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2,736</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366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7,757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3,630</w:t>
            </w:r>
          </w:p>
        </w:tc>
        <w:tc>
          <w:tcPr>
            <w:tcW w:w="1560" w:type="dxa"/>
            <w:vAlign w:val="bottom"/>
            <w:gridSpan w:val="2"/>
          </w:tcPr>
          <w:p>
            <w:pPr>
              <w:jc w:val="right"/>
              <w:ind w:right="17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9,288</w:t>
            </w:r>
          </w:p>
        </w:tc>
        <w:tc>
          <w:tcPr>
            <w:tcW w:w="1880" w:type="dxa"/>
            <w:vAlign w:val="bottom"/>
            <w:gridSpan w:val="2"/>
          </w:tcPr>
          <w:p>
            <w:pPr>
              <w:jc w:val="right"/>
              <w:ind w:right="1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Other segment expenses (a)</w:t>
            </w:r>
          </w:p>
        </w:tc>
        <w:tc>
          <w:tcPr>
            <w:tcW w:w="220" w:type="dxa"/>
            <w:vAlign w:val="bottom"/>
          </w:tcPr>
          <w:p>
            <w:pPr>
              <w:spacing w:after="0"/>
              <w:rPr>
                <w:sz w:val="21"/>
                <w:szCs w:val="21"/>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1,547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1,291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884</w:t>
            </w:r>
          </w:p>
        </w:tc>
        <w:tc>
          <w:tcPr>
            <w:tcW w:w="1880" w:type="dxa"/>
            <w:vAlign w:val="bottom"/>
            <w:gridSpan w:val="2"/>
          </w:tcPr>
          <w:p>
            <w:pPr>
              <w:jc w:val="right"/>
              <w:ind w:right="1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6,210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2,339</w:t>
            </w:r>
          </w:p>
        </w:tc>
        <w:tc>
          <w:tcPr>
            <w:tcW w:w="1560" w:type="dxa"/>
            <w:vAlign w:val="bottom"/>
            <w:tcBorders>
              <w:bottom w:val="single" w:sz="8" w:color="CCEEFF"/>
            </w:tcBorders>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8,404</w:t>
            </w:r>
          </w:p>
        </w:tc>
        <w:tc>
          <w:tcPr>
            <w:tcW w:w="188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280"/>
              <w:spacing w:after="0"/>
              <w:rPr>
                <w:sz w:val="20"/>
                <w:szCs w:val="20"/>
                <w:color w:val="auto"/>
              </w:rPr>
            </w:pPr>
            <w:r>
              <w:rPr>
                <w:rFonts w:ascii="Arial" w:cs="Arial" w:eastAsia="Arial" w:hAnsi="Arial"/>
                <w:sz w:val="18"/>
                <w:szCs w:val="18"/>
                <w:color w:val="auto"/>
                <w:w w:val="96"/>
              </w:rPr>
              <w:t>Average monthly ending pawn loan balance</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80"/>
              <w:spacing w:after="0"/>
              <w:rPr>
                <w:sz w:val="20"/>
                <w:szCs w:val="20"/>
                <w:color w:val="auto"/>
              </w:rPr>
            </w:pPr>
            <w:r>
              <w:rPr>
                <w:rFonts w:ascii="Arial" w:cs="Arial" w:eastAsia="Arial" w:hAnsi="Arial"/>
                <w:sz w:val="18"/>
                <w:szCs w:val="18"/>
                <w:color w:val="auto"/>
              </w:rPr>
              <w:t>per store (b)</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64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81</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Average annual yield on pawn loans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outstanding</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(200)bps</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(200)bps</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Pawn loan redemption rate (c)</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8"/>
                <w:szCs w:val="18"/>
                <w:color w:val="auto"/>
              </w:rPr>
              <w:t>100bps</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760" w:type="dxa"/>
            <w:vAlign w:val="bottom"/>
          </w:tcPr>
          <w:p>
            <w:pPr>
              <w:jc w:val="right"/>
              <w:ind w:right="156"/>
              <w:spacing w:after="0"/>
              <w:rPr>
                <w:sz w:val="20"/>
                <w:szCs w:val="20"/>
                <w:color w:val="auto"/>
              </w:rPr>
            </w:pPr>
            <w:r>
              <w:rPr>
                <w:rFonts w:ascii="Arial" w:cs="Arial" w:eastAsia="Arial" w:hAnsi="Arial"/>
                <w:sz w:val="18"/>
                <w:szCs w:val="18"/>
                <w:color w:val="auto"/>
              </w:rPr>
              <w:t>100bps</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80" w:hanging="345"/>
        <w:spacing w:after="0"/>
        <w:tabs>
          <w:tab w:leader="none" w:pos="3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42" w:lineRule="exact"/>
        <w:rPr>
          <w:sz w:val="20"/>
          <w:szCs w:val="20"/>
          <w:color w:val="auto"/>
        </w:rPr>
      </w:pPr>
    </w:p>
    <w:p>
      <w:pPr>
        <w:ind w:left="380" w:right="280" w:hanging="345"/>
        <w:spacing w:after="0" w:line="253" w:lineRule="auto"/>
        <w:tabs>
          <w:tab w:leader="none" w:pos="3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nine-months ended June 30, 2016 constant currency balance excludes $0.8 million net foreign currency transaction losses resulting from movement in exchange rates. The net foreign currency transaction losses for the nine-months ended June 30, 2015 were $1.1 million and are not excluded from the above results.</w:t>
      </w:r>
    </w:p>
    <w:p>
      <w:pPr>
        <w:spacing w:after="0" w:line="11" w:lineRule="exact"/>
        <w:rPr>
          <w:rFonts w:ascii="Arial" w:cs="Arial" w:eastAsia="Arial" w:hAnsi="Arial"/>
          <w:sz w:val="14"/>
          <w:szCs w:val="14"/>
          <w:color w:val="auto"/>
        </w:rPr>
      </w:pPr>
    </w:p>
    <w:p>
      <w:pPr>
        <w:ind w:left="380" w:hanging="345"/>
        <w:spacing w:after="0"/>
        <w:tabs>
          <w:tab w:leader="none" w:pos="3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 averages during the applicable period.</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pawn loan redemption rate represents the percentage of loans made that are repaid, renewed or extended.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12</w:t>
      </w:r>
    </w:p>
    <w:p>
      <w:pPr>
        <w:sectPr>
          <w:pgSz w:w="11900" w:h="16838" w:orient="portrait"/>
          <w:cols w:equalWidth="0" w:num="1">
            <w:col w:w="11420"/>
          </w:cols>
          <w:pgMar w:left="240" w:top="58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6"/>
          <w:szCs w:val="16"/>
          <w:b w:val="1"/>
          <w:bCs w:val="1"/>
          <w:color w:val="auto"/>
        </w:rPr>
        <w:t>EZCORP,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STORE COUNT ACTIVITY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7"/>
          </w:tcPr>
          <w:p>
            <w:pPr>
              <w:ind w:left="1020"/>
              <w:spacing w:after="0"/>
              <w:rPr>
                <w:sz w:val="20"/>
                <w:szCs w:val="20"/>
                <w:color w:val="auto"/>
              </w:rPr>
            </w:pPr>
            <w:r>
              <w:rPr>
                <w:rFonts w:ascii="Arial" w:cs="Arial" w:eastAsia="Arial" w:hAnsi="Arial"/>
                <w:sz w:val="14"/>
                <w:szCs w:val="14"/>
                <w:b w:val="1"/>
                <w:bCs w:val="1"/>
                <w:color w:val="auto"/>
                <w:w w:val="92"/>
              </w:rPr>
              <w:t>Three Months Ended June 30, 2016</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4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0" w:type="dxa"/>
            <w:vAlign w:val="bottom"/>
            <w:tcBorders>
              <w:bottom w:val="single" w:sz="8" w:color="auto"/>
            </w:tcBorders>
            <w:gridSpan w:val="7"/>
          </w:tcPr>
          <w:p>
            <w:pPr>
              <w:ind w:left="820"/>
              <w:spacing w:after="0"/>
              <w:rPr>
                <w:sz w:val="20"/>
                <w:szCs w:val="20"/>
                <w:color w:val="auto"/>
              </w:rPr>
            </w:pPr>
            <w:r>
              <w:rPr>
                <w:rFonts w:ascii="Arial" w:cs="Arial" w:eastAsia="Arial" w:hAnsi="Arial"/>
                <w:sz w:val="14"/>
                <w:szCs w:val="14"/>
                <w:b w:val="1"/>
                <w:bCs w:val="1"/>
                <w:color w:val="auto"/>
              </w:rPr>
              <w:t>Company-owned Stores</w:t>
            </w: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64"/>
        </w:trPr>
        <w:tc>
          <w:tcPr>
            <w:tcW w:w="4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3"/>
          </w:tcPr>
          <w:p>
            <w:pPr>
              <w:ind w:left="200"/>
              <w:spacing w:after="0"/>
              <w:rPr>
                <w:sz w:val="20"/>
                <w:szCs w:val="20"/>
                <w:color w:val="auto"/>
              </w:rPr>
            </w:pPr>
            <w:r>
              <w:rPr>
                <w:rFonts w:ascii="Arial" w:cs="Arial" w:eastAsia="Arial" w:hAnsi="Arial"/>
                <w:sz w:val="14"/>
                <w:szCs w:val="14"/>
                <w:b w:val="1"/>
                <w:bCs w:val="1"/>
                <w:color w:val="auto"/>
              </w:rPr>
              <w:t>U.S. Pawn</w:t>
            </w:r>
          </w:p>
        </w:tc>
        <w:tc>
          <w:tcPr>
            <w:tcW w:w="1160" w:type="dxa"/>
            <w:vAlign w:val="bottom"/>
          </w:tcPr>
          <w:p>
            <w:pPr>
              <w:jc w:val="right"/>
              <w:ind w:right="18"/>
              <w:spacing w:after="0"/>
              <w:rPr>
                <w:sz w:val="20"/>
                <w:szCs w:val="20"/>
                <w:color w:val="auto"/>
              </w:rPr>
            </w:pPr>
            <w:r>
              <w:rPr>
                <w:rFonts w:ascii="Arial" w:cs="Arial" w:eastAsia="Arial" w:hAnsi="Arial"/>
                <w:sz w:val="14"/>
                <w:szCs w:val="14"/>
                <w:b w:val="1"/>
                <w:bCs w:val="1"/>
                <w:color w:val="auto"/>
              </w:rPr>
              <w:t>Mexico Pawn</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0" w:type="dxa"/>
            <w:vAlign w:val="bottom"/>
            <w:gridSpan w:val="3"/>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Consolidated</w:t>
            </w:r>
          </w:p>
        </w:tc>
        <w:tc>
          <w:tcPr>
            <w:tcW w:w="1020" w:type="dxa"/>
            <w:vAlign w:val="bottom"/>
          </w:tcPr>
          <w:p>
            <w:pPr>
              <w:jc w:val="right"/>
              <w:ind w:right="94"/>
              <w:spacing w:after="0"/>
              <w:rPr>
                <w:sz w:val="20"/>
                <w:szCs w:val="20"/>
                <w:color w:val="auto"/>
              </w:rPr>
            </w:pPr>
            <w:r>
              <w:rPr>
                <w:rFonts w:ascii="Arial" w:cs="Arial" w:eastAsia="Arial" w:hAnsi="Arial"/>
                <w:sz w:val="14"/>
                <w:szCs w:val="14"/>
                <w:b w:val="1"/>
                <w:bCs w:val="1"/>
                <w:color w:val="auto"/>
              </w:rPr>
              <w:t>Franchises</w:t>
            </w:r>
          </w:p>
        </w:tc>
      </w:tr>
      <w:tr>
        <w:trPr>
          <w:trHeight w:val="121"/>
        </w:trPr>
        <w:tc>
          <w:tcPr>
            <w:tcW w:w="4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 of March 31, 2016</w:t>
            </w: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gridSpan w:val="2"/>
          </w:tcPr>
          <w:p>
            <w:pPr>
              <w:ind w:left="280"/>
              <w:spacing w:after="0"/>
              <w:rPr>
                <w:sz w:val="20"/>
                <w:szCs w:val="20"/>
                <w:color w:val="auto"/>
              </w:rPr>
            </w:pPr>
            <w:r>
              <w:rPr>
                <w:rFonts w:ascii="Arial" w:cs="Arial" w:eastAsia="Arial" w:hAnsi="Arial"/>
                <w:sz w:val="18"/>
                <w:szCs w:val="18"/>
                <w:color w:val="auto"/>
              </w:rPr>
              <w:t>New locations opened</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 of June 30, 2016</w:t>
            </w: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474"/>
        </w:trPr>
        <w:tc>
          <w:tcPr>
            <w:tcW w:w="48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7"/>
          </w:tcPr>
          <w:p>
            <w:pPr>
              <w:ind w:left="960"/>
              <w:spacing w:after="0"/>
              <w:rPr>
                <w:sz w:val="20"/>
                <w:szCs w:val="20"/>
                <w:color w:val="auto"/>
              </w:rPr>
            </w:pPr>
            <w:r>
              <w:rPr>
                <w:rFonts w:ascii="Arial" w:cs="Arial" w:eastAsia="Arial" w:hAnsi="Arial"/>
                <w:sz w:val="14"/>
                <w:szCs w:val="14"/>
                <w:b w:val="1"/>
                <w:bCs w:val="1"/>
                <w:color w:val="auto"/>
                <w:w w:val="95"/>
              </w:rPr>
              <w:t>Three Months Ended June 30, 2015</w:t>
            </w: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64"/>
        </w:trPr>
        <w:tc>
          <w:tcPr>
            <w:tcW w:w="48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0" w:type="dxa"/>
            <w:vAlign w:val="bottom"/>
            <w:tcBorders>
              <w:bottom w:val="single" w:sz="8" w:color="auto"/>
            </w:tcBorders>
            <w:gridSpan w:val="7"/>
          </w:tcPr>
          <w:p>
            <w:pPr>
              <w:ind w:left="760"/>
              <w:spacing w:after="0"/>
              <w:rPr>
                <w:sz w:val="20"/>
                <w:szCs w:val="20"/>
                <w:color w:val="auto"/>
              </w:rPr>
            </w:pPr>
            <w:r>
              <w:rPr>
                <w:rFonts w:ascii="Arial" w:cs="Arial" w:eastAsia="Arial" w:hAnsi="Arial"/>
                <w:sz w:val="14"/>
                <w:szCs w:val="14"/>
                <w:b w:val="1"/>
                <w:bCs w:val="1"/>
                <w:color w:val="auto"/>
              </w:rPr>
              <w:t>Company-owned Stores</w:t>
            </w: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64"/>
        </w:trPr>
        <w:tc>
          <w:tcPr>
            <w:tcW w:w="4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U.S. Pawn</w:t>
            </w:r>
          </w:p>
        </w:tc>
        <w:tc>
          <w:tcPr>
            <w:tcW w:w="1160" w:type="dxa"/>
            <w:vAlign w:val="bottom"/>
          </w:tcPr>
          <w:p>
            <w:pPr>
              <w:jc w:val="right"/>
              <w:ind w:right="138"/>
              <w:spacing w:after="0"/>
              <w:rPr>
                <w:sz w:val="20"/>
                <w:szCs w:val="20"/>
                <w:color w:val="auto"/>
              </w:rPr>
            </w:pPr>
            <w:r>
              <w:rPr>
                <w:rFonts w:ascii="Arial" w:cs="Arial" w:eastAsia="Arial" w:hAnsi="Arial"/>
                <w:sz w:val="14"/>
                <w:szCs w:val="14"/>
                <w:b w:val="1"/>
                <w:bCs w:val="1"/>
                <w:color w:val="auto"/>
              </w:rPr>
              <w:t>Mexico Pawn</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0" w:type="dxa"/>
            <w:vAlign w:val="bottom"/>
            <w:gridSpan w:val="3"/>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Consolidated</w:t>
            </w:r>
          </w:p>
        </w:tc>
        <w:tc>
          <w:tcPr>
            <w:tcW w:w="1020" w:type="dxa"/>
            <w:vAlign w:val="bottom"/>
          </w:tcPr>
          <w:p>
            <w:pPr>
              <w:jc w:val="right"/>
              <w:ind w:right="94"/>
              <w:spacing w:after="0"/>
              <w:rPr>
                <w:sz w:val="20"/>
                <w:szCs w:val="20"/>
                <w:color w:val="auto"/>
              </w:rPr>
            </w:pPr>
            <w:r>
              <w:rPr>
                <w:rFonts w:ascii="Arial" w:cs="Arial" w:eastAsia="Arial" w:hAnsi="Arial"/>
                <w:sz w:val="14"/>
                <w:szCs w:val="14"/>
                <w:b w:val="1"/>
                <w:bCs w:val="1"/>
                <w:color w:val="auto"/>
              </w:rPr>
              <w:t>Franchises</w:t>
            </w:r>
          </w:p>
        </w:tc>
      </w:tr>
      <w:tr>
        <w:trPr>
          <w:trHeight w:val="121"/>
        </w:trPr>
        <w:tc>
          <w:tcPr>
            <w:tcW w:w="48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 of March 31, 2015</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r>
      <w:tr>
        <w:trPr>
          <w:trHeight w:val="243"/>
        </w:trPr>
        <w:tc>
          <w:tcPr>
            <w:tcW w:w="4920" w:type="dxa"/>
            <w:vAlign w:val="bottom"/>
            <w:gridSpan w:val="2"/>
          </w:tcPr>
          <w:p>
            <w:pPr>
              <w:ind w:left="280"/>
              <w:spacing w:after="0"/>
              <w:rPr>
                <w:sz w:val="20"/>
                <w:szCs w:val="20"/>
                <w:color w:val="auto"/>
              </w:rPr>
            </w:pPr>
            <w:r>
              <w:rPr>
                <w:rFonts w:ascii="Arial" w:cs="Arial" w:eastAsia="Arial" w:hAnsi="Arial"/>
                <w:sz w:val="18"/>
                <w:szCs w:val="18"/>
                <w:color w:val="auto"/>
              </w:rPr>
              <w:t>Locations sold, combined or closed</w:t>
            </w: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June 30, 2015</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333"/>
        </w:trPr>
        <w:tc>
          <w:tcPr>
            <w:tcW w:w="4920" w:type="dxa"/>
            <w:vAlign w:val="bottom"/>
            <w:gridSpan w:val="2"/>
          </w:tcPr>
          <w:p>
            <w:pPr>
              <w:spacing w:after="0"/>
              <w:rPr>
                <w:sz w:val="20"/>
                <w:szCs w:val="20"/>
                <w:color w:val="auto"/>
              </w:rPr>
            </w:pPr>
            <w:r>
              <w:rPr>
                <w:rFonts w:ascii="Arial" w:cs="Arial" w:eastAsia="Arial" w:hAnsi="Arial"/>
                <w:sz w:val="14"/>
                <w:szCs w:val="14"/>
                <w:color w:val="auto"/>
              </w:rPr>
              <w:t>* Includes 21 buy/sell stores. One buy/sell store was closed during the period.</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7"/>
        </w:trPr>
        <w:tc>
          <w:tcPr>
            <w:tcW w:w="48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7"/>
          </w:tcPr>
          <w:p>
            <w:pPr>
              <w:ind w:left="1000"/>
              <w:spacing w:after="0"/>
              <w:rPr>
                <w:sz w:val="20"/>
                <w:szCs w:val="20"/>
                <w:color w:val="auto"/>
              </w:rPr>
            </w:pPr>
            <w:r>
              <w:rPr>
                <w:rFonts w:ascii="Arial" w:cs="Arial" w:eastAsia="Arial" w:hAnsi="Arial"/>
                <w:sz w:val="14"/>
                <w:szCs w:val="14"/>
                <w:b w:val="1"/>
                <w:bCs w:val="1"/>
                <w:color w:val="auto"/>
                <w:w w:val="96"/>
              </w:rPr>
              <w:t>Nine Months Ended June 30, 2016</w:t>
            </w: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64"/>
        </w:trPr>
        <w:tc>
          <w:tcPr>
            <w:tcW w:w="48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0" w:type="dxa"/>
            <w:vAlign w:val="bottom"/>
            <w:tcBorders>
              <w:bottom w:val="single" w:sz="8" w:color="auto"/>
            </w:tcBorders>
            <w:gridSpan w:val="7"/>
          </w:tcPr>
          <w:p>
            <w:pPr>
              <w:ind w:left="760"/>
              <w:spacing w:after="0"/>
              <w:rPr>
                <w:sz w:val="20"/>
                <w:szCs w:val="20"/>
                <w:color w:val="auto"/>
              </w:rPr>
            </w:pPr>
            <w:r>
              <w:rPr>
                <w:rFonts w:ascii="Arial" w:cs="Arial" w:eastAsia="Arial" w:hAnsi="Arial"/>
                <w:sz w:val="14"/>
                <w:szCs w:val="14"/>
                <w:b w:val="1"/>
                <w:bCs w:val="1"/>
                <w:color w:val="auto"/>
              </w:rPr>
              <w:t>Company-owned Stores</w:t>
            </w: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64"/>
        </w:trPr>
        <w:tc>
          <w:tcPr>
            <w:tcW w:w="4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U.S. Pawn</w:t>
            </w:r>
          </w:p>
        </w:tc>
        <w:tc>
          <w:tcPr>
            <w:tcW w:w="1160" w:type="dxa"/>
            <w:vAlign w:val="bottom"/>
          </w:tcPr>
          <w:p>
            <w:pPr>
              <w:jc w:val="right"/>
              <w:ind w:right="138"/>
              <w:spacing w:after="0"/>
              <w:rPr>
                <w:sz w:val="20"/>
                <w:szCs w:val="20"/>
                <w:color w:val="auto"/>
              </w:rPr>
            </w:pPr>
            <w:r>
              <w:rPr>
                <w:rFonts w:ascii="Arial" w:cs="Arial" w:eastAsia="Arial" w:hAnsi="Arial"/>
                <w:sz w:val="14"/>
                <w:szCs w:val="14"/>
                <w:b w:val="1"/>
                <w:bCs w:val="1"/>
                <w:color w:val="auto"/>
              </w:rPr>
              <w:t>Mexico Pawn</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0" w:type="dxa"/>
            <w:vAlign w:val="bottom"/>
            <w:gridSpan w:val="3"/>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Consolidated</w:t>
            </w:r>
          </w:p>
        </w:tc>
        <w:tc>
          <w:tcPr>
            <w:tcW w:w="1020" w:type="dxa"/>
            <w:vAlign w:val="bottom"/>
          </w:tcPr>
          <w:p>
            <w:pPr>
              <w:jc w:val="right"/>
              <w:ind w:right="94"/>
              <w:spacing w:after="0"/>
              <w:rPr>
                <w:sz w:val="20"/>
                <w:szCs w:val="20"/>
                <w:color w:val="auto"/>
              </w:rPr>
            </w:pPr>
            <w:r>
              <w:rPr>
                <w:rFonts w:ascii="Arial" w:cs="Arial" w:eastAsia="Arial" w:hAnsi="Arial"/>
                <w:sz w:val="14"/>
                <w:szCs w:val="14"/>
                <w:b w:val="1"/>
                <w:bCs w:val="1"/>
                <w:color w:val="auto"/>
              </w:rPr>
              <w:t>Franchises</w:t>
            </w:r>
          </w:p>
        </w:tc>
      </w:tr>
      <w:tr>
        <w:trPr>
          <w:trHeight w:val="121"/>
        </w:trPr>
        <w:tc>
          <w:tcPr>
            <w:tcW w:w="48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 of September 30, 2015</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r>
      <w:tr>
        <w:trPr>
          <w:trHeight w:val="243"/>
        </w:trPr>
        <w:tc>
          <w:tcPr>
            <w:tcW w:w="4920" w:type="dxa"/>
            <w:vAlign w:val="bottom"/>
            <w:gridSpan w:val="2"/>
          </w:tcPr>
          <w:p>
            <w:pPr>
              <w:ind w:left="280"/>
              <w:spacing w:after="0"/>
              <w:rPr>
                <w:sz w:val="20"/>
                <w:szCs w:val="20"/>
                <w:color w:val="auto"/>
              </w:rPr>
            </w:pPr>
            <w:r>
              <w:rPr>
                <w:rFonts w:ascii="Arial" w:cs="Arial" w:eastAsia="Arial" w:hAnsi="Arial"/>
                <w:sz w:val="18"/>
                <w:szCs w:val="18"/>
                <w:color w:val="auto"/>
              </w:rPr>
              <w:t>New locations opened</w:t>
            </w: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8"/>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0" w:type="dxa"/>
            <w:vAlign w:val="bottom"/>
            <w:gridSpan w:val="3"/>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Locations acquired</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gridSpan w:val="2"/>
          </w:tcPr>
          <w:p>
            <w:pPr>
              <w:ind w:left="280"/>
              <w:spacing w:after="0"/>
              <w:rPr>
                <w:sz w:val="20"/>
                <w:szCs w:val="20"/>
                <w:color w:val="auto"/>
              </w:rPr>
            </w:pPr>
            <w:r>
              <w:rPr>
                <w:rFonts w:ascii="Arial" w:cs="Arial" w:eastAsia="Arial" w:hAnsi="Arial"/>
                <w:sz w:val="18"/>
                <w:szCs w:val="18"/>
                <w:color w:val="auto"/>
              </w:rPr>
              <w:t>Locations sold, combined or closed</w:t>
            </w: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92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9"/>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June 30, 2016</w:t>
            </w: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238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 Includes five buy/sell stores which were converted to Mexico Pawn stores during the three-months ended March 31, 2016.</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5"/>
          </w:tcPr>
          <w:p>
            <w:pPr>
              <w:ind w:left="1160"/>
              <w:spacing w:after="0"/>
              <w:rPr>
                <w:sz w:val="20"/>
                <w:szCs w:val="20"/>
                <w:color w:val="auto"/>
              </w:rPr>
            </w:pPr>
            <w:r>
              <w:rPr>
                <w:rFonts w:ascii="Arial" w:cs="Arial" w:eastAsia="Arial" w:hAnsi="Arial"/>
                <w:sz w:val="14"/>
                <w:szCs w:val="14"/>
                <w:b w:val="1"/>
                <w:bCs w:val="1"/>
                <w:color w:val="auto"/>
                <w:w w:val="95"/>
              </w:rPr>
              <w:t>Nine Months Ended June 30, 2015</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340" w:type="dxa"/>
            <w:vAlign w:val="bottom"/>
            <w:tcBorders>
              <w:bottom w:val="single" w:sz="8" w:color="auto"/>
            </w:tcBorders>
            <w:gridSpan w:val="5"/>
          </w:tcPr>
          <w:p>
            <w:pPr>
              <w:ind w:left="920"/>
              <w:spacing w:after="0"/>
              <w:rPr>
                <w:sz w:val="20"/>
                <w:szCs w:val="20"/>
                <w:color w:val="auto"/>
              </w:rPr>
            </w:pPr>
            <w:r>
              <w:rPr>
                <w:rFonts w:ascii="Arial" w:cs="Arial" w:eastAsia="Arial" w:hAnsi="Arial"/>
                <w:sz w:val="14"/>
                <w:szCs w:val="14"/>
                <w:b w:val="1"/>
                <w:bCs w:val="1"/>
                <w:color w:val="auto"/>
              </w:rPr>
              <w:t>Company-owned Stores</w:t>
            </w:r>
          </w:p>
        </w:tc>
        <w:tc>
          <w:tcPr>
            <w:tcW w:w="1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64"/>
        </w:trPr>
        <w:tc>
          <w:tcPr>
            <w:tcW w:w="4700" w:type="dxa"/>
            <w:vAlign w:val="bottom"/>
          </w:tcPr>
          <w:p>
            <w:pPr>
              <w:spacing w:after="0"/>
              <w:rPr>
                <w:sz w:val="22"/>
                <w:szCs w:val="22"/>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U.S. Pawn</w:t>
            </w:r>
          </w:p>
        </w:tc>
        <w:tc>
          <w:tcPr>
            <w:tcW w:w="1260" w:type="dxa"/>
            <w:vAlign w:val="bottom"/>
          </w:tcPr>
          <w:p>
            <w:pPr>
              <w:jc w:val="right"/>
              <w:ind w:right="137"/>
              <w:spacing w:after="0"/>
              <w:rPr>
                <w:sz w:val="20"/>
                <w:szCs w:val="20"/>
                <w:color w:val="auto"/>
              </w:rPr>
            </w:pPr>
            <w:r>
              <w:rPr>
                <w:rFonts w:ascii="Arial" w:cs="Arial" w:eastAsia="Arial" w:hAnsi="Arial"/>
                <w:sz w:val="14"/>
                <w:szCs w:val="14"/>
                <w:b w:val="1"/>
                <w:bCs w:val="1"/>
                <w:color w:val="auto"/>
              </w:rPr>
              <w:t>Mexico Pawn</w:t>
            </w:r>
          </w:p>
        </w:tc>
        <w:tc>
          <w:tcPr>
            <w:tcW w:w="360" w:type="dxa"/>
            <w:vAlign w:val="bottom"/>
          </w:tcPr>
          <w:p>
            <w:pPr>
              <w:spacing w:after="0"/>
              <w:rPr>
                <w:sz w:val="22"/>
                <w:szCs w:val="22"/>
                <w:color w:val="auto"/>
              </w:rPr>
            </w:pPr>
          </w:p>
        </w:tc>
        <w:tc>
          <w:tcPr>
            <w:tcW w:w="1720" w:type="dxa"/>
            <w:vAlign w:val="bottom"/>
            <w:gridSpan w:val="3"/>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Consolidated</w:t>
            </w:r>
          </w:p>
        </w:tc>
        <w:tc>
          <w:tcPr>
            <w:tcW w:w="1020" w:type="dxa"/>
            <w:vAlign w:val="bottom"/>
          </w:tcPr>
          <w:p>
            <w:pPr>
              <w:jc w:val="right"/>
              <w:ind w:right="93"/>
              <w:spacing w:after="0"/>
              <w:rPr>
                <w:sz w:val="20"/>
                <w:szCs w:val="20"/>
                <w:color w:val="auto"/>
              </w:rPr>
            </w:pPr>
            <w:r>
              <w:rPr>
                <w:rFonts w:ascii="Arial" w:cs="Arial" w:eastAsia="Arial" w:hAnsi="Arial"/>
                <w:sz w:val="14"/>
                <w:szCs w:val="14"/>
                <w:b w:val="1"/>
                <w:bCs w:val="1"/>
                <w:color w:val="auto"/>
              </w:rPr>
              <w:t>Franchises</w:t>
            </w:r>
          </w:p>
        </w:tc>
      </w:tr>
      <w:tr>
        <w:trPr>
          <w:trHeight w:val="121"/>
        </w:trPr>
        <w:tc>
          <w:tcPr>
            <w:tcW w:w="470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September 30, 2014</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2</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acquired</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Locations sold, combined or closed</w:t>
            </w: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June 30, 2015</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261</w:t>
            </w: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 Includes 19 buy/sell stores. Two buy/sell stores were opened and one buy/sell store was closed during the period.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13</w:t>
      </w:r>
    </w:p>
    <w:p>
      <w:pPr>
        <w:sectPr>
          <w:pgSz w:w="11900" w:h="16838" w:orient="portrait"/>
          <w:cols w:equalWidth="0" w:num="1">
            <w:col w:w="11420"/>
          </w:cols>
          <w:pgMar w:left="240" w:top="58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175" w:lineRule="exact"/>
        <w:rPr>
          <w:sz w:val="20"/>
          <w:szCs w:val="20"/>
          <w:color w:val="auto"/>
        </w:rPr>
      </w:pPr>
    </w:p>
    <w:p>
      <w:pPr>
        <w:ind w:left="60" w:right="60"/>
        <w:spacing w:after="0" w:line="289" w:lineRule="auto"/>
        <w:rPr>
          <w:sz w:val="20"/>
          <w:szCs w:val="20"/>
          <w:color w:val="auto"/>
        </w:rPr>
      </w:pPr>
      <w:r>
        <w:rPr>
          <w:rFonts w:ascii="Arial" w:cs="Arial" w:eastAsia="Arial" w:hAnsi="Arial"/>
          <w:sz w:val="16"/>
          <w:szCs w:val="16"/>
          <w:color w:val="auto"/>
        </w:rPr>
        <w:t>In addition to the financial information prepared in conformity with generally accepted accounting principles in the United States of America ("GAAP"), we provide certain other non-GAAP financial information on a constant currency basis ("constant currency"). We use constant currency and ongoing segment contribution results to evaluate results of our Mexico Pawn operations, which are denominated in Mexican pesos and believe that presentation of constant currency results are meaningful and useful in understanding the activities and business metrics of our Mexico Pawn operations and reflect an additional way of viewing aspects of our business that, when viewed with its GAAP results, provide a more complete understanding of factors and trends affecting our business. We provide non-GAAP financial information for informational purposes and to enhance understanding of our GAAP condensed consolidated financial statements. We use this non-GAAP financial information to evaluate and compare operating results across accounting periods.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1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Constant currency results reported herein are calculated by translating condensed consolidated balance sheet and condensed consolidated statement of operations items denominated in Mexican pesos to U.S. dollars using the exchange rate from the prior-year comparable period, as opposed to the current comparable period, in order to exclude the effects of foreign currency rate fluctuations. For condensed consolidated balance sheet items, the end of period rate as of June 30, 2016 of 18.6 to 1 was used, compared to the end of period rate as of June 30, 2015 of 15.7 to 1. For condensed consolidated statement of operations items, the average closing daily exchange rate for the appropriate period was used. The average exchange rates for the current three and nine-months ended June 30, 2016 were 18.1 to 1 and 17.6 to 1, respectively, as compared to the prior year three and nine-months ended June 30, 2015 rates of 15.3 to 1 and 14.7 to 1, respectively. Constant currency results, where presented, also exclude foreign currency gain or loss.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14</w:t>
      </w:r>
    </w:p>
    <w:p>
      <w:pPr>
        <w:sectPr>
          <w:pgSz w:w="11900" w:h="16838" w:orient="portrait"/>
          <w:cols w:equalWidth="0" w:num="1">
            <w:col w:w="11400"/>
          </w:cols>
          <w:pgMar w:left="240" w:top="742" w:right="259" w:bottom="1440" w:gutter="0" w:footer="0" w:header="0"/>
        </w:sectPr>
      </w:pPr>
    </w:p>
    <w:bookmarkStart w:id="18" w:name="page19"/>
    <w:bookmarkEnd w:id="18"/>
    <w:p>
      <w:pPr>
        <w:ind w:right="240"/>
        <w:spacing w:after="0" w:line="342" w:lineRule="auto"/>
        <w:rPr>
          <w:sz w:val="20"/>
          <w:szCs w:val="20"/>
          <w:color w:val="auto"/>
        </w:rPr>
      </w:pPr>
      <w:r>
        <w:rPr>
          <w:rFonts w:ascii="Arial" w:cs="Arial" w:eastAsia="Arial" w:hAnsi="Arial"/>
          <w:sz w:val="16"/>
          <w:szCs w:val="16"/>
          <w:color w:val="auto"/>
        </w:rPr>
        <w:t>The following information provides reconciliations of certain non-GAAP financial measures presented in this press release to the most directly comparable financial measures calculated and presented in accordance with GAAP, where not already included in constant currency segment results above.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Miscellaneous Non-GAAP Financial Measures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U.S. Dollar Amount</w:t>
            </w:r>
          </w:p>
        </w:tc>
        <w:tc>
          <w:tcPr>
            <w:tcW w:w="100" w:type="dxa"/>
            <w:vAlign w:val="bottom"/>
            <w:vMerge w:val="restart"/>
          </w:tcPr>
          <w:p>
            <w:pPr>
              <w:spacing w:after="0"/>
              <w:rPr>
                <w:sz w:val="14"/>
                <w:szCs w:val="14"/>
                <w:color w:val="auto"/>
              </w:rPr>
            </w:pPr>
          </w:p>
        </w:tc>
        <w:tc>
          <w:tcPr>
            <w:tcW w:w="1460" w:type="dxa"/>
            <w:vAlign w:val="bottom"/>
          </w:tcPr>
          <w:p>
            <w:pPr>
              <w:jc w:val="right"/>
              <w:ind w:right="60"/>
              <w:spacing w:after="0"/>
              <w:rPr>
                <w:sz w:val="20"/>
                <w:szCs w:val="20"/>
                <w:color w:val="auto"/>
              </w:rPr>
            </w:pPr>
            <w:r>
              <w:rPr>
                <w:rFonts w:ascii="Arial" w:cs="Arial" w:eastAsia="Arial" w:hAnsi="Arial"/>
                <w:sz w:val="14"/>
                <w:szCs w:val="14"/>
                <w:b w:val="1"/>
                <w:bCs w:val="1"/>
                <w:color w:val="auto"/>
                <w:w w:val="99"/>
              </w:rPr>
              <w:t>Percentage Change</w:t>
            </w:r>
          </w:p>
        </w:tc>
        <w:tc>
          <w:tcPr>
            <w:tcW w:w="0" w:type="dxa"/>
            <w:vAlign w:val="bottom"/>
          </w:tcPr>
          <w:p>
            <w:pPr>
              <w:spacing w:after="0"/>
              <w:rPr>
                <w:sz w:val="1"/>
                <w:szCs w:val="1"/>
                <w:color w:val="auto"/>
              </w:rPr>
            </w:pPr>
          </w:p>
        </w:tc>
      </w:tr>
      <w:tr>
        <w:trPr>
          <w:trHeight w:val="192"/>
        </w:trPr>
        <w:tc>
          <w:tcPr>
            <w:tcW w:w="8500" w:type="dxa"/>
            <w:vAlign w:val="bottom"/>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385"/>
        </w:trPr>
        <w:tc>
          <w:tcPr>
            <w:tcW w:w="8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4"/>
              </w:rPr>
              <w:t>(in thousands)</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Consolidated revenue (three-months ended June 30,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170,150</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4,160</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Constant currency consolidated revenue (three-months ended June 30,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174,310</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0" w:type="dxa"/>
            <w:vAlign w:val="bottom"/>
          </w:tcPr>
          <w:p>
            <w:pPr>
              <w:spacing w:after="0"/>
              <w:rPr>
                <w:sz w:val="1"/>
                <w:szCs w:val="1"/>
                <w:color w:val="auto"/>
              </w:rPr>
            </w:pPr>
          </w:p>
        </w:tc>
      </w:tr>
      <w:tr>
        <w:trPr>
          <w:trHeight w:val="284"/>
        </w:trPr>
        <w:tc>
          <w:tcPr>
            <w:tcW w:w="8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Consolidated net revenue (three-months ended June 30,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100,394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2,364</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Constant currency consolidated net revenue (three-months ended June 30,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102,758</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84"/>
        </w:trPr>
        <w:tc>
          <w:tcPr>
            <w:tcW w:w="8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Consolidated operating expenses (three-months ended June 30,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93,886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1,730</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Constant currency consolidated operating expenses (three-months ended June 30,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95,616</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84"/>
        </w:trPr>
        <w:tc>
          <w:tcPr>
            <w:tcW w:w="8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Consolidated revenue (nine-months ended June 30,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545,920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13,942</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Constant currency consolidated revenue (nine-months ended June 30,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559,862</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84"/>
        </w:trPr>
        <w:tc>
          <w:tcPr>
            <w:tcW w:w="8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Consolidated net revenue (nine-months ended June 30,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321,369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0" w:type="dxa"/>
            <w:vAlign w:val="bottom"/>
          </w:tcPr>
          <w:p>
            <w:pPr>
              <w:spacing w:after="0"/>
              <w:rPr>
                <w:sz w:val="1"/>
                <w:szCs w:val="1"/>
                <w:color w:val="auto"/>
              </w:rPr>
            </w:pP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7,695</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Constant currency consolidated net revenue (nine-months ended June 30,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329,064</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284"/>
        </w:trPr>
        <w:tc>
          <w:tcPr>
            <w:tcW w:w="8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Consolidated operating expenses (nine-months ended June 30,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294,504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6,294</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Constant currency consolidated operating expenses (nine-months ended June 30,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300,798</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84"/>
        </w:trPr>
        <w:tc>
          <w:tcPr>
            <w:tcW w:w="8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Mexico Pawn loans outstanding as of June 30,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16,332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3,017</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Constant currency Mexico Pawn loans outstanding as of June 30, 2016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19,349</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33"/>
        </w:trPr>
        <w:tc>
          <w:tcPr>
            <w:tcW w:w="85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15</w:t>
      </w:r>
    </w:p>
    <w:sectPr>
      <w:pgSz w:w="11900" w:h="16838" w:orient="portrait"/>
      <w:cols w:equalWidth="0" w:num="1">
        <w:col w:w="11420"/>
      </w:cols>
      <w:pgMar w:left="240" w:top="74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o"/>
      <w:numFmt w:val="bullet"/>
      <w:start w:val="1"/>
    </w:lvl>
  </w:abstractNum>
  <w:abstractNum w:abstractNumId="1">
    <w:nsid w:val="216231B"/>
    <w:multiLevelType w:val="hybridMultilevel"/>
    <w:lvl w:ilvl="0">
      <w:lvlJc w:val="left"/>
      <w:lvlText w:val="(%1)"/>
      <w:numFmt w:val="lowerLetter"/>
      <w:start w:val="4"/>
    </w:lvl>
  </w:abstractNum>
  <w:abstractNum w:abstractNumId="2">
    <w:nsid w:val="1F16E9E8"/>
    <w:multiLevelType w:val="hybridMultilevel"/>
    <w:lvl w:ilvl="0">
      <w:lvlJc w:val="left"/>
      <w:lvlText w:val="▪"/>
      <w:numFmt w:val="bullet"/>
      <w:start w:val="1"/>
    </w:lvl>
    <w:lvl w:ilvl="1">
      <w:lvlJc w:val="left"/>
      <w:lvlText w:val="▪"/>
      <w:numFmt w:val="bullet"/>
      <w:start w:val="1"/>
    </w:lvl>
  </w:abstractNum>
  <w:abstractNum w:abstractNumId="3">
    <w:nsid w:val="1190CDE7"/>
    <w:multiLevelType w:val="hybridMultilevel"/>
    <w:lvl w:ilvl="0">
      <w:lvlJc w:val="left"/>
      <w:lvlText w:val="1"/>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2020-01-21T01:40:36Z</dcterms:created>
  <dcterms:modified xsi:type="dcterms:W3CDTF">2020-01-21T01:40:36Z</dcterms:modified>
</cp:coreProperties>
</file>