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D82588tocpage">
        <w:bookmarkStart w:id="0" w:name="d82588e10vq.htm"/>
        <w:bookmarkStart w:id="1" w:name="ksd82588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 xml:space="preserve">☑ </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For the quarterly period ended June 30, 2011</w:t>
      </w:r>
    </w:p>
    <w:p>
      <w:pPr>
        <w:pStyle w:val="TextBody"/>
        <w:spacing w:before="12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pPr>
            <w:r>
              <w:rPr>
                <w:rFonts w:ascii="Wingdings" w:hAnsi="Wingdings"/>
              </w:rPr>
              <w:t>o</w:t>
            </w:r>
            <w:r>
              <w:rPr/>
              <w:t xml:space="preserve"> </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transition period from </w:t>
      </w:r>
      <w:r>
        <w:rPr>
          <w:rFonts w:ascii="Times New Roman;Times;serif" w:hAnsi="Times New Roman;Times;serif"/>
          <w:b/>
          <w:sz w:val="17"/>
          <w:u w:val="single"/>
        </w:rPr>
        <w:t>                    </w:t>
      </w:r>
      <w:r>
        <w:rPr>
          <w:rFonts w:ascii="Times New Roman;Times;serif" w:hAnsi="Times New Roman;Times;serif"/>
          <w:b/>
          <w:sz w:val="17"/>
        </w:rPr>
        <w:t xml:space="preserve"> to </w:t>
      </w:r>
      <w:r>
        <w:rPr>
          <w:rFonts w:ascii="Times New Roman;Times;serif" w:hAnsi="Times New Roman;Times;serif"/>
          <w:b/>
          <w:sz w:val="17"/>
          <w:u w:val="single"/>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Commission File No. 0-19424</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 </w:t>
            </w:r>
          </w:p>
        </w:tc>
      </w:tr>
      <w:tr>
        <w:trPr/>
        <w:tc>
          <w:tcPr>
            <w:tcW w:w="4948" w:type="dxa"/>
            <w:tcBorders/>
            <w:shd w:fill="auto" w:val="clear"/>
          </w:tcPr>
          <w:p>
            <w:pPr>
              <w:pStyle w:val="TableContents"/>
              <w:spacing w:before="0" w:after="283"/>
              <w:jc w:val="center"/>
              <w:rPr/>
            </w:pPr>
            <w:r>
              <w:rPr>
                <w:b/>
              </w:rPr>
              <w:t>Delaware</w:t>
            </w:r>
            <w:r>
              <w:rPr/>
              <w:t xml:space="preserve">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74-2540145</w:t>
            </w:r>
          </w:p>
        </w:tc>
      </w:tr>
      <w:tr>
        <w:trPr/>
        <w:tc>
          <w:tcPr>
            <w:tcW w:w="4948" w:type="dxa"/>
            <w:tcBorders/>
            <w:shd w:fill="auto" w:val="clear"/>
          </w:tcPr>
          <w:p>
            <w:pPr>
              <w:pStyle w:val="TableContents"/>
              <w:spacing w:before="0" w:after="283"/>
              <w:jc w:val="center"/>
              <w:rPr/>
            </w:pPr>
            <w:r>
              <w:rPr/>
              <w:t xml:space="preserve">(State or other jurisdiction of incorporation or organization)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(I.R.S. Employer Identification No.)</w:t>
            </w:r>
          </w:p>
        </w:tc>
      </w:tr>
      <w:tr>
        <w:trPr/>
        <w:tc>
          <w:tcPr>
            <w:tcW w:w="4948"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 </w:t>
            </w:r>
          </w:p>
        </w:tc>
      </w:tr>
      <w:tr>
        <w:trPr/>
        <w:tc>
          <w:tcPr>
            <w:tcW w:w="4948" w:type="dxa"/>
            <w:tcBorders/>
            <w:shd w:fill="auto" w:val="clear"/>
          </w:tcPr>
          <w:p>
            <w:pPr>
              <w:pStyle w:val="TableContents"/>
              <w:spacing w:before="0" w:after="283"/>
              <w:jc w:val="center"/>
              <w:rPr>
                <w:b/>
              </w:rPr>
            </w:pPr>
            <w:r>
              <w:rPr>
                <w:b/>
              </w:rPr>
              <w:t>1901 Capital Parkway</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 </w:t>
            </w:r>
          </w:p>
        </w:tc>
      </w:tr>
      <w:tr>
        <w:trPr/>
        <w:tc>
          <w:tcPr>
            <w:tcW w:w="4948" w:type="dxa"/>
            <w:tcBorders/>
            <w:shd w:fill="auto" w:val="clear"/>
          </w:tcPr>
          <w:p>
            <w:pPr>
              <w:pStyle w:val="TableContents"/>
              <w:spacing w:before="0" w:after="283"/>
              <w:jc w:val="center"/>
              <w:rPr/>
            </w:pPr>
            <w:r>
              <w:rPr>
                <w:b/>
              </w:rPr>
              <w:t>Austin, Texas</w:t>
            </w:r>
            <w:r>
              <w:rPr/>
              <w:t xml:space="preserve">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78746</w:t>
            </w:r>
          </w:p>
        </w:tc>
      </w:tr>
      <w:tr>
        <w:trPr/>
        <w:tc>
          <w:tcPr>
            <w:tcW w:w="4948" w:type="dxa"/>
            <w:tcBorders/>
            <w:shd w:fill="auto" w:val="clear"/>
          </w:tcPr>
          <w:p>
            <w:pPr>
              <w:pStyle w:val="TableContents"/>
              <w:spacing w:before="0" w:after="283"/>
              <w:jc w:val="center"/>
              <w:rPr/>
            </w:pPr>
            <w:r>
              <w:rPr/>
              <w:t xml:space="preserve">(Address of principal executive offices)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(Zip Code)</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(512) 314-3400</w:t>
      </w:r>
      <w:r>
        <w:rPr>
          <w:rFonts w:ascii="Times New Roman;Times;serif" w:hAnsi="Times New Roman;Times;serif"/>
          <w:sz w:val="17"/>
        </w:rPr>
        <w:br/>
        <w:t>Registrants telephone number, including area code:</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tbl>
      <w:tblPr>
        <w:tblW w:w="5000" w:type="pct"/>
        <w:jc w:val="center"/>
        <w:tblInd w:w="0" w:type="dxa"/>
        <w:tblCellMar>
          <w:top w:w="0" w:type="dxa"/>
          <w:left w:w="0" w:type="dxa"/>
          <w:bottom w:w="0" w:type="dxa"/>
          <w:right w:w="0" w:type="dxa"/>
        </w:tblCellMar>
      </w:tblPr>
      <w:tblGrid>
        <w:gridCol w:w="2105"/>
        <w:gridCol w:w="104"/>
        <w:gridCol w:w="1894"/>
        <w:gridCol w:w="104"/>
        <w:gridCol w:w="3579"/>
        <w:gridCol w:w="104"/>
        <w:gridCol w:w="2315"/>
      </w:tblGrid>
      <w:tr>
        <w:trPr/>
        <w:tc>
          <w:tcPr>
            <w:tcW w:w="210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89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5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315" w:type="dxa"/>
            <w:tcBorders/>
            <w:shd w:fill="auto" w:val="clear"/>
            <w:vAlign w:val="bottom"/>
          </w:tcPr>
          <w:p>
            <w:pPr>
              <w:pStyle w:val="TableContents"/>
              <w:spacing w:before="0" w:after="283"/>
              <w:rPr/>
            </w:pPr>
            <w:r>
              <w:rPr/>
              <w:t> </w:t>
            </w:r>
          </w:p>
        </w:tc>
      </w:tr>
      <w:tr>
        <w:trPr/>
        <w:tc>
          <w:tcPr>
            <w:tcW w:w="2105" w:type="dxa"/>
            <w:tcBorders/>
            <w:shd w:fill="auto" w:val="clear"/>
          </w:tcPr>
          <w:p>
            <w:pPr>
              <w:pStyle w:val="TableContents"/>
              <w:spacing w:before="0" w:after="0"/>
              <w:ind w:left="0" w:right="0" w:hanging="0"/>
              <w:rPr/>
            </w:pPr>
            <w:r>
              <w:rPr/>
              <w:t xml:space="preserve">Large accelerated filer ☑ </w:t>
            </w:r>
          </w:p>
        </w:tc>
        <w:tc>
          <w:tcPr>
            <w:tcW w:w="104" w:type="dxa"/>
            <w:tcBorders/>
            <w:shd w:fill="auto" w:val="clear"/>
            <w:vAlign w:val="bottom"/>
          </w:tcPr>
          <w:p>
            <w:pPr>
              <w:pStyle w:val="TableContents"/>
              <w:spacing w:before="0" w:after="283"/>
              <w:rPr/>
            </w:pPr>
            <w:r>
              <w:rPr/>
              <w:t> </w:t>
            </w:r>
          </w:p>
        </w:tc>
        <w:tc>
          <w:tcPr>
            <w:tcW w:w="1894" w:type="dxa"/>
            <w:tcBorders/>
            <w:shd w:fill="auto" w:val="clear"/>
          </w:tcPr>
          <w:p>
            <w:pPr>
              <w:pStyle w:val="TableContents"/>
              <w:spacing w:before="0" w:after="283"/>
              <w:jc w:val="center"/>
              <w:rPr/>
            </w:pPr>
            <w:r>
              <w:rPr/>
              <w:t xml:space="preserve">Accelerated filer </w:t>
            </w:r>
            <w:r>
              <w:rPr>
                <w:rFonts w:ascii="Wingdings" w:hAnsi="Wingdings"/>
              </w:rPr>
              <w:t>o</w:t>
            </w:r>
            <w:r>
              <w:rPr/>
              <w:t xml:space="preserve"> </w:t>
            </w:r>
          </w:p>
        </w:tc>
        <w:tc>
          <w:tcPr>
            <w:tcW w:w="104" w:type="dxa"/>
            <w:tcBorders/>
            <w:shd w:fill="auto" w:val="clear"/>
            <w:vAlign w:val="bottom"/>
          </w:tcPr>
          <w:p>
            <w:pPr>
              <w:pStyle w:val="TableContents"/>
              <w:spacing w:before="0" w:after="283"/>
              <w:rPr/>
            </w:pPr>
            <w:r>
              <w:rPr/>
              <w:t> </w:t>
            </w:r>
          </w:p>
        </w:tc>
        <w:tc>
          <w:tcPr>
            <w:tcW w:w="3579" w:type="dxa"/>
            <w:tcBorders/>
            <w:shd w:fill="auto" w:val="clear"/>
          </w:tcPr>
          <w:p>
            <w:pPr>
              <w:pStyle w:val="TableContents"/>
              <w:spacing w:before="0" w:after="283"/>
              <w:jc w:val="center"/>
              <w:rPr/>
            </w:pPr>
            <w:r>
              <w:rPr/>
              <w:t xml:space="preserve">Non-accelerated filer </w:t>
            </w:r>
            <w:r>
              <w:rPr>
                <w:rFonts w:ascii="Wingdings" w:hAnsi="Wingdings"/>
              </w:rPr>
              <w:t>o</w:t>
            </w:r>
            <w:r>
              <w:rPr/>
              <w:t xml:space="preserve"> </w:t>
            </w:r>
          </w:p>
        </w:tc>
        <w:tc>
          <w:tcPr>
            <w:tcW w:w="104" w:type="dxa"/>
            <w:tcBorders/>
            <w:shd w:fill="auto" w:val="clear"/>
            <w:vAlign w:val="bottom"/>
          </w:tcPr>
          <w:p>
            <w:pPr>
              <w:pStyle w:val="TableContents"/>
              <w:spacing w:before="0" w:after="283"/>
              <w:rPr/>
            </w:pPr>
            <w:r>
              <w:rPr/>
              <w:t> </w:t>
            </w:r>
          </w:p>
        </w:tc>
        <w:tc>
          <w:tcPr>
            <w:tcW w:w="2315" w:type="dxa"/>
            <w:tcBorders/>
            <w:shd w:fill="auto" w:val="clear"/>
          </w:tcPr>
          <w:p>
            <w:pPr>
              <w:pStyle w:val="TableContents"/>
              <w:spacing w:before="0" w:after="283"/>
              <w:jc w:val="right"/>
              <w:rPr/>
            </w:pPr>
            <w:r>
              <w:rPr/>
              <w:t xml:space="preserve">Smaller reporting company </w:t>
            </w:r>
            <w:r>
              <w:rPr>
                <w:rFonts w:ascii="Wingdings" w:hAnsi="Wingdings"/>
              </w:rPr>
              <w:t>o</w:t>
            </w:r>
          </w:p>
        </w:tc>
      </w:tr>
      <w:tr>
        <w:trPr/>
        <w:tc>
          <w:tcPr>
            <w:tcW w:w="2105"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1894" w:type="dxa"/>
            <w:tcBorders/>
            <w:shd w:fill="auto" w:val="clear"/>
          </w:tcPr>
          <w:p>
            <w:pPr>
              <w:pStyle w:val="TableContents"/>
              <w:spacing w:before="0" w:after="283"/>
              <w:jc w:val="center"/>
              <w:rPr/>
            </w:pPr>
            <w:r>
              <w:rPr/>
              <w:t> </w:t>
            </w:r>
          </w:p>
        </w:tc>
        <w:tc>
          <w:tcPr>
            <w:tcW w:w="104" w:type="dxa"/>
            <w:tcBorders/>
            <w:shd w:fill="auto" w:val="clear"/>
            <w:vAlign w:val="bottom"/>
          </w:tcPr>
          <w:p>
            <w:pPr>
              <w:pStyle w:val="TableContents"/>
              <w:spacing w:before="0" w:after="283"/>
              <w:rPr/>
            </w:pPr>
            <w:r>
              <w:rPr/>
              <w:t> </w:t>
            </w:r>
          </w:p>
        </w:tc>
        <w:tc>
          <w:tcPr>
            <w:tcW w:w="3579" w:type="dxa"/>
            <w:tcBorders/>
            <w:shd w:fill="auto" w:val="clear"/>
          </w:tcPr>
          <w:p>
            <w:pPr>
              <w:pStyle w:val="TableContents"/>
              <w:spacing w:before="0" w:after="283"/>
              <w:jc w:val="center"/>
              <w:rPr/>
            </w:pPr>
            <w:r>
              <w:rPr/>
              <w:t>(Do not check if a smaller reporting company)</w:t>
            </w:r>
          </w:p>
        </w:tc>
        <w:tc>
          <w:tcPr>
            <w:tcW w:w="104" w:type="dxa"/>
            <w:tcBorders/>
            <w:shd w:fill="auto" w:val="clear"/>
            <w:vAlign w:val="bottom"/>
          </w:tcPr>
          <w:p>
            <w:pPr>
              <w:pStyle w:val="TableContents"/>
              <w:spacing w:before="0" w:after="283"/>
              <w:rPr/>
            </w:pPr>
            <w:r>
              <w:rPr/>
              <w:t> </w:t>
            </w:r>
          </w:p>
        </w:tc>
        <w:tc>
          <w:tcPr>
            <w:tcW w:w="2315" w:type="dxa"/>
            <w:tcBorders/>
            <w:shd w:fill="auto" w:val="clear"/>
          </w:tcPr>
          <w:p>
            <w:pPr>
              <w:pStyle w:val="TableContents"/>
              <w:spacing w:before="0" w:after="283"/>
              <w:jc w:val="right"/>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APPLICABLE ONLY TO CORPORATE ISSUERS:</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only class of voting securities of the registrant issued and outstanding is the Class B Voting Common Stock, par value $.01 per share, all of which is owned by an affiliate of the registrant. There is no trading market for the Class B Voting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June 30, 2011, 46,971,535 shares of the registrants Class A Non-voting Common Stock, par value $.01 per share, and 2,970,171 shares of the registrants Class B Voting Common Stock, par value $.01 per share, were outstanding.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D82588tocpage"/>
      <w:bookmarkEnd w:id="2"/>
      <w:r>
        <w:rPr>
          <w:rFonts w:ascii="Times New Roman;Times;serif" w:hAnsi="Times New Roman;Times;serif"/>
          <w:b/>
          <w:sz w:val="17"/>
        </w:rPr>
        <w:t>EZCORP,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INDEX TO FORM 10-Q</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62"/>
        <w:gridCol w:w="509"/>
        <w:gridCol w:w="101"/>
        <w:gridCol w:w="508"/>
        <w:gridCol w:w="101"/>
        <w:gridCol w:w="24"/>
      </w:tblGrid>
      <w:tr>
        <w:trPr/>
        <w:tc>
          <w:tcPr>
            <w:tcW w:w="89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225" w:right="0" w:hanging="225"/>
              <w:rPr/>
            </w:pPr>
            <w:hyperlink w:anchor="D82588101">
              <w:r>
                <w:rPr>
                  <w:rStyle w:val="InternetLink"/>
                </w:rPr>
                <w:t>PART I. FINANCIAL INFORMATION</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450" w:right="0" w:hanging="225"/>
              <w:rPr/>
            </w:pPr>
            <w:hyperlink w:anchor="D82588102">
              <w:r>
                <w:rPr>
                  <w:rStyle w:val="InternetLink"/>
                  <w:i/>
                </w:rPr>
                <w:t>Item 1. Financial Statements (Unaudited)</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675" w:right="0" w:hanging="225"/>
              <w:rPr/>
            </w:pPr>
            <w:hyperlink w:anchor="D82588103">
              <w:r>
                <w:rPr>
                  <w:rStyle w:val="InternetLink"/>
                </w:rPr>
                <w:t>Condensed Consolidated Balance Sheets as of June 30, 2011, June 30, 2010 and September 30, 2010 (audited)</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9471" w:type="dxa"/>
            <w:gridSpan w:val="2"/>
            <w:tcBorders/>
            <w:shd w:fill="auto" w:val="clear"/>
            <w:vAlign w:val="bottom"/>
          </w:tcPr>
          <w:p>
            <w:pPr>
              <w:pStyle w:val="TableContents"/>
              <w:spacing w:before="0" w:after="0"/>
              <w:ind w:left="675" w:right="0" w:hanging="225"/>
              <w:rPr/>
            </w:pPr>
            <w:hyperlink w:anchor="D82588104">
              <w:r>
                <w:rPr>
                  <w:rStyle w:val="InternetLink"/>
                </w:rPr>
                <w:t>Condensed Consolidated Statements of Operations for the Three Months and Nine Months Ended June 30, 2011 and 2010</w:t>
              </w:r>
            </w:hyperlink>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2</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675" w:right="0" w:hanging="225"/>
              <w:rPr/>
            </w:pPr>
            <w:hyperlink w:anchor="D82588105">
              <w:r>
                <w:rPr>
                  <w:rStyle w:val="InternetLink"/>
                </w:rPr>
                <w:t>Condensed Consolidated Statements of Cash Flows for the Nine Months Ended June 30, 2011 and 2010</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3</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675" w:right="0" w:hanging="225"/>
              <w:rPr/>
            </w:pPr>
            <w:hyperlink w:anchor="D82588106">
              <w:r>
                <w:rPr>
                  <w:rStyle w:val="InternetLink"/>
                </w:rPr>
                <w:t>Notes to Interim Condensed Consolidated Financial Statements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4</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450" w:right="0" w:hanging="225"/>
              <w:rPr/>
            </w:pPr>
            <w:hyperlink w:anchor="D82588107">
              <w:r>
                <w:rPr>
                  <w:rStyle w:val="InternetLink"/>
                  <w:i/>
                </w:rPr>
                <w:t>Item 2. Managements Discussion and Analysis of Financial Condition and Results of Operations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18</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450" w:right="0" w:hanging="225"/>
              <w:rPr/>
            </w:pPr>
            <w:hyperlink w:anchor="D82588108">
              <w:r>
                <w:rPr>
                  <w:rStyle w:val="InternetLink"/>
                  <w:i/>
                </w:rPr>
                <w:t>Item 3. Quantitative and Qualitative Disclosures about Market Risk</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36</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450" w:right="0" w:hanging="225"/>
              <w:rPr/>
            </w:pPr>
            <w:hyperlink w:anchor="D82588109">
              <w:r>
                <w:rPr>
                  <w:rStyle w:val="InternetLink"/>
                  <w:i/>
                </w:rPr>
                <w:t>Item 4. Controls and Procedures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38</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225" w:right="0" w:hanging="225"/>
              <w:rPr/>
            </w:pPr>
            <w:hyperlink w:anchor="D82588110">
              <w:r>
                <w:rPr>
                  <w:rStyle w:val="InternetLink"/>
                </w:rPr>
                <w:t>PART II. OTHER INFORMATION</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450" w:right="0" w:hanging="225"/>
              <w:rPr/>
            </w:pPr>
            <w:hyperlink w:anchor="D82588111">
              <w:r>
                <w:rPr>
                  <w:rStyle w:val="InternetLink"/>
                  <w:i/>
                </w:rPr>
                <w:t>Item 1. Legal Proceedings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39</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450" w:right="0" w:hanging="225"/>
              <w:rPr/>
            </w:pPr>
            <w:hyperlink w:anchor="D82588112">
              <w:r>
                <w:rPr>
                  <w:rStyle w:val="InternetLink"/>
                  <w:i/>
                </w:rPr>
                <w:t>Item 1A. Risk Factors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39</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450" w:right="0" w:hanging="225"/>
              <w:rPr/>
            </w:pPr>
            <w:hyperlink w:anchor="D82588113">
              <w:r>
                <w:rPr>
                  <w:rStyle w:val="InternetLink"/>
                  <w:i/>
                </w:rPr>
                <w:t>Item 6. Exhibits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40</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225" w:right="0" w:hanging="225"/>
              <w:rPr/>
            </w:pPr>
            <w:hyperlink w:anchor="D82588114">
              <w:r>
                <w:rPr>
                  <w:rStyle w:val="InternetLink"/>
                </w:rPr>
                <w:t>SIGNATURE</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41</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2" w:type="dxa"/>
            <w:tcBorders/>
            <w:shd w:fill="auto" w:val="clear"/>
            <w:vAlign w:val="bottom"/>
          </w:tcPr>
          <w:p>
            <w:pPr>
              <w:pStyle w:val="TableContents"/>
              <w:spacing w:before="0" w:after="0"/>
              <w:ind w:left="225" w:right="0" w:hanging="225"/>
              <w:rPr/>
            </w:pPr>
            <w:hyperlink w:anchor="D82588115">
              <w:r>
                <w:rPr>
                  <w:rStyle w:val="InternetLink"/>
                </w:rPr>
                <w:t>EXHIBIT INDEX</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42</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d82588exv31w1.htm">
              <w:r>
                <w:rPr>
                  <w:rStyle w:val="InternetLink"/>
                  <w:sz w:val="20"/>
                </w:rPr>
                <w:t>EX-31.1</w:t>
              </w:r>
            </w:hyperlink>
          </w:p>
        </w:tc>
      </w:tr>
      <w:tr>
        <w:trPr/>
        <w:tc>
          <w:tcPr>
            <w:tcW w:w="10205" w:type="dxa"/>
            <w:gridSpan w:val="6"/>
            <w:tcBorders/>
            <w:shd w:fill="auto" w:val="clear"/>
            <w:vAlign w:val="center"/>
          </w:tcPr>
          <w:p>
            <w:pPr>
              <w:pStyle w:val="TableContents"/>
              <w:spacing w:before="0" w:after="283"/>
              <w:rPr/>
            </w:pPr>
            <w:r>
              <w:rPr/>
              <w:t> </w:t>
            </w:r>
            <w:hyperlink w:anchor="d82588exv31w2.htm">
              <w:r>
                <w:rPr>
                  <w:rStyle w:val="InternetLink"/>
                  <w:sz w:val="20"/>
                </w:rPr>
                <w:t>EX-31.2</w:t>
              </w:r>
            </w:hyperlink>
          </w:p>
        </w:tc>
      </w:tr>
      <w:tr>
        <w:trPr/>
        <w:tc>
          <w:tcPr>
            <w:tcW w:w="10205" w:type="dxa"/>
            <w:gridSpan w:val="6"/>
            <w:tcBorders/>
            <w:shd w:fill="auto" w:val="clear"/>
            <w:vAlign w:val="center"/>
          </w:tcPr>
          <w:p>
            <w:pPr>
              <w:pStyle w:val="TableContents"/>
              <w:spacing w:before="0" w:after="283"/>
              <w:rPr/>
            </w:pPr>
            <w:r>
              <w:rPr/>
              <w:t> </w:t>
            </w:r>
            <w:hyperlink w:anchor="d82588exv32w1.htm">
              <w:r>
                <w:rPr>
                  <w:rStyle w:val="InternetLink"/>
                  <w:sz w:val="20"/>
                </w:rPr>
                <w:t>EX-32.1</w:t>
              </w:r>
            </w:hyperlink>
          </w:p>
        </w:tc>
      </w:tr>
      <w:tr>
        <w:trPr/>
        <w:tc>
          <w:tcPr>
            <w:tcW w:w="10205" w:type="dxa"/>
            <w:gridSpan w:val="6"/>
            <w:tcBorders/>
            <w:shd w:fill="auto" w:val="clear"/>
            <w:vAlign w:val="center"/>
          </w:tcPr>
          <w:p>
            <w:pPr>
              <w:pStyle w:val="TableContents"/>
              <w:spacing w:before="0" w:after="283"/>
              <w:rPr/>
            </w:pPr>
            <w:r>
              <w:rPr/>
              <w:t> </w:t>
            </w:r>
            <w:hyperlink w:anchor="ezpw-20110630.xml">
              <w:r>
                <w:rPr>
                  <w:rStyle w:val="InternetLink"/>
                  <w:sz w:val="20"/>
                </w:rPr>
                <w:t>EX-101 INSTANCE DOCUMENT</w:t>
              </w:r>
            </w:hyperlink>
          </w:p>
        </w:tc>
      </w:tr>
      <w:tr>
        <w:trPr/>
        <w:tc>
          <w:tcPr>
            <w:tcW w:w="10205" w:type="dxa"/>
            <w:gridSpan w:val="6"/>
            <w:tcBorders/>
            <w:shd w:fill="auto" w:val="clear"/>
            <w:vAlign w:val="center"/>
          </w:tcPr>
          <w:p>
            <w:pPr>
              <w:pStyle w:val="TableContents"/>
              <w:spacing w:before="0" w:after="283"/>
              <w:rPr/>
            </w:pPr>
            <w:r>
              <w:rPr/>
              <w:t> </w:t>
            </w:r>
            <w:hyperlink w:anchor="ezpw-20110630.xsd">
              <w:r>
                <w:rPr>
                  <w:rStyle w:val="InternetLink"/>
                  <w:sz w:val="20"/>
                </w:rPr>
                <w:t>EX-101 SCHEMA DOCUMENT</w:t>
              </w:r>
            </w:hyperlink>
          </w:p>
        </w:tc>
      </w:tr>
      <w:tr>
        <w:trPr/>
        <w:tc>
          <w:tcPr>
            <w:tcW w:w="10205" w:type="dxa"/>
            <w:gridSpan w:val="6"/>
            <w:tcBorders/>
            <w:shd w:fill="auto" w:val="clear"/>
            <w:vAlign w:val="center"/>
          </w:tcPr>
          <w:p>
            <w:pPr>
              <w:pStyle w:val="TableContents"/>
              <w:spacing w:before="0" w:after="283"/>
              <w:rPr/>
            </w:pPr>
            <w:r>
              <w:rPr/>
              <w:t> </w:t>
            </w:r>
            <w:hyperlink w:anchor="ezpw-20110630_cal.xml">
              <w:r>
                <w:rPr>
                  <w:rStyle w:val="InternetLink"/>
                  <w:sz w:val="20"/>
                </w:rPr>
                <w:t>EX-101 CALCULATION LINKBASE DOCUMENT</w:t>
              </w:r>
            </w:hyperlink>
          </w:p>
        </w:tc>
      </w:tr>
      <w:tr>
        <w:trPr/>
        <w:tc>
          <w:tcPr>
            <w:tcW w:w="10205" w:type="dxa"/>
            <w:gridSpan w:val="6"/>
            <w:tcBorders/>
            <w:shd w:fill="auto" w:val="clear"/>
            <w:vAlign w:val="center"/>
          </w:tcPr>
          <w:p>
            <w:pPr>
              <w:pStyle w:val="TableContents"/>
              <w:spacing w:before="0" w:after="283"/>
              <w:rPr/>
            </w:pPr>
            <w:r>
              <w:rPr/>
              <w:t> </w:t>
            </w:r>
            <w:hyperlink w:anchor="ezpw-20110630_lab.xml">
              <w:r>
                <w:rPr>
                  <w:rStyle w:val="InternetLink"/>
                  <w:sz w:val="20"/>
                </w:rPr>
                <w:t>EX-101 LABELS LINKBASE DOCUMENT</w:t>
              </w:r>
            </w:hyperlink>
          </w:p>
        </w:tc>
      </w:tr>
      <w:tr>
        <w:trPr/>
        <w:tc>
          <w:tcPr>
            <w:tcW w:w="10205" w:type="dxa"/>
            <w:gridSpan w:val="6"/>
            <w:tcBorders/>
            <w:shd w:fill="auto" w:val="clear"/>
            <w:vAlign w:val="center"/>
          </w:tcPr>
          <w:p>
            <w:pPr>
              <w:pStyle w:val="TableContents"/>
              <w:spacing w:before="0" w:after="283"/>
              <w:rPr/>
            </w:pPr>
            <w:r>
              <w:rPr/>
              <w:t> </w:t>
            </w:r>
            <w:hyperlink w:anchor="ezpw-20110630_pre.xml">
              <w:r>
                <w:rPr>
                  <w:rStyle w:val="InternetLink"/>
                  <w:sz w:val="20"/>
                </w:rPr>
                <w:t>EX-101 PRESENTATION LINKBASE DOCUMENT</w:t>
              </w:r>
            </w:hyperlink>
          </w:p>
        </w:tc>
      </w:tr>
      <w:tr>
        <w:trPr/>
        <w:tc>
          <w:tcPr>
            <w:tcW w:w="10205" w:type="dxa"/>
            <w:gridSpan w:val="6"/>
            <w:tcBorders/>
            <w:shd w:fill="auto" w:val="clear"/>
            <w:vAlign w:val="center"/>
          </w:tcPr>
          <w:p>
            <w:pPr>
              <w:pStyle w:val="TableContents"/>
              <w:spacing w:before="0" w:after="283"/>
              <w:rPr/>
            </w:pPr>
            <w:r>
              <w:rPr/>
              <w:t> </w:t>
            </w:r>
            <w:hyperlink w:anchor="ezpw-20110630_def.xml">
              <w:r>
                <w:rPr>
                  <w:rStyle w:val="InternetLink"/>
                  <w:sz w:val="20"/>
                </w:rPr>
                <w:t>EX-101 DEFINITION LINKBASE DOCUMENT</w:t>
              </w:r>
            </w:hyperlink>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360" w:after="283"/>
        <w:jc w:val="center"/>
        <w:rPr>
          <w:rFonts w:ascii="Times New Roman;Times;serif" w:hAnsi="Times New Roman;Times;serif"/>
          <w:sz w:val="17"/>
        </w:rPr>
      </w:pPr>
      <w:bookmarkStart w:id="3" w:name="D82588101"/>
      <w:bookmarkEnd w:id="3"/>
      <w:r>
        <w:rPr>
          <w:rFonts w:ascii="Times New Roman;Times;serif" w:hAnsi="Times New Roman;Times;serif"/>
          <w:b/>
          <w:sz w:val="17"/>
        </w:rPr>
        <w:t>PART I</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4" w:name="D82588102"/>
      <w:bookmarkEnd w:id="4"/>
      <w:r>
        <w:rPr>
          <w:rFonts w:ascii="Times New Roman;Times;serif" w:hAnsi="Times New Roman;Times;serif"/>
          <w:b/>
          <w:i/>
          <w:sz w:val="17"/>
        </w:rPr>
        <w:t>Item 1.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bookmarkStart w:id="5" w:name="D82588103"/>
      <w:bookmarkEnd w:id="5"/>
      <w:r>
        <w:rPr>
          <w:rFonts w:ascii="Times New Roman;Times;serif" w:hAnsi="Times New Roman;Times;serif"/>
          <w:sz w:val="17"/>
        </w:rPr>
        <w:t xml:space="preserve">Condensed Consolidated Balance Sheets </w:t>
      </w:r>
    </w:p>
    <w:tbl>
      <w:tblPr>
        <w:tblW w:w="5000" w:type="pct"/>
        <w:jc w:val="center"/>
        <w:tblInd w:w="0" w:type="dxa"/>
        <w:tblCellMar>
          <w:top w:w="0" w:type="dxa"/>
          <w:left w:w="0" w:type="dxa"/>
          <w:bottom w:w="0" w:type="dxa"/>
          <w:right w:w="0" w:type="dxa"/>
        </w:tblCellMar>
      </w:tblPr>
      <w:tblGrid>
        <w:gridCol w:w="4867"/>
        <w:gridCol w:w="353"/>
        <w:gridCol w:w="192"/>
        <w:gridCol w:w="1056"/>
        <w:gridCol w:w="106"/>
        <w:gridCol w:w="353"/>
        <w:gridCol w:w="192"/>
        <w:gridCol w:w="1056"/>
        <w:gridCol w:w="131"/>
        <w:gridCol w:w="353"/>
        <w:gridCol w:w="215"/>
        <w:gridCol w:w="1190"/>
        <w:gridCol w:w="141"/>
      </w:tblGrid>
      <w:tr>
        <w:trPr/>
        <w:tc>
          <w:tcPr>
            <w:tcW w:w="4867"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48" w:type="dxa"/>
            <w:gridSpan w:val="2"/>
            <w:tcBorders/>
            <w:shd w:fill="auto" w:val="clear"/>
            <w:vAlign w:val="bottom"/>
          </w:tcPr>
          <w:p>
            <w:pPr>
              <w:pStyle w:val="TableContents"/>
              <w:spacing w:before="0" w:after="283"/>
              <w:jc w:val="center"/>
              <w:rPr/>
            </w:pPr>
            <w:r>
              <w:rPr/>
              <w:t>June 30,</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48" w:type="dxa"/>
            <w:gridSpan w:val="2"/>
            <w:tcBorders/>
            <w:shd w:fill="auto" w:val="clear"/>
            <w:vAlign w:val="bottom"/>
          </w:tcPr>
          <w:p>
            <w:pPr>
              <w:pStyle w:val="TableContents"/>
              <w:spacing w:before="0" w:after="283"/>
              <w:jc w:val="center"/>
              <w:rPr/>
            </w:pPr>
            <w:r>
              <w:rPr/>
              <w:t>June 30,</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283"/>
              <w:jc w:val="center"/>
              <w:rPr/>
            </w:pPr>
            <w:r>
              <w:rPr/>
              <w:t>September 30,</w:t>
            </w:r>
          </w:p>
        </w:tc>
        <w:tc>
          <w:tcPr>
            <w:tcW w:w="141" w:type="dxa"/>
            <w:tcBorders/>
            <w:shd w:fill="auto"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06" w:type="dxa"/>
            <w:tcBorders>
              <w:bottom w:val="single" w:sz="2" w:space="0" w:color="000000"/>
            </w:tcBorders>
            <w:shd w:fill="auto" w:val="clear"/>
            <w:tcMar>
              <w:bottom w:w="28" w:type="dxa"/>
            </w:tcMar>
            <w:vAlign w:val="bottom"/>
          </w:tcPr>
          <w:p>
            <w:pPr>
              <w:pStyle w:val="TableContents"/>
              <w:spacing w:before="0" w:after="283"/>
              <w:rPr/>
            </w:pPr>
            <w:r>
              <w:rPr/>
              <w:t> </w:t>
            </w:r>
          </w:p>
        </w:tc>
        <w:tc>
          <w:tcPr>
            <w:tcW w:w="353" w:type="dxa"/>
            <w:tcBorders>
              <w:bottom w:val="single" w:sz="2" w:space="0" w:color="000000"/>
            </w:tcBorders>
            <w:shd w:fill="auto" w:val="clear"/>
            <w:tcMar>
              <w:bottom w:w="28" w:type="dxa"/>
            </w:tcMar>
            <w:vAlign w:val="bottom"/>
          </w:tcPr>
          <w:p>
            <w:pPr>
              <w:pStyle w:val="TableContents"/>
              <w:spacing w:before="0" w:after="283"/>
              <w:rPr/>
            </w:pPr>
            <w:r>
              <w:rPr/>
              <w:t> </w:t>
            </w:r>
          </w:p>
        </w:tc>
        <w:tc>
          <w:tcPr>
            <w:tcW w:w="12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1" w:type="dxa"/>
            <w:tcBorders>
              <w:bottom w:val="single" w:sz="2" w:space="0" w:color="000000"/>
            </w:tcBorders>
            <w:shd w:fill="auto" w:val="clear"/>
            <w:tcMar>
              <w:bottom w:w="28" w:type="dxa"/>
            </w:tcMar>
            <w:vAlign w:val="bottom"/>
          </w:tcPr>
          <w:p>
            <w:pPr>
              <w:pStyle w:val="TableContents"/>
              <w:spacing w:before="0" w:after="283"/>
              <w:rPr/>
            </w:pPr>
            <w:r>
              <w:rPr/>
              <w:t> </w:t>
            </w:r>
          </w:p>
        </w:tc>
        <w:tc>
          <w:tcPr>
            <w:tcW w:w="353" w:type="dxa"/>
            <w:tcBorders>
              <w:bottom w:val="single" w:sz="2" w:space="0" w:color="000000"/>
            </w:tcBorders>
            <w:shd w:fill="auto" w:val="clear"/>
            <w:tcMar>
              <w:bottom w:w="28" w:type="dxa"/>
            </w:tcMar>
            <w:vAlign w:val="bottom"/>
          </w:tcPr>
          <w:p>
            <w:pPr>
              <w:pStyle w:val="TableContents"/>
              <w:spacing w:before="0" w:after="283"/>
              <w:rPr/>
            </w:pPr>
            <w:r>
              <w:rPr/>
              <w:t> </w:t>
            </w:r>
          </w:p>
        </w:tc>
        <w:tc>
          <w:tcPr>
            <w:tcW w:w="140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1" w:type="dxa"/>
            <w:tcBorders/>
            <w:shd w:fill="auto"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48"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(Unaudited)</w:t>
            </w:r>
          </w:p>
        </w:tc>
        <w:tc>
          <w:tcPr>
            <w:tcW w:w="106" w:type="dxa"/>
            <w:tcBorders>
              <w:bottom w:val="single" w:sz="2" w:space="0" w:color="000000"/>
            </w:tcBorders>
            <w:shd w:fill="auto" w:val="clear"/>
            <w:tcMar>
              <w:bottom w:w="28" w:type="dxa"/>
            </w:tcMar>
            <w:vAlign w:val="bottom"/>
          </w:tcPr>
          <w:p>
            <w:pPr>
              <w:pStyle w:val="TableContents"/>
              <w:spacing w:before="0" w:after="283"/>
              <w:rPr/>
            </w:pPr>
            <w:r>
              <w:rPr/>
              <w:t> </w:t>
            </w:r>
          </w:p>
        </w:tc>
        <w:tc>
          <w:tcPr>
            <w:tcW w:w="353" w:type="dxa"/>
            <w:tcBorders>
              <w:bottom w:val="single" w:sz="2" w:space="0" w:color="000000"/>
            </w:tcBorders>
            <w:shd w:fill="auto" w:val="clear"/>
            <w:tcMar>
              <w:bottom w:w="28" w:type="dxa"/>
            </w:tcMar>
            <w:vAlign w:val="bottom"/>
          </w:tcPr>
          <w:p>
            <w:pPr>
              <w:pStyle w:val="TableContents"/>
              <w:spacing w:before="0" w:after="283"/>
              <w:rPr/>
            </w:pPr>
            <w:r>
              <w:rPr/>
              <w:t> </w:t>
            </w:r>
          </w:p>
        </w:tc>
        <w:tc>
          <w:tcPr>
            <w:tcW w:w="1248"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(Unaudited)</w:t>
            </w:r>
          </w:p>
        </w:tc>
        <w:tc>
          <w:tcPr>
            <w:tcW w:w="131" w:type="dxa"/>
            <w:tcBorders>
              <w:bottom w:val="single" w:sz="2" w:space="0" w:color="000000"/>
            </w:tcBorders>
            <w:shd w:fill="auto" w:val="clear"/>
            <w:tcMar>
              <w:bottom w:w="28" w:type="dxa"/>
            </w:tcMar>
            <w:vAlign w:val="bottom"/>
          </w:tcPr>
          <w:p>
            <w:pPr>
              <w:pStyle w:val="TableContents"/>
              <w:spacing w:before="0" w:after="283"/>
              <w:rPr/>
            </w:pPr>
            <w:r>
              <w:rPr/>
              <w:t> </w:t>
            </w:r>
          </w:p>
        </w:tc>
        <w:tc>
          <w:tcPr>
            <w:tcW w:w="353" w:type="dxa"/>
            <w:tcBorders>
              <w:bottom w:val="single" w:sz="2" w:space="0" w:color="000000"/>
            </w:tcBorders>
            <w:shd w:fill="auto" w:val="clear"/>
            <w:tcMar>
              <w:bottom w:w="28" w:type="dxa"/>
            </w:tcMar>
            <w:vAlign w:val="bottom"/>
          </w:tcPr>
          <w:p>
            <w:pPr>
              <w:pStyle w:val="TableContents"/>
              <w:spacing w:before="0" w:after="283"/>
              <w:rPr/>
            </w:pPr>
            <w:r>
              <w:rPr/>
              <w:t> </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c>
          <w:tcPr>
            <w:tcW w:w="1190" w:type="dxa"/>
            <w:tcBorders>
              <w:bottom w:val="single" w:sz="2" w:space="0" w:color="000000"/>
            </w:tcBorders>
            <w:shd w:fill="auto" w:val="clear"/>
            <w:tcMar>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4844" w:type="dxa"/>
            <w:gridSpan w:val="10"/>
            <w:tcBorders/>
            <w:shd w:fill="auto" w:val="clear"/>
            <w:vAlign w:val="bottom"/>
          </w:tcPr>
          <w:p>
            <w:pPr>
              <w:pStyle w:val="TableContents"/>
              <w:spacing w:before="0" w:after="283"/>
              <w:jc w:val="center"/>
              <w:rPr/>
            </w:pPr>
            <w:r>
              <w:rPr/>
              <w:t>(</w:t>
            </w:r>
            <w:r>
              <w:rPr>
                <w:i/>
              </w:rPr>
              <w:t>In thousands)</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225" w:right="0" w:hanging="225"/>
              <w:rPr/>
            </w:pPr>
            <w:r>
              <w:rPr/>
              <w:t>Assets:</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450" w:right="0" w:hanging="225"/>
              <w:rPr/>
            </w:pPr>
            <w:r>
              <w:rPr/>
              <w:t>Current assets:</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675" w:right="0" w:hanging="225"/>
              <w:rPr/>
            </w:pPr>
            <w:r>
              <w:rPr/>
              <w:t>Cash and cash equivalents</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56" w:type="dxa"/>
            <w:tcBorders/>
            <w:shd w:fill="CCEEFF" w:val="clear"/>
            <w:vAlign w:val="bottom"/>
          </w:tcPr>
          <w:p>
            <w:pPr>
              <w:pStyle w:val="TableContents"/>
              <w:spacing w:before="0" w:after="283"/>
              <w:jc w:val="right"/>
              <w:rPr/>
            </w:pPr>
            <w:r>
              <w:rPr/>
              <w:t>27,492</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56" w:type="dxa"/>
            <w:tcBorders/>
            <w:shd w:fill="CCEEFF" w:val="clear"/>
            <w:vAlign w:val="bottom"/>
          </w:tcPr>
          <w:p>
            <w:pPr>
              <w:pStyle w:val="TableContents"/>
              <w:spacing w:before="0" w:after="283"/>
              <w:jc w:val="right"/>
              <w:rPr/>
            </w:pPr>
            <w:r>
              <w:rPr/>
              <w:t>14,912</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90" w:type="dxa"/>
            <w:tcBorders/>
            <w:shd w:fill="CCEEFF" w:val="clear"/>
            <w:vAlign w:val="bottom"/>
          </w:tcPr>
          <w:p>
            <w:pPr>
              <w:pStyle w:val="TableContents"/>
              <w:spacing w:before="0" w:after="283"/>
              <w:jc w:val="right"/>
              <w:rPr/>
            </w:pPr>
            <w:r>
              <w:rPr/>
              <w:t>25,854</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675" w:right="0" w:hanging="225"/>
              <w:rPr/>
            </w:pPr>
            <w:r>
              <w:rPr/>
              <w:t>Pawn loans</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134,633</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112,807</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121,201</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675" w:right="0" w:hanging="225"/>
              <w:rPr/>
            </w:pPr>
            <w:r>
              <w:rPr/>
              <w:t>Signature loans, net</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12,089</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8,915</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10,775</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675" w:right="0" w:hanging="225"/>
              <w:rPr/>
            </w:pPr>
            <w:r>
              <w:rPr/>
              <w:t>Auto title loans, net</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2,348</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2,802</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3,145</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675" w:right="0" w:hanging="225"/>
              <w:rPr/>
            </w:pPr>
            <w:r>
              <w:rPr/>
              <w:t>Pawn service charges receivable, net</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24,372</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19,899</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21,626</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675" w:right="0" w:hanging="225"/>
              <w:rPr/>
            </w:pPr>
            <w:r>
              <w:rPr/>
              <w:t>Signature loan fees receivable, net</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5,646</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5,493</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5,818</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675" w:right="0" w:hanging="225"/>
              <w:rPr/>
            </w:pPr>
            <w:r>
              <w:rPr/>
              <w:t>Auto title loan fees receivable, net</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1,238</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1,314</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1,616</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675" w:right="0" w:hanging="225"/>
              <w:rPr/>
            </w:pPr>
            <w:r>
              <w:rPr/>
              <w:t>Inventory, net</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79,031</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61,027</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71,502</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675" w:right="0" w:hanging="225"/>
              <w:rPr/>
            </w:pPr>
            <w:r>
              <w:rPr/>
              <w:t>Deferred tax asset</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16,150</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15,857</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23,208</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675" w:right="0" w:hanging="225"/>
              <w:rPr/>
            </w:pPr>
            <w:r>
              <w:rPr/>
              <w:t>Income taxes receivable</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3,099</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10,655</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675" w:right="0" w:hanging="225"/>
              <w:rPr/>
            </w:pPr>
            <w:r>
              <w:rPr/>
              <w:t>Prepaid expenses and other assets</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21,932</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15,179</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17,427</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4867" w:type="dxa"/>
            <w:tcBorders/>
            <w:shd w:fill="auto" w:val="clear"/>
            <w:vAlign w:val="bottom"/>
          </w:tcPr>
          <w:p>
            <w:pPr>
              <w:pStyle w:val="TableContents"/>
              <w:spacing w:before="0" w:after="0"/>
              <w:ind w:left="900" w:right="0" w:hanging="225"/>
              <w:rPr/>
            </w:pPr>
            <w:r>
              <w:rPr/>
              <w:t>Total current assets</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328,030</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268,860</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302,172</w:t>
            </w:r>
          </w:p>
        </w:tc>
        <w:tc>
          <w:tcPr>
            <w:tcW w:w="141" w:type="dxa"/>
            <w:tcBorders/>
            <w:shd w:fill="auto"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225" w:right="0" w:hanging="225"/>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450" w:right="0" w:hanging="225"/>
              <w:rPr/>
            </w:pPr>
            <w:r>
              <w:rPr/>
              <w:t>Investments in unconsolidated affiliates</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114,777</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99,773</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101,386</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450" w:right="0" w:hanging="225"/>
              <w:rPr/>
            </w:pPr>
            <w:r>
              <w:rPr/>
              <w:t>Property and equipment, net</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75,049</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59,045</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62,293</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450" w:right="0" w:hanging="225"/>
              <w:rPr/>
            </w:pPr>
            <w:r>
              <w:rPr/>
              <w:t>Deferred tax asset, non-current</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5,472</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60</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450" w:right="0" w:hanging="225"/>
              <w:rPr/>
            </w:pPr>
            <w:r>
              <w:rPr/>
              <w:t>Goodwill</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167,017</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115,570</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117,305</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450" w:right="0" w:hanging="225"/>
              <w:rPr/>
            </w:pPr>
            <w:r>
              <w:rPr/>
              <w:t>Other assets, net</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28,748</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22,663</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23,196</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4867" w:type="dxa"/>
            <w:tcBorders/>
            <w:shd w:fill="auto" w:val="clear"/>
            <w:vAlign w:val="bottom"/>
          </w:tcPr>
          <w:p>
            <w:pPr>
              <w:pStyle w:val="TableContents"/>
              <w:spacing w:before="0" w:after="0"/>
              <w:ind w:left="900" w:right="0" w:hanging="225"/>
              <w:rPr/>
            </w:pPr>
            <w:r>
              <w:rPr/>
              <w:t>Total assets</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713,621</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571,383</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90" w:type="dxa"/>
            <w:tcBorders/>
            <w:shd w:fill="auto" w:val="clear"/>
            <w:vAlign w:val="bottom"/>
          </w:tcPr>
          <w:p>
            <w:pPr>
              <w:pStyle w:val="TableContents"/>
              <w:spacing w:before="0" w:after="283"/>
              <w:jc w:val="right"/>
              <w:rPr/>
            </w:pPr>
            <w:r>
              <w:rPr/>
              <w:t>606,412</w:t>
            </w:r>
          </w:p>
        </w:tc>
        <w:tc>
          <w:tcPr>
            <w:tcW w:w="141" w:type="dxa"/>
            <w:tcBorders/>
            <w:shd w:fill="auto" w:val="clear"/>
            <w:vAlign w:val="bottom"/>
          </w:tcPr>
          <w:p>
            <w:pPr>
              <w:pStyle w:val="TableContents"/>
              <w:spacing w:before="0" w:after="283"/>
              <w:rPr/>
            </w:pPr>
            <w:r>
              <w:rPr/>
              <w:t> </w:t>
            </w:r>
          </w:p>
        </w:tc>
      </w:tr>
      <w:tr>
        <w:trPr/>
        <w:tc>
          <w:tcPr>
            <w:tcW w:w="4867"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4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4867" w:type="dxa"/>
            <w:tcBorders/>
            <w:shd w:fill="auto" w:val="clear"/>
            <w:vAlign w:val="bottom"/>
          </w:tcPr>
          <w:p>
            <w:pPr>
              <w:pStyle w:val="TableContents"/>
              <w:spacing w:before="0" w:after="0"/>
              <w:ind w:left="225" w:right="0" w:hanging="225"/>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225" w:right="0" w:hanging="225"/>
              <w:rPr/>
            </w:pPr>
            <w:r>
              <w:rPr/>
              <w:t>Liabilities and stockholders equity:</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450" w:right="0" w:hanging="225"/>
              <w:rPr/>
            </w:pPr>
            <w:r>
              <w:rPr/>
              <w:t>Current liabilities:</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675" w:right="0" w:hanging="225"/>
              <w:rPr/>
            </w:pPr>
            <w:r>
              <w:rPr/>
              <w:t>Current maturities of long-term debt</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56"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56" w:type="dxa"/>
            <w:tcBorders/>
            <w:shd w:fill="CCEEFF" w:val="clear"/>
            <w:vAlign w:val="bottom"/>
          </w:tcPr>
          <w:p>
            <w:pPr>
              <w:pStyle w:val="TableContents"/>
              <w:spacing w:before="0" w:after="283"/>
              <w:jc w:val="right"/>
              <w:rPr/>
            </w:pPr>
            <w:r>
              <w:rPr/>
              <w:t>10,000</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90" w:type="dxa"/>
            <w:tcBorders/>
            <w:shd w:fill="CCEEFF" w:val="clear"/>
            <w:vAlign w:val="bottom"/>
          </w:tcPr>
          <w:p>
            <w:pPr>
              <w:pStyle w:val="TableContents"/>
              <w:spacing w:before="0" w:after="283"/>
              <w:jc w:val="right"/>
              <w:rPr/>
            </w:pPr>
            <w:r>
              <w:rPr/>
              <w:t>10,000</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675" w:right="0" w:hanging="225"/>
              <w:rPr/>
            </w:pPr>
            <w:r>
              <w:rPr/>
              <w:t>Accounts payable and other accrued expenses</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53,242</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44,194</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49,663</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675" w:right="0" w:hanging="225"/>
              <w:rPr/>
            </w:pPr>
            <w:r>
              <w:rPr/>
              <w:t>Customer layaway deposits</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6,131</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5,404</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6,109</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675" w:right="0" w:hanging="225"/>
              <w:rPr/>
            </w:pPr>
            <w:r>
              <w:rPr/>
              <w:t>Income taxes payable</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3,687</w:t>
            </w:r>
          </w:p>
        </w:tc>
        <w:tc>
          <w:tcPr>
            <w:tcW w:w="141" w:type="dxa"/>
            <w:tcBorders/>
            <w:shd w:fill="auto" w:val="clear"/>
            <w:vAlign w:val="bottom"/>
          </w:tcPr>
          <w:p>
            <w:pPr>
              <w:pStyle w:val="TableContents"/>
              <w:spacing w:before="0" w:after="283"/>
              <w:rPr/>
            </w:pPr>
            <w:r>
              <w:rPr/>
              <w:t> </w:t>
            </w:r>
          </w:p>
        </w:tc>
      </w:tr>
      <w:tr>
        <w:trPr/>
        <w:tc>
          <w:tcPr>
            <w:tcW w:w="4867"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900" w:right="0" w:hanging="225"/>
              <w:rPr/>
            </w:pPr>
            <w:r>
              <w:rPr/>
              <w:t>Total current liabilities</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59,373</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59,598</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69,459</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225" w:right="0" w:hanging="225"/>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450" w:right="0" w:hanging="225"/>
              <w:rPr/>
            </w:pPr>
            <w:r>
              <w:rPr/>
              <w:t>Long-term debt, less current maturities</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26,500</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17,500</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15,000</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450" w:right="0" w:hanging="225"/>
              <w:rPr/>
            </w:pPr>
            <w:r>
              <w:rPr/>
              <w:t>Deferred tax liability</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1,237</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450" w:right="0" w:hanging="225"/>
              <w:rPr/>
            </w:pPr>
            <w:r>
              <w:rPr/>
              <w:t>Deferred gains and other long-term liabilities</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2,209</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2,630</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2,525</w:t>
            </w:r>
          </w:p>
        </w:tc>
        <w:tc>
          <w:tcPr>
            <w:tcW w:w="141" w:type="dxa"/>
            <w:tcBorders/>
            <w:shd w:fill="auto" w:val="clear"/>
            <w:vAlign w:val="bottom"/>
          </w:tcPr>
          <w:p>
            <w:pPr>
              <w:pStyle w:val="TableContents"/>
              <w:spacing w:before="0" w:after="283"/>
              <w:rPr/>
            </w:pPr>
            <w:r>
              <w:rPr/>
              <w:t> </w:t>
            </w:r>
          </w:p>
        </w:tc>
      </w:tr>
      <w:tr>
        <w:trPr/>
        <w:tc>
          <w:tcPr>
            <w:tcW w:w="4867"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900" w:right="0" w:hanging="225"/>
              <w:rPr/>
            </w:pPr>
            <w:r>
              <w:rPr/>
              <w:t>Total liabilities</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89,319</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79,728</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86,984</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225" w:right="0" w:hanging="225"/>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450" w:right="0" w:hanging="225"/>
              <w:rPr/>
            </w:pPr>
            <w:r>
              <w:rPr/>
              <w:t>Commitments and contingencies</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450" w:right="0" w:hanging="225"/>
              <w:rPr/>
            </w:pPr>
            <w:r>
              <w:rPr/>
              <w:t>Stockholders equity:</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675" w:right="0" w:hanging="225"/>
              <w:rPr/>
            </w:pPr>
            <w:r>
              <w:rPr/>
              <w:t>Class A Non-voting Common Stock, par value $.01 per share; Authorized 54 million shares; issued and outstanding: 46,971,535 at June 30, 2011; 46,247,951 at June 30, 2010; and 46,256,051 at September 30, 2010</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469</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462</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463</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675" w:right="0" w:hanging="225"/>
              <w:rPr/>
            </w:pPr>
            <w:r>
              <w:rPr/>
              <w:t>Class B Voting Common Stock, convertible, par value $.01 per share; 3 million shares authorized; issued and outstanding: 2,970,171</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30</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30</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30</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900" w:right="0" w:hanging="225"/>
              <w:rPr/>
            </w:pPr>
            <w:r>
              <w:rPr/>
              <w:t>Additional paid-in capital</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233,056</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224,243</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225,374</w:t>
            </w:r>
          </w:p>
        </w:tc>
        <w:tc>
          <w:tcPr>
            <w:tcW w:w="141" w:type="dxa"/>
            <w:tcBorders/>
            <w:shd w:fill="auto" w:val="clear"/>
            <w:vAlign w:val="bottom"/>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675" w:right="0" w:hanging="225"/>
              <w:rPr/>
            </w:pPr>
            <w:r>
              <w:rPr/>
              <w:t>Retained earnings</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385,730</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272,084</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299,936</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0"/>
              <w:ind w:left="675" w:right="0" w:hanging="225"/>
              <w:rPr/>
            </w:pPr>
            <w:r>
              <w:rPr/>
              <w:t>Accumulated other comprehensive income (loss)</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5,017</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jc w:val="right"/>
              <w:rPr/>
            </w:pPr>
            <w:r>
              <w:rPr/>
              <w:t>(5,164</w:t>
            </w:r>
          </w:p>
        </w:tc>
        <w:tc>
          <w:tcPr>
            <w:tcW w:w="131"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90" w:type="dxa"/>
            <w:tcBorders/>
            <w:shd w:fill="auto" w:val="clear"/>
            <w:vAlign w:val="bottom"/>
          </w:tcPr>
          <w:p>
            <w:pPr>
              <w:pStyle w:val="TableContents"/>
              <w:spacing w:before="0" w:after="283"/>
              <w:jc w:val="right"/>
              <w:rPr/>
            </w:pPr>
            <w:r>
              <w:rPr/>
              <w:t>(6,375</w:t>
            </w:r>
          </w:p>
        </w:tc>
        <w:tc>
          <w:tcPr>
            <w:tcW w:w="141" w:type="dxa"/>
            <w:tcBorders/>
            <w:shd w:fill="auto" w:val="clear"/>
            <w:vAlign w:val="bottom"/>
          </w:tcPr>
          <w:p>
            <w:pPr>
              <w:pStyle w:val="TableContents"/>
              <w:spacing w:before="0" w:after="283"/>
              <w:rPr/>
            </w:pPr>
            <w:r>
              <w:rPr/>
              <w:t>)</w:t>
            </w:r>
          </w:p>
        </w:tc>
      </w:tr>
      <w:tr>
        <w:trPr/>
        <w:tc>
          <w:tcPr>
            <w:tcW w:w="4867"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4867" w:type="dxa"/>
            <w:tcBorders/>
            <w:shd w:fill="CCEEFF" w:val="clear"/>
            <w:vAlign w:val="bottom"/>
          </w:tcPr>
          <w:p>
            <w:pPr>
              <w:pStyle w:val="TableContents"/>
              <w:spacing w:before="0" w:after="0"/>
              <w:ind w:left="450" w:right="0" w:hanging="225"/>
              <w:rPr/>
            </w:pPr>
            <w:r>
              <w:rPr/>
              <w:t>Total stockholders equity</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624,302</w:t>
            </w:r>
          </w:p>
        </w:tc>
        <w:tc>
          <w:tcPr>
            <w:tcW w:w="10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491,655</w:t>
            </w:r>
          </w:p>
        </w:tc>
        <w:tc>
          <w:tcPr>
            <w:tcW w:w="131"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519,428</w:t>
            </w:r>
          </w:p>
        </w:tc>
        <w:tc>
          <w:tcPr>
            <w:tcW w:w="141" w:type="dxa"/>
            <w:tcBorders/>
            <w:shd w:fill="CCEEFF" w:val="clear"/>
            <w:vAlign w:val="bottom"/>
          </w:tcPr>
          <w:p>
            <w:pPr>
              <w:pStyle w:val="TableContents"/>
              <w:spacing w:before="0" w:after="283"/>
              <w:rPr/>
            </w:pPr>
            <w:r>
              <w:rPr/>
              <w:t> </w:t>
            </w:r>
          </w:p>
        </w:tc>
      </w:tr>
      <w:tr>
        <w:trPr/>
        <w:tc>
          <w:tcPr>
            <w:tcW w:w="4867"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4867" w:type="dxa"/>
            <w:tcBorders/>
            <w:shd w:fill="auto" w:val="clear"/>
            <w:vAlign w:val="bottom"/>
          </w:tcPr>
          <w:p>
            <w:pPr>
              <w:pStyle w:val="TableContents"/>
              <w:spacing w:before="0" w:after="0"/>
              <w:ind w:left="675" w:right="0" w:hanging="225"/>
              <w:rPr/>
            </w:pPr>
            <w:r>
              <w:rPr/>
              <w:t>Total liabilities and stockholders equity</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713,621</w:t>
            </w:r>
          </w:p>
        </w:tc>
        <w:tc>
          <w:tcPr>
            <w:tcW w:w="10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571,383</w:t>
            </w:r>
          </w:p>
        </w:tc>
        <w:tc>
          <w:tcPr>
            <w:tcW w:w="131"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90" w:type="dxa"/>
            <w:tcBorders/>
            <w:shd w:fill="auto" w:val="clear"/>
            <w:vAlign w:val="bottom"/>
          </w:tcPr>
          <w:p>
            <w:pPr>
              <w:pStyle w:val="TableContents"/>
              <w:spacing w:before="0" w:after="283"/>
              <w:jc w:val="right"/>
              <w:rPr/>
            </w:pPr>
            <w:r>
              <w:rPr/>
              <w:t>606,412</w:t>
            </w:r>
          </w:p>
        </w:tc>
        <w:tc>
          <w:tcPr>
            <w:tcW w:w="141" w:type="dxa"/>
            <w:tcBorders/>
            <w:shd w:fill="auto" w:val="clear"/>
            <w:vAlign w:val="bottom"/>
          </w:tcPr>
          <w:p>
            <w:pPr>
              <w:pStyle w:val="TableContents"/>
              <w:spacing w:before="0" w:after="283"/>
              <w:rPr/>
            </w:pPr>
            <w:r>
              <w:rPr/>
              <w:t> </w:t>
            </w:r>
          </w:p>
        </w:tc>
      </w:tr>
      <w:tr>
        <w:trPr/>
        <w:tc>
          <w:tcPr>
            <w:tcW w:w="4867"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4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360" w:after="283"/>
        <w:jc w:val="center"/>
        <w:rPr>
          <w:rFonts w:ascii="Times New Roman;Times;serif" w:hAnsi="Times New Roman;Times;serif"/>
          <w:sz w:val="17"/>
        </w:rPr>
      </w:pPr>
      <w:bookmarkStart w:id="6" w:name="D82588104"/>
      <w:bookmarkEnd w:id="6"/>
      <w:r>
        <w:rPr>
          <w:rFonts w:ascii="Times New Roman;Times;serif" w:hAnsi="Times New Roman;Times;serif"/>
          <w:sz w:val="17"/>
        </w:rPr>
        <w:t xml:space="preserve">Condensed Consolidated Statements of Operations (Unaudited) </w:t>
      </w:r>
    </w:p>
    <w:tbl>
      <w:tblPr>
        <w:tblW w:w="5000" w:type="pct"/>
        <w:jc w:val="center"/>
        <w:tblInd w:w="0" w:type="dxa"/>
        <w:tblCellMar>
          <w:top w:w="0" w:type="dxa"/>
          <w:left w:w="0" w:type="dxa"/>
          <w:bottom w:w="0" w:type="dxa"/>
          <w:right w:w="0" w:type="dxa"/>
        </w:tblCellMar>
      </w:tblPr>
      <w:tblGrid>
        <w:gridCol w:w="4362"/>
        <w:gridCol w:w="387"/>
        <w:gridCol w:w="148"/>
        <w:gridCol w:w="800"/>
        <w:gridCol w:w="123"/>
        <w:gridCol w:w="387"/>
        <w:gridCol w:w="148"/>
        <w:gridCol w:w="800"/>
        <w:gridCol w:w="123"/>
        <w:gridCol w:w="387"/>
        <w:gridCol w:w="148"/>
        <w:gridCol w:w="800"/>
        <w:gridCol w:w="122"/>
        <w:gridCol w:w="387"/>
        <w:gridCol w:w="148"/>
        <w:gridCol w:w="800"/>
        <w:gridCol w:w="135"/>
      </w:tblGrid>
      <w:tr>
        <w:trPr/>
        <w:tc>
          <w:tcPr>
            <w:tcW w:w="43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06" w:type="dxa"/>
            <w:gridSpan w:val="6"/>
            <w:tcBorders/>
            <w:shd w:fill="auto" w:val="clear"/>
            <w:vAlign w:val="bottom"/>
          </w:tcPr>
          <w:p>
            <w:pPr>
              <w:pStyle w:val="TableContents"/>
              <w:spacing w:before="0" w:after="283"/>
              <w:jc w:val="center"/>
              <w:rPr/>
            </w:pPr>
            <w:r>
              <w:rPr/>
              <w:t>Three Months Ended</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05" w:type="dxa"/>
            <w:gridSpan w:val="6"/>
            <w:tcBorders/>
            <w:shd w:fill="auto" w:val="clear"/>
            <w:vAlign w:val="bottom"/>
          </w:tcPr>
          <w:p>
            <w:pPr>
              <w:pStyle w:val="TableContents"/>
              <w:spacing w:before="0" w:after="283"/>
              <w:jc w:val="center"/>
              <w:rPr/>
            </w:pPr>
            <w:r>
              <w:rPr/>
              <w:t>Nine Months Ended</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06"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387" w:type="dxa"/>
            <w:tcBorders>
              <w:bottom w:val="single" w:sz="2" w:space="0" w:color="000000"/>
            </w:tcBorders>
            <w:shd w:fill="auto" w:val="clear"/>
            <w:tcMar>
              <w:bottom w:w="28" w:type="dxa"/>
            </w:tcMar>
            <w:vAlign w:val="bottom"/>
          </w:tcPr>
          <w:p>
            <w:pPr>
              <w:pStyle w:val="TableContents"/>
              <w:spacing w:before="0" w:after="283"/>
              <w:rPr/>
            </w:pPr>
            <w:r>
              <w:rPr/>
              <w:t> </w:t>
            </w:r>
          </w:p>
        </w:tc>
        <w:tc>
          <w:tcPr>
            <w:tcW w:w="2405"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9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387" w:type="dxa"/>
            <w:tcBorders>
              <w:bottom w:val="single" w:sz="2" w:space="0" w:color="000000"/>
            </w:tcBorders>
            <w:shd w:fill="auto" w:val="clear"/>
            <w:tcMar>
              <w:bottom w:w="28" w:type="dxa"/>
            </w:tcMar>
            <w:vAlign w:val="bottom"/>
          </w:tcPr>
          <w:p>
            <w:pPr>
              <w:pStyle w:val="TableContents"/>
              <w:spacing w:before="0" w:after="283"/>
              <w:rPr/>
            </w:pPr>
            <w:r>
              <w:rPr/>
              <w:t> </w:t>
            </w:r>
          </w:p>
        </w:tc>
        <w:tc>
          <w:tcPr>
            <w:tcW w:w="9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387" w:type="dxa"/>
            <w:tcBorders>
              <w:bottom w:val="single" w:sz="2" w:space="0" w:color="000000"/>
            </w:tcBorders>
            <w:shd w:fill="auto" w:val="clear"/>
            <w:tcMar>
              <w:bottom w:w="28" w:type="dxa"/>
            </w:tcMar>
            <w:vAlign w:val="bottom"/>
          </w:tcPr>
          <w:p>
            <w:pPr>
              <w:pStyle w:val="TableContents"/>
              <w:spacing w:before="0" w:after="283"/>
              <w:rPr/>
            </w:pPr>
            <w:r>
              <w:rPr/>
              <w:t> </w:t>
            </w:r>
          </w:p>
        </w:tc>
        <w:tc>
          <w:tcPr>
            <w:tcW w:w="9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2" w:type="dxa"/>
            <w:tcBorders>
              <w:bottom w:val="single" w:sz="2" w:space="0" w:color="000000"/>
            </w:tcBorders>
            <w:shd w:fill="auto" w:val="clear"/>
            <w:tcMar>
              <w:bottom w:w="28" w:type="dxa"/>
            </w:tcMar>
            <w:vAlign w:val="bottom"/>
          </w:tcPr>
          <w:p>
            <w:pPr>
              <w:pStyle w:val="TableContents"/>
              <w:spacing w:before="0" w:after="283"/>
              <w:rPr/>
            </w:pPr>
            <w:r>
              <w:rPr/>
              <w:t> </w:t>
            </w:r>
          </w:p>
        </w:tc>
        <w:tc>
          <w:tcPr>
            <w:tcW w:w="387" w:type="dxa"/>
            <w:tcBorders>
              <w:bottom w:val="single" w:sz="2" w:space="0" w:color="000000"/>
            </w:tcBorders>
            <w:shd w:fill="auto" w:val="clear"/>
            <w:tcMar>
              <w:bottom w:w="28" w:type="dxa"/>
            </w:tcMar>
            <w:vAlign w:val="bottom"/>
          </w:tcPr>
          <w:p>
            <w:pPr>
              <w:pStyle w:val="TableContents"/>
              <w:spacing w:before="0" w:after="283"/>
              <w:rPr/>
            </w:pPr>
            <w:r>
              <w:rPr/>
              <w:t> </w:t>
            </w:r>
          </w:p>
        </w:tc>
        <w:tc>
          <w:tcPr>
            <w:tcW w:w="9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5321" w:type="dxa"/>
            <w:gridSpan w:val="14"/>
            <w:tcBorders/>
            <w:shd w:fill="auto" w:val="clear"/>
            <w:vAlign w:val="bottom"/>
          </w:tcPr>
          <w:p>
            <w:pPr>
              <w:pStyle w:val="TableContents"/>
              <w:spacing w:before="0" w:after="283"/>
              <w:jc w:val="center"/>
              <w:rPr>
                <w:i/>
              </w:rPr>
            </w:pPr>
            <w:r>
              <w:rPr>
                <w:i/>
              </w:rPr>
              <w:t>(in thousands, except per share amounts)</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Revenues: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Sales</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115,345</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97,051</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363,658</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301,645</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450" w:right="0" w:hanging="225"/>
              <w:rPr/>
            </w:pPr>
            <w:r>
              <w:rPr/>
              <w:t>Pawn service charges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48,365</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39,424</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144,944</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118,527</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Signature loan fees</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34,195</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32,296</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109,364</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102,616</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450" w:right="0" w:hanging="225"/>
              <w:rPr/>
            </w:pPr>
            <w:r>
              <w:rPr/>
              <w:t>Auto title loan fees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4,675</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4,658</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16,288</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11,716</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Other</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572</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113</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978</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373</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675" w:right="0" w:hanging="225"/>
              <w:rPr/>
            </w:pPr>
            <w:r>
              <w:rPr/>
              <w:t>Total revenues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203,152</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173,542</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635,232</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534,877</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Cost of goods sold</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69,128</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58,985</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219,258</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183,717</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450" w:right="0" w:hanging="225"/>
              <w:rPr/>
            </w:pPr>
            <w:r>
              <w:rPr/>
              <w:t>Signature loan bad debt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10,491</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8,917</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25,975</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22,104</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Auto title loan bad debt</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536</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836</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1,820</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1,616</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675" w:right="0" w:hanging="225"/>
              <w:rPr/>
            </w:pPr>
            <w:r>
              <w:rPr/>
              <w:t>Net revenues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122,997</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104,804</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388,179</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327,440</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Operating Expenses:</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450" w:right="0" w:hanging="225"/>
              <w:rPr/>
            </w:pPr>
            <w:r>
              <w:rPr/>
              <w:t>Operations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66,753</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57,952</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197,302</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174,338</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Administrative</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14,379</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13,576</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56,250</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39,356</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450" w:right="0" w:hanging="225"/>
              <w:rPr/>
            </w:pPr>
            <w:r>
              <w:rPr/>
              <w:t>Depreciation and amortization</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4,679</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3,759</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13,324</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10,688</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(Gain) / loss on sale or disposal of assets</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169</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734</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(2</w:t>
            </w:r>
          </w:p>
        </w:tc>
        <w:tc>
          <w:tcPr>
            <w:tcW w:w="122" w:type="dxa"/>
            <w:tcBorders/>
            <w:shd w:fill="auto" w:val="clear"/>
            <w:vAlign w:val="bottom"/>
          </w:tcPr>
          <w:p>
            <w:pPr>
              <w:pStyle w:val="TableContents"/>
              <w:spacing w:before="0" w:after="283"/>
              <w:rPr/>
            </w:pPr>
            <w:r>
              <w:rPr/>
              <w:t>)</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1,301</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675" w:right="0" w:hanging="225"/>
              <w:rPr/>
            </w:pPr>
            <w:r>
              <w:rPr/>
              <w:t>Total operating expenses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85,980</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76,021</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266,874</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225,683</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Operating income</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37,017</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28,783</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121,305</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101,757</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Interest income</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(21</w:t>
            </w:r>
          </w:p>
        </w:tc>
        <w:tc>
          <w:tcPr>
            <w:tcW w:w="123"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(135</w:t>
            </w:r>
          </w:p>
        </w:tc>
        <w:tc>
          <w:tcPr>
            <w:tcW w:w="123"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(35</w:t>
            </w:r>
          </w:p>
        </w:tc>
        <w:tc>
          <w:tcPr>
            <w:tcW w:w="122"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(151</w:t>
            </w:r>
          </w:p>
        </w:tc>
        <w:tc>
          <w:tcPr>
            <w:tcW w:w="135" w:type="dxa"/>
            <w:tcBorders/>
            <w:shd w:fill="CCEEFF" w:val="clear"/>
            <w:vAlign w:val="bottom"/>
          </w:tcPr>
          <w:p>
            <w:pPr>
              <w:pStyle w:val="TableContents"/>
              <w:spacing w:before="0" w:after="283"/>
              <w:rPr/>
            </w:pPr>
            <w:r>
              <w:rPr/>
              <w:t>)</w:t>
            </w:r>
          </w:p>
        </w:tc>
      </w:tr>
      <w:tr>
        <w:trPr/>
        <w:tc>
          <w:tcPr>
            <w:tcW w:w="4362" w:type="dxa"/>
            <w:tcBorders/>
            <w:shd w:fill="auto" w:val="clear"/>
            <w:vAlign w:val="bottom"/>
          </w:tcPr>
          <w:p>
            <w:pPr>
              <w:pStyle w:val="TableContents"/>
              <w:spacing w:before="0" w:after="0"/>
              <w:ind w:left="225" w:right="0" w:hanging="225"/>
              <w:rPr/>
            </w:pPr>
            <w:r>
              <w:rPr/>
              <w:t>Interest expense</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586</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311</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1,186</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1,071</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Equity in net income of unconsolidated affiliates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(4,099</w:t>
            </w:r>
          </w:p>
        </w:tc>
        <w:tc>
          <w:tcPr>
            <w:tcW w:w="123"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(2,930</w:t>
            </w:r>
          </w:p>
        </w:tc>
        <w:tc>
          <w:tcPr>
            <w:tcW w:w="123"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(12,157</w:t>
            </w:r>
          </w:p>
        </w:tc>
        <w:tc>
          <w:tcPr>
            <w:tcW w:w="122"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(7,519</w:t>
            </w:r>
          </w:p>
        </w:tc>
        <w:tc>
          <w:tcPr>
            <w:tcW w:w="135" w:type="dxa"/>
            <w:tcBorders/>
            <w:shd w:fill="CCEEFF" w:val="clear"/>
            <w:vAlign w:val="bottom"/>
          </w:tcPr>
          <w:p>
            <w:pPr>
              <w:pStyle w:val="TableContents"/>
              <w:spacing w:before="0" w:after="283"/>
              <w:rPr/>
            </w:pPr>
            <w:r>
              <w:rPr/>
              <w:t>)</w:t>
            </w:r>
          </w:p>
        </w:tc>
      </w:tr>
      <w:tr>
        <w:trPr/>
        <w:tc>
          <w:tcPr>
            <w:tcW w:w="4362" w:type="dxa"/>
            <w:tcBorders/>
            <w:shd w:fill="auto" w:val="clear"/>
            <w:vAlign w:val="bottom"/>
          </w:tcPr>
          <w:p>
            <w:pPr>
              <w:pStyle w:val="TableContents"/>
              <w:spacing w:before="0" w:after="0"/>
              <w:ind w:left="225" w:right="0" w:hanging="225"/>
              <w:rPr/>
            </w:pPr>
            <w:r>
              <w:rPr/>
              <w:t>Other</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(103</w:t>
            </w:r>
          </w:p>
        </w:tc>
        <w:tc>
          <w:tcPr>
            <w:tcW w:w="123" w:type="dxa"/>
            <w:tcBorders/>
            <w:shd w:fill="auto" w:val="clear"/>
            <w:vAlign w:val="bottom"/>
          </w:tcPr>
          <w:p>
            <w:pPr>
              <w:pStyle w:val="TableContents"/>
              <w:spacing w:before="0" w:after="283"/>
              <w:rPr/>
            </w:pPr>
            <w:r>
              <w:rPr/>
              <w:t>)</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(100</w:t>
            </w:r>
          </w:p>
        </w:tc>
        <w:tc>
          <w:tcPr>
            <w:tcW w:w="123" w:type="dxa"/>
            <w:tcBorders/>
            <w:shd w:fill="auto" w:val="clear"/>
            <w:vAlign w:val="bottom"/>
          </w:tcPr>
          <w:p>
            <w:pPr>
              <w:pStyle w:val="TableContents"/>
              <w:spacing w:before="0" w:after="283"/>
              <w:rPr/>
            </w:pPr>
            <w:r>
              <w:rPr/>
              <w:t>)</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(160</w:t>
            </w:r>
          </w:p>
        </w:tc>
        <w:tc>
          <w:tcPr>
            <w:tcW w:w="122" w:type="dxa"/>
            <w:tcBorders/>
            <w:shd w:fill="auto" w:val="clear"/>
            <w:vAlign w:val="bottom"/>
          </w:tcPr>
          <w:p>
            <w:pPr>
              <w:pStyle w:val="TableContents"/>
              <w:spacing w:before="0" w:after="283"/>
              <w:rPr/>
            </w:pPr>
            <w:r>
              <w:rPr/>
              <w:t>)</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(103</w:t>
            </w:r>
          </w:p>
        </w:tc>
        <w:tc>
          <w:tcPr>
            <w:tcW w:w="135" w:type="dxa"/>
            <w:tcBorders/>
            <w:shd w:fill="auto" w:val="clear"/>
            <w:vAlign w:val="bottom"/>
          </w:tcPr>
          <w:p>
            <w:pPr>
              <w:pStyle w:val="TableContents"/>
              <w:spacing w:before="0" w:after="283"/>
              <w:rPr/>
            </w:pPr>
            <w:r>
              <w:rPr/>
              <w:t>)</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Income before income taxes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40,654</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31,637</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132,471</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108,459</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Income tax expense</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14,127</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11,675</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46,677</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39,017</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Net income</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26,527</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19,962</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85,794</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69,442</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Net income per common share:</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450" w:right="0" w:hanging="225"/>
              <w:rPr/>
            </w:pPr>
            <w:r>
              <w:rPr/>
              <w:t>Basic</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0.53</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0.41</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1.72</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1.42</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Diluted</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0.53</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0.40</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1.71</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1.40</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Weighted average shares outstanding:</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Basic</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49,926</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49,201</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49,849</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48,969</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450" w:right="0" w:hanging="225"/>
              <w:rPr/>
            </w:pPr>
            <w:r>
              <w:rPr/>
              <w:t>Diluted</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50,385</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49,640</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50,292</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49,541</w:t>
            </w:r>
          </w:p>
        </w:tc>
        <w:tc>
          <w:tcPr>
            <w:tcW w:w="135" w:type="dxa"/>
            <w:tcBorders/>
            <w:shd w:fill="CCEEFF"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360" w:after="283"/>
        <w:jc w:val="center"/>
        <w:rPr>
          <w:rFonts w:ascii="Times New Roman;Times;serif" w:hAnsi="Times New Roman;Times;serif"/>
          <w:sz w:val="17"/>
        </w:rPr>
      </w:pPr>
      <w:bookmarkStart w:id="7" w:name="D82588105"/>
      <w:bookmarkEnd w:id="7"/>
      <w:r>
        <w:rPr>
          <w:rFonts w:ascii="Times New Roman;Times;serif" w:hAnsi="Times New Roman;Times;serif"/>
          <w:sz w:val="17"/>
        </w:rPr>
        <w:t xml:space="preserve">Condensed Consolidated Statements of Cash Flows (Unaudited) </w:t>
      </w:r>
    </w:p>
    <w:tbl>
      <w:tblPr>
        <w:tblW w:w="5000" w:type="pct"/>
        <w:jc w:val="center"/>
        <w:tblInd w:w="0" w:type="dxa"/>
        <w:tblCellMar>
          <w:top w:w="0" w:type="dxa"/>
          <w:left w:w="0" w:type="dxa"/>
          <w:bottom w:w="0" w:type="dxa"/>
          <w:right w:w="0" w:type="dxa"/>
        </w:tblCellMar>
      </w:tblPr>
      <w:tblGrid>
        <w:gridCol w:w="6474"/>
        <w:gridCol w:w="395"/>
        <w:gridCol w:w="193"/>
        <w:gridCol w:w="1124"/>
        <w:gridCol w:w="154"/>
        <w:gridCol w:w="406"/>
        <w:gridCol w:w="193"/>
        <w:gridCol w:w="1125"/>
        <w:gridCol w:w="141"/>
      </w:tblGrid>
      <w:tr>
        <w:trPr/>
        <w:tc>
          <w:tcPr>
            <w:tcW w:w="647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3195" w:type="dxa"/>
            <w:gridSpan w:val="6"/>
            <w:tcBorders>
              <w:bottom w:val="single" w:sz="2" w:space="0" w:color="000000"/>
            </w:tcBorders>
            <w:shd w:fill="auto" w:val="clear"/>
            <w:tcMar>
              <w:bottom w:w="28" w:type="dxa"/>
            </w:tcMar>
            <w:vAlign w:val="bottom"/>
          </w:tcPr>
          <w:p>
            <w:pPr>
              <w:pStyle w:val="TableContents"/>
              <w:spacing w:before="0" w:after="283"/>
              <w:jc w:val="center"/>
              <w:rPr/>
            </w:pPr>
            <w:r>
              <w:rPr/>
              <w:t>Nine Months Ended June 30,</w:t>
            </w:r>
          </w:p>
        </w:tc>
        <w:tc>
          <w:tcPr>
            <w:tcW w:w="141" w:type="dxa"/>
            <w:tcBorders/>
            <w:shd w:fill="auto"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31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54" w:type="dxa"/>
            <w:tcBorders>
              <w:bottom w:val="single" w:sz="2" w:space="0" w:color="000000"/>
            </w:tcBorders>
            <w:shd w:fill="auto" w:val="clear"/>
            <w:tcMar>
              <w:bottom w:w="28" w:type="dxa"/>
            </w:tcMar>
            <w:vAlign w:val="bottom"/>
          </w:tcPr>
          <w:p>
            <w:pPr>
              <w:pStyle w:val="TableContents"/>
              <w:spacing w:before="0" w:after="283"/>
              <w:rPr/>
            </w:pPr>
            <w:r>
              <w:rPr/>
              <w:t> </w:t>
            </w:r>
          </w:p>
        </w:tc>
        <w:tc>
          <w:tcPr>
            <w:tcW w:w="406" w:type="dxa"/>
            <w:tcBorders>
              <w:bottom w:val="single" w:sz="2" w:space="0" w:color="000000"/>
            </w:tcBorders>
            <w:shd w:fill="auto" w:val="clear"/>
            <w:tcMar>
              <w:bottom w:w="28" w:type="dxa"/>
            </w:tcMar>
            <w:vAlign w:val="bottom"/>
          </w:tcPr>
          <w:p>
            <w:pPr>
              <w:pStyle w:val="TableContents"/>
              <w:spacing w:before="0" w:after="283"/>
              <w:rPr/>
            </w:pPr>
            <w:r>
              <w:rPr/>
              <w:t> </w:t>
            </w:r>
          </w:p>
        </w:tc>
        <w:tc>
          <w:tcPr>
            <w:tcW w:w="131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1" w:type="dxa"/>
            <w:tcBorders/>
            <w:shd w:fill="auto"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3195" w:type="dxa"/>
            <w:gridSpan w:val="6"/>
            <w:tcBorders/>
            <w:shd w:fill="auto" w:val="clear"/>
            <w:vAlign w:val="bottom"/>
          </w:tcPr>
          <w:p>
            <w:pPr>
              <w:pStyle w:val="TableContents"/>
              <w:spacing w:before="0" w:after="283"/>
              <w:jc w:val="center"/>
              <w:rPr>
                <w:i/>
              </w:rPr>
            </w:pPr>
            <w:r>
              <w:rPr>
                <w:i/>
              </w:rPr>
              <w:t>(in thousands)</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225" w:right="0" w:hanging="225"/>
              <w:rPr/>
            </w:pPr>
            <w:r>
              <w:rPr/>
              <w:t>Operating Activities: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450" w:right="0" w:hanging="225"/>
              <w:rPr/>
            </w:pPr>
            <w:r>
              <w:rPr/>
              <w:t>Net income</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124" w:type="dxa"/>
            <w:tcBorders/>
            <w:shd w:fill="auto" w:val="clear"/>
            <w:vAlign w:val="bottom"/>
          </w:tcPr>
          <w:p>
            <w:pPr>
              <w:pStyle w:val="TableContents"/>
              <w:spacing w:before="0" w:after="283"/>
              <w:jc w:val="right"/>
              <w:rPr/>
            </w:pPr>
            <w:r>
              <w:rPr/>
              <w:t>85,794</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69,442</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675" w:right="0" w:hanging="225"/>
              <w:rPr/>
            </w:pPr>
            <w:r>
              <w:rPr/>
              <w:t>Depreciation and amortization</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13,324</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10,688</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675" w:right="0" w:hanging="225"/>
              <w:rPr/>
            </w:pPr>
            <w:r>
              <w:rPr/>
              <w:t>Signature loan and auto title loan loss provisions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11,182</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7,785</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675" w:right="0" w:hanging="225"/>
              <w:rPr/>
            </w:pPr>
            <w:r>
              <w:rPr/>
              <w:t>Deferred taxes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8,562</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653</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675" w:right="0" w:hanging="225"/>
              <w:rPr/>
            </w:pPr>
            <w:r>
              <w:rPr/>
              <w:t>(Gain) / loss on sale or disposal of assets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(2</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1,301</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675" w:right="0" w:hanging="225"/>
              <w:rPr/>
            </w:pPr>
            <w:r>
              <w:rPr/>
              <w:t>Stock compensation</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11,536</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3,457</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675" w:right="0" w:hanging="225"/>
              <w:rPr/>
            </w:pPr>
            <w:r>
              <w:rPr/>
              <w:t>Income from investments in unconsolidated affiliates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(12,157</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(7,519</w:t>
            </w:r>
          </w:p>
        </w:tc>
        <w:tc>
          <w:tcPr>
            <w:tcW w:w="141" w:type="dxa"/>
            <w:tcBorders/>
            <w:shd w:fill="CCEEFF" w:val="clear"/>
            <w:vAlign w:val="bottom"/>
          </w:tcPr>
          <w:p>
            <w:pPr>
              <w:pStyle w:val="TableContents"/>
              <w:spacing w:before="0" w:after="283"/>
              <w:rPr/>
            </w:pPr>
            <w:r>
              <w:rPr/>
              <w:t>)</w:t>
            </w:r>
          </w:p>
        </w:tc>
      </w:tr>
      <w:tr>
        <w:trPr/>
        <w:tc>
          <w:tcPr>
            <w:tcW w:w="6474"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675" w:right="0" w:hanging="225"/>
              <w:rPr/>
            </w:pPr>
            <w:r>
              <w:rPr/>
              <w:t>Service charges and fees receivable, net</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(984</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(2,019</w:t>
            </w:r>
          </w:p>
        </w:tc>
        <w:tc>
          <w:tcPr>
            <w:tcW w:w="141" w:type="dxa"/>
            <w:tcBorders/>
            <w:shd w:fill="CCEEFF" w:val="clear"/>
            <w:vAlign w:val="bottom"/>
          </w:tcPr>
          <w:p>
            <w:pPr>
              <w:pStyle w:val="TableContents"/>
              <w:spacing w:before="0" w:after="283"/>
              <w:rPr/>
            </w:pPr>
            <w:r>
              <w:rPr/>
              <w:t>)</w:t>
            </w:r>
          </w:p>
        </w:tc>
      </w:tr>
      <w:tr>
        <w:trPr/>
        <w:tc>
          <w:tcPr>
            <w:tcW w:w="6474" w:type="dxa"/>
            <w:tcBorders/>
            <w:shd w:fill="auto" w:val="clear"/>
            <w:vAlign w:val="bottom"/>
          </w:tcPr>
          <w:p>
            <w:pPr>
              <w:pStyle w:val="TableContents"/>
              <w:spacing w:before="0" w:after="0"/>
              <w:ind w:left="675" w:right="0" w:hanging="225"/>
              <w:rPr/>
            </w:pPr>
            <w:r>
              <w:rPr/>
              <w:t>Inventory, net</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(1,249</w:t>
            </w:r>
          </w:p>
        </w:tc>
        <w:tc>
          <w:tcPr>
            <w:tcW w:w="154" w:type="dxa"/>
            <w:tcBorders/>
            <w:shd w:fill="auto" w:val="clear"/>
            <w:vAlign w:val="bottom"/>
          </w:tcPr>
          <w:p>
            <w:pPr>
              <w:pStyle w:val="TableContents"/>
              <w:spacing w:before="0" w:after="283"/>
              <w:rPr/>
            </w:pPr>
            <w:r>
              <w:rPr/>
              <w:t>)</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1,194</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675" w:right="0" w:hanging="225"/>
              <w:rPr/>
            </w:pPr>
            <w:r>
              <w:rPr/>
              <w:t>Prepaid expenses, other current assets, and other assets, net</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(4,274</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(4,043</w:t>
            </w:r>
          </w:p>
        </w:tc>
        <w:tc>
          <w:tcPr>
            <w:tcW w:w="141" w:type="dxa"/>
            <w:tcBorders/>
            <w:shd w:fill="CCEEFF" w:val="clear"/>
            <w:vAlign w:val="bottom"/>
          </w:tcPr>
          <w:p>
            <w:pPr>
              <w:pStyle w:val="TableContents"/>
              <w:spacing w:before="0" w:after="283"/>
              <w:rPr/>
            </w:pPr>
            <w:r>
              <w:rPr/>
              <w:t>)</w:t>
            </w:r>
          </w:p>
        </w:tc>
      </w:tr>
      <w:tr>
        <w:trPr/>
        <w:tc>
          <w:tcPr>
            <w:tcW w:w="6474" w:type="dxa"/>
            <w:tcBorders/>
            <w:shd w:fill="auto" w:val="clear"/>
            <w:vAlign w:val="bottom"/>
          </w:tcPr>
          <w:p>
            <w:pPr>
              <w:pStyle w:val="TableContents"/>
              <w:spacing w:before="0" w:after="0"/>
              <w:ind w:left="675" w:right="0" w:hanging="225"/>
              <w:rPr/>
            </w:pPr>
            <w:r>
              <w:rPr/>
              <w:t>Accounts payable and accrued expenses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2,301</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10,232</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675" w:right="0" w:hanging="225"/>
              <w:rPr/>
            </w:pPr>
            <w:r>
              <w:rPr/>
              <w:t>Customer layaway deposits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(157</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1,120</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675" w:right="0" w:hanging="225"/>
              <w:rPr/>
            </w:pPr>
            <w:r>
              <w:rPr/>
              <w:t>Deferred gains and other long-term liabilities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(262</w:t>
            </w:r>
          </w:p>
        </w:tc>
        <w:tc>
          <w:tcPr>
            <w:tcW w:w="154" w:type="dxa"/>
            <w:tcBorders/>
            <w:shd w:fill="auto" w:val="clear"/>
            <w:vAlign w:val="bottom"/>
          </w:tcPr>
          <w:p>
            <w:pPr>
              <w:pStyle w:val="TableContents"/>
              <w:spacing w:before="0" w:after="283"/>
              <w:rPr/>
            </w:pPr>
            <w:r>
              <w:rPr/>
              <w:t>)</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(630</w:t>
            </w:r>
          </w:p>
        </w:tc>
        <w:tc>
          <w:tcPr>
            <w:tcW w:w="141" w:type="dxa"/>
            <w:tcBorders/>
            <w:shd w:fill="auto" w:val="clear"/>
            <w:vAlign w:val="bottom"/>
          </w:tcPr>
          <w:p>
            <w:pPr>
              <w:pStyle w:val="TableContents"/>
              <w:spacing w:before="0" w:after="283"/>
              <w:rPr/>
            </w:pPr>
            <w:r>
              <w:rPr/>
              <w:t>)</w:t>
            </w:r>
          </w:p>
        </w:tc>
      </w:tr>
      <w:tr>
        <w:trPr/>
        <w:tc>
          <w:tcPr>
            <w:tcW w:w="6474" w:type="dxa"/>
            <w:tcBorders/>
            <w:shd w:fill="CCEEFF" w:val="clear"/>
            <w:vAlign w:val="bottom"/>
          </w:tcPr>
          <w:p>
            <w:pPr>
              <w:pStyle w:val="TableContents"/>
              <w:spacing w:before="0" w:after="0"/>
              <w:ind w:left="675" w:right="0" w:hanging="225"/>
              <w:rPr/>
            </w:pPr>
            <w:r>
              <w:rPr/>
              <w:t>Excess tax benefit from stock compensation</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(3,165</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(1,850</w:t>
            </w:r>
          </w:p>
        </w:tc>
        <w:tc>
          <w:tcPr>
            <w:tcW w:w="141" w:type="dxa"/>
            <w:tcBorders/>
            <w:shd w:fill="CCEEFF" w:val="clear"/>
            <w:vAlign w:val="bottom"/>
          </w:tcPr>
          <w:p>
            <w:pPr>
              <w:pStyle w:val="TableContents"/>
              <w:spacing w:before="0" w:after="283"/>
              <w:rPr/>
            </w:pPr>
            <w:r>
              <w:rPr/>
              <w:t>)</w:t>
            </w:r>
          </w:p>
        </w:tc>
      </w:tr>
      <w:tr>
        <w:trPr/>
        <w:tc>
          <w:tcPr>
            <w:tcW w:w="6474" w:type="dxa"/>
            <w:tcBorders/>
            <w:shd w:fill="auto" w:val="clear"/>
            <w:vAlign w:val="bottom"/>
          </w:tcPr>
          <w:p>
            <w:pPr>
              <w:pStyle w:val="TableContents"/>
              <w:spacing w:before="0" w:after="0"/>
              <w:ind w:left="675" w:right="0" w:hanging="225"/>
              <w:rPr/>
            </w:pPr>
            <w:r>
              <w:rPr/>
              <w:t>Income taxes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(3,459</w:t>
            </w:r>
          </w:p>
        </w:tc>
        <w:tc>
          <w:tcPr>
            <w:tcW w:w="154" w:type="dxa"/>
            <w:tcBorders/>
            <w:shd w:fill="auto" w:val="clear"/>
            <w:vAlign w:val="bottom"/>
          </w:tcPr>
          <w:p>
            <w:pPr>
              <w:pStyle w:val="TableContents"/>
              <w:spacing w:before="0" w:after="283"/>
              <w:rPr/>
            </w:pPr>
            <w:r>
              <w:rPr/>
              <w:t>)</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(9,287</w:t>
            </w:r>
          </w:p>
        </w:tc>
        <w:tc>
          <w:tcPr>
            <w:tcW w:w="141" w:type="dxa"/>
            <w:tcBorders/>
            <w:shd w:fill="auto" w:val="clear"/>
            <w:vAlign w:val="bottom"/>
          </w:tcPr>
          <w:p>
            <w:pPr>
              <w:pStyle w:val="TableContents"/>
              <w:spacing w:before="0" w:after="283"/>
              <w:rPr/>
            </w:pPr>
            <w:r>
              <w:rPr/>
              <w:t>)</w:t>
            </w:r>
          </w:p>
        </w:tc>
      </w:tr>
      <w:tr>
        <w:trPr/>
        <w:tc>
          <w:tcPr>
            <w:tcW w:w="6474"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3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900" w:right="0" w:hanging="225"/>
              <w:rPr/>
            </w:pPr>
            <w:r>
              <w:rPr/>
              <w:t>Net cash provided by operating activities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106,990</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80,524</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225" w:right="0" w:hanging="225"/>
              <w:rPr/>
            </w:pPr>
            <w:r>
              <w:rPr/>
              <w:t> </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225" w:right="0" w:hanging="225"/>
              <w:rPr/>
            </w:pPr>
            <w:r>
              <w:rPr/>
              <w:t>Investing Activities: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675" w:right="0" w:hanging="225"/>
              <w:rPr/>
            </w:pPr>
            <w:r>
              <w:rPr/>
              <w:t>Loans made</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(466,465</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(389,548</w:t>
            </w:r>
          </w:p>
        </w:tc>
        <w:tc>
          <w:tcPr>
            <w:tcW w:w="141" w:type="dxa"/>
            <w:tcBorders/>
            <w:shd w:fill="CCEEFF" w:val="clear"/>
            <w:vAlign w:val="bottom"/>
          </w:tcPr>
          <w:p>
            <w:pPr>
              <w:pStyle w:val="TableContents"/>
              <w:spacing w:before="0" w:after="283"/>
              <w:rPr/>
            </w:pPr>
            <w:r>
              <w:rPr/>
              <w:t>)</w:t>
            </w:r>
          </w:p>
        </w:tc>
      </w:tr>
      <w:tr>
        <w:trPr/>
        <w:tc>
          <w:tcPr>
            <w:tcW w:w="6474" w:type="dxa"/>
            <w:tcBorders/>
            <w:shd w:fill="auto" w:val="clear"/>
            <w:vAlign w:val="bottom"/>
          </w:tcPr>
          <w:p>
            <w:pPr>
              <w:pStyle w:val="TableContents"/>
              <w:spacing w:before="0" w:after="0"/>
              <w:ind w:left="675" w:right="0" w:hanging="225"/>
              <w:rPr/>
            </w:pPr>
            <w:r>
              <w:rPr/>
              <w:t>Loans repaid</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296,989</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247,724</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675" w:right="0" w:hanging="225"/>
              <w:rPr/>
            </w:pPr>
            <w:r>
              <w:rPr/>
              <w:t>Recovery of pawn loan principal through sale of forfeited collateral</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150,842</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127,180</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675" w:right="0" w:hanging="225"/>
              <w:rPr/>
            </w:pPr>
            <w:r>
              <w:rPr/>
              <w:t>Additions to property and equipment</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(24,421</w:t>
            </w:r>
          </w:p>
        </w:tc>
        <w:tc>
          <w:tcPr>
            <w:tcW w:w="154" w:type="dxa"/>
            <w:tcBorders/>
            <w:shd w:fill="auto" w:val="clear"/>
            <w:vAlign w:val="bottom"/>
          </w:tcPr>
          <w:p>
            <w:pPr>
              <w:pStyle w:val="TableContents"/>
              <w:spacing w:before="0" w:after="283"/>
              <w:rPr/>
            </w:pPr>
            <w:r>
              <w:rPr/>
              <w:t>)</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(18,719</w:t>
            </w:r>
          </w:p>
        </w:tc>
        <w:tc>
          <w:tcPr>
            <w:tcW w:w="141" w:type="dxa"/>
            <w:tcBorders/>
            <w:shd w:fill="auto" w:val="clear"/>
            <w:vAlign w:val="bottom"/>
          </w:tcPr>
          <w:p>
            <w:pPr>
              <w:pStyle w:val="TableContents"/>
              <w:spacing w:before="0" w:after="283"/>
              <w:rPr/>
            </w:pPr>
            <w:r>
              <w:rPr/>
              <w:t>)</w:t>
            </w:r>
          </w:p>
        </w:tc>
      </w:tr>
      <w:tr>
        <w:trPr/>
        <w:tc>
          <w:tcPr>
            <w:tcW w:w="6474" w:type="dxa"/>
            <w:tcBorders/>
            <w:shd w:fill="CCEEFF" w:val="clear"/>
            <w:vAlign w:val="bottom"/>
          </w:tcPr>
          <w:p>
            <w:pPr>
              <w:pStyle w:val="TableContents"/>
              <w:spacing w:before="0" w:after="0"/>
              <w:ind w:left="675" w:right="0" w:hanging="225"/>
              <w:rPr/>
            </w:pPr>
            <w:r>
              <w:rPr/>
              <w:t>Proceeds on disposal of assets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1,347</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675" w:right="0" w:hanging="225"/>
              <w:rPr/>
            </w:pPr>
            <w:r>
              <w:rPr/>
              <w:t>Acquisitions, net of cash acquired</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(64,823</w:t>
            </w:r>
          </w:p>
        </w:tc>
        <w:tc>
          <w:tcPr>
            <w:tcW w:w="154" w:type="dxa"/>
            <w:tcBorders/>
            <w:shd w:fill="auto" w:val="clear"/>
            <w:vAlign w:val="bottom"/>
          </w:tcPr>
          <w:p>
            <w:pPr>
              <w:pStyle w:val="TableContents"/>
              <w:spacing w:before="0" w:after="283"/>
              <w:rPr/>
            </w:pPr>
            <w:r>
              <w:rPr/>
              <w:t>)</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(19,008</w:t>
            </w:r>
          </w:p>
        </w:tc>
        <w:tc>
          <w:tcPr>
            <w:tcW w:w="141" w:type="dxa"/>
            <w:tcBorders/>
            <w:shd w:fill="auto" w:val="clear"/>
            <w:vAlign w:val="bottom"/>
          </w:tcPr>
          <w:p>
            <w:pPr>
              <w:pStyle w:val="TableContents"/>
              <w:spacing w:before="0" w:after="283"/>
              <w:rPr/>
            </w:pPr>
            <w:r>
              <w:rPr/>
              <w:t>)</w:t>
            </w:r>
          </w:p>
        </w:tc>
      </w:tr>
      <w:tr>
        <w:trPr/>
        <w:tc>
          <w:tcPr>
            <w:tcW w:w="6474" w:type="dxa"/>
            <w:tcBorders/>
            <w:shd w:fill="CCEEFF" w:val="clear"/>
            <w:vAlign w:val="bottom"/>
          </w:tcPr>
          <w:p>
            <w:pPr>
              <w:pStyle w:val="TableContents"/>
              <w:spacing w:before="0" w:after="0"/>
              <w:ind w:left="675" w:right="0" w:hanging="225"/>
              <w:rPr/>
            </w:pPr>
            <w:r>
              <w:rPr/>
              <w:t>Investments in unconsolidated affiliates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(59,081</w:t>
            </w:r>
          </w:p>
        </w:tc>
        <w:tc>
          <w:tcPr>
            <w:tcW w:w="141" w:type="dxa"/>
            <w:tcBorders/>
            <w:shd w:fill="CCEEFF" w:val="clear"/>
            <w:vAlign w:val="bottom"/>
          </w:tcPr>
          <w:p>
            <w:pPr>
              <w:pStyle w:val="TableContents"/>
              <w:spacing w:before="0" w:after="283"/>
              <w:rPr/>
            </w:pPr>
            <w:r>
              <w:rPr/>
              <w:t>)</w:t>
            </w:r>
          </w:p>
        </w:tc>
      </w:tr>
      <w:tr>
        <w:trPr/>
        <w:tc>
          <w:tcPr>
            <w:tcW w:w="6474" w:type="dxa"/>
            <w:tcBorders/>
            <w:shd w:fill="auto" w:val="clear"/>
            <w:vAlign w:val="bottom"/>
          </w:tcPr>
          <w:p>
            <w:pPr>
              <w:pStyle w:val="TableContents"/>
              <w:spacing w:before="0" w:after="0"/>
              <w:ind w:left="675" w:right="0" w:hanging="225"/>
              <w:rPr/>
            </w:pPr>
            <w:r>
              <w:rPr/>
              <w:t>Dividends from unconsolidated affiliates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7,274</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3,840</w:t>
            </w:r>
          </w:p>
        </w:tc>
        <w:tc>
          <w:tcPr>
            <w:tcW w:w="141" w:type="dxa"/>
            <w:tcBorders/>
            <w:shd w:fill="auto" w:val="clear"/>
            <w:vAlign w:val="bottom"/>
          </w:tcPr>
          <w:p>
            <w:pPr>
              <w:pStyle w:val="TableContents"/>
              <w:spacing w:before="0" w:after="283"/>
              <w:rPr/>
            </w:pPr>
            <w:r>
              <w:rPr/>
              <w:t> </w:t>
            </w:r>
          </w:p>
        </w:tc>
      </w:tr>
      <w:tr>
        <w:trPr/>
        <w:tc>
          <w:tcPr>
            <w:tcW w:w="6474"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3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900" w:right="0" w:hanging="225"/>
              <w:rPr/>
            </w:pPr>
            <w:r>
              <w:rPr/>
              <w:t>Net cash used in investing activities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(100,604</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(106,265</w:t>
            </w:r>
          </w:p>
        </w:tc>
        <w:tc>
          <w:tcPr>
            <w:tcW w:w="141" w:type="dxa"/>
            <w:tcBorders/>
            <w:shd w:fill="CCEEFF" w:val="clear"/>
            <w:vAlign w:val="bottom"/>
          </w:tcPr>
          <w:p>
            <w:pPr>
              <w:pStyle w:val="TableContents"/>
              <w:spacing w:before="0" w:after="283"/>
              <w:rPr/>
            </w:pPr>
            <w:r>
              <w:rPr/>
              <w:t>)</w:t>
            </w:r>
          </w:p>
        </w:tc>
      </w:tr>
      <w:tr>
        <w:trPr/>
        <w:tc>
          <w:tcPr>
            <w:tcW w:w="6474" w:type="dxa"/>
            <w:tcBorders/>
            <w:shd w:fill="auto" w:val="clear"/>
            <w:vAlign w:val="bottom"/>
          </w:tcPr>
          <w:p>
            <w:pPr>
              <w:pStyle w:val="TableContents"/>
              <w:spacing w:before="0" w:after="0"/>
              <w:ind w:left="225" w:right="0" w:hanging="225"/>
              <w:rPr/>
            </w:pPr>
            <w:r>
              <w:rPr/>
              <w:t> </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225" w:right="0" w:hanging="225"/>
              <w:rPr/>
            </w:pPr>
            <w:r>
              <w:rPr/>
              <w:t>Financing Activities: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450" w:right="0" w:hanging="225"/>
              <w:rPr/>
            </w:pPr>
            <w:r>
              <w:rPr/>
              <w:t>Proceeds from exercise of stock options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397</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1,536</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450" w:right="0" w:hanging="225"/>
              <w:rPr/>
            </w:pPr>
            <w:r>
              <w:rPr/>
              <w:t>Excess tax benefit from stock compensation</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3,165</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1,850</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450" w:right="0" w:hanging="225"/>
              <w:rPr/>
            </w:pPr>
            <w:r>
              <w:rPr/>
              <w:t>Debt issuance costs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(2,397</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3</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450" w:right="0" w:hanging="225"/>
              <w:rPr/>
            </w:pPr>
            <w:r>
              <w:rPr/>
              <w:t>Taxes paid related to net share settlement of equity awards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(7,409</w:t>
            </w:r>
          </w:p>
        </w:tc>
        <w:tc>
          <w:tcPr>
            <w:tcW w:w="154" w:type="dxa"/>
            <w:tcBorders/>
            <w:shd w:fill="auto" w:val="clear"/>
            <w:vAlign w:val="bottom"/>
          </w:tcPr>
          <w:p>
            <w:pPr>
              <w:pStyle w:val="TableContents"/>
              <w:spacing w:before="0" w:after="283"/>
              <w:rPr/>
            </w:pPr>
            <w:r>
              <w:rPr/>
              <w:t>)</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450" w:right="0" w:hanging="225"/>
              <w:rPr/>
            </w:pPr>
            <w:r>
              <w:rPr/>
              <w:t>Net proceeds (payments) on revolving line of credit</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26,500</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450" w:right="0" w:hanging="225"/>
              <w:rPr/>
            </w:pPr>
            <w:r>
              <w:rPr/>
              <w:t>Payments on bank borrowings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(25,004</w:t>
            </w:r>
          </w:p>
        </w:tc>
        <w:tc>
          <w:tcPr>
            <w:tcW w:w="154" w:type="dxa"/>
            <w:tcBorders/>
            <w:shd w:fill="auto" w:val="clear"/>
            <w:vAlign w:val="bottom"/>
          </w:tcPr>
          <w:p>
            <w:pPr>
              <w:pStyle w:val="TableContents"/>
              <w:spacing w:before="0" w:after="283"/>
              <w:rPr/>
            </w:pPr>
            <w:r>
              <w:rPr/>
              <w:t>)</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(7,500</w:t>
            </w:r>
          </w:p>
        </w:tc>
        <w:tc>
          <w:tcPr>
            <w:tcW w:w="141" w:type="dxa"/>
            <w:tcBorders/>
            <w:shd w:fill="auto" w:val="clear"/>
            <w:vAlign w:val="bottom"/>
          </w:tcPr>
          <w:p>
            <w:pPr>
              <w:pStyle w:val="TableContents"/>
              <w:spacing w:before="0" w:after="283"/>
              <w:rPr/>
            </w:pPr>
            <w:r>
              <w:rPr/>
              <w:t>)</w:t>
            </w:r>
          </w:p>
        </w:tc>
      </w:tr>
      <w:tr>
        <w:trPr/>
        <w:tc>
          <w:tcPr>
            <w:tcW w:w="6474"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3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900" w:right="0" w:hanging="225"/>
              <w:rPr/>
            </w:pPr>
            <w:r>
              <w:rPr/>
              <w:t>Net cash used in financing activities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(4,748</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125" w:type="dxa"/>
            <w:tcBorders/>
            <w:shd w:fill="CCEEFF" w:val="clear"/>
            <w:vAlign w:val="bottom"/>
          </w:tcPr>
          <w:p>
            <w:pPr>
              <w:pStyle w:val="TableContents"/>
              <w:spacing w:before="0" w:after="283"/>
              <w:jc w:val="right"/>
              <w:rPr/>
            </w:pPr>
            <w:r>
              <w:rPr/>
              <w:t>(4,111</w:t>
            </w:r>
          </w:p>
        </w:tc>
        <w:tc>
          <w:tcPr>
            <w:tcW w:w="141" w:type="dxa"/>
            <w:tcBorders/>
            <w:shd w:fill="CCEEFF" w:val="clear"/>
            <w:vAlign w:val="bottom"/>
          </w:tcPr>
          <w:p>
            <w:pPr>
              <w:pStyle w:val="TableContents"/>
              <w:spacing w:before="0" w:after="283"/>
              <w:rPr/>
            </w:pPr>
            <w:r>
              <w:rPr/>
              <w:t>)</w:t>
            </w:r>
          </w:p>
        </w:tc>
      </w:tr>
      <w:tr>
        <w:trPr/>
        <w:tc>
          <w:tcPr>
            <w:tcW w:w="6474" w:type="dxa"/>
            <w:tcBorders/>
            <w:shd w:fill="auto" w:val="clear"/>
            <w:vAlign w:val="bottom"/>
          </w:tcPr>
          <w:p>
            <w:pPr>
              <w:pStyle w:val="TableContents"/>
              <w:spacing w:before="0" w:after="0"/>
              <w:ind w:left="225" w:right="0" w:hanging="225"/>
              <w:rPr/>
            </w:pPr>
            <w:r>
              <w:rPr/>
              <w:t> </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225" w:right="0" w:hanging="225"/>
              <w:rPr/>
            </w:pPr>
            <w:r>
              <w:rPr/>
              <w:t>Change in cash and cash equivalents</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1,638</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125" w:type="dxa"/>
            <w:tcBorders/>
            <w:shd w:fill="auto" w:val="clear"/>
            <w:vAlign w:val="bottom"/>
          </w:tcPr>
          <w:p>
            <w:pPr>
              <w:pStyle w:val="TableContents"/>
              <w:spacing w:before="0" w:after="283"/>
              <w:jc w:val="right"/>
              <w:rPr/>
            </w:pPr>
            <w:r>
              <w:rPr/>
              <w:t>(29,852</w:t>
            </w:r>
          </w:p>
        </w:tc>
        <w:tc>
          <w:tcPr>
            <w:tcW w:w="141" w:type="dxa"/>
            <w:tcBorders/>
            <w:shd w:fill="auto" w:val="clear"/>
            <w:vAlign w:val="bottom"/>
          </w:tcPr>
          <w:p>
            <w:pPr>
              <w:pStyle w:val="TableContents"/>
              <w:spacing w:before="0" w:after="283"/>
              <w:rPr/>
            </w:pPr>
            <w:r>
              <w:rPr/>
              <w:t>)</w:t>
            </w:r>
          </w:p>
        </w:tc>
      </w:tr>
      <w:tr>
        <w:trPr/>
        <w:tc>
          <w:tcPr>
            <w:tcW w:w="6474" w:type="dxa"/>
            <w:tcBorders/>
            <w:shd w:fill="CCEEFF" w:val="clear"/>
            <w:vAlign w:val="bottom"/>
          </w:tcPr>
          <w:p>
            <w:pPr>
              <w:pStyle w:val="TableContents"/>
              <w:spacing w:before="0" w:after="0"/>
              <w:ind w:left="225" w:right="0" w:hanging="225"/>
              <w:rPr/>
            </w:pPr>
            <w:r>
              <w:rPr/>
              <w:t>Cash and cash equivalents at beginning of period</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25,854</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44,764</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3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3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474" w:type="dxa"/>
            <w:tcBorders/>
            <w:shd w:fill="auto" w:val="clear"/>
            <w:vAlign w:val="bottom"/>
          </w:tcPr>
          <w:p>
            <w:pPr>
              <w:pStyle w:val="TableContents"/>
              <w:spacing w:before="0" w:after="0"/>
              <w:ind w:left="225" w:right="0" w:hanging="225"/>
              <w:rPr/>
            </w:pPr>
            <w:r>
              <w:rPr/>
              <w:t>Cash and cash equivalents at end of period</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124" w:type="dxa"/>
            <w:tcBorders/>
            <w:shd w:fill="auto" w:val="clear"/>
            <w:vAlign w:val="bottom"/>
          </w:tcPr>
          <w:p>
            <w:pPr>
              <w:pStyle w:val="TableContents"/>
              <w:spacing w:before="0" w:after="283"/>
              <w:jc w:val="right"/>
              <w:rPr/>
            </w:pPr>
            <w:r>
              <w:rPr/>
              <w:t>27,492</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14,912</w:t>
            </w:r>
          </w:p>
        </w:tc>
        <w:tc>
          <w:tcPr>
            <w:tcW w:w="141" w:type="dxa"/>
            <w:tcBorders/>
            <w:shd w:fill="auto" w:val="clear"/>
            <w:vAlign w:val="bottom"/>
          </w:tcPr>
          <w:p>
            <w:pPr>
              <w:pStyle w:val="TableContents"/>
              <w:spacing w:before="0" w:after="283"/>
              <w:rPr/>
            </w:pPr>
            <w:r>
              <w:rPr/>
              <w:t> </w:t>
            </w:r>
          </w:p>
        </w:tc>
      </w:tr>
      <w:tr>
        <w:trPr/>
        <w:tc>
          <w:tcPr>
            <w:tcW w:w="6474"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3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3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474" w:type="dxa"/>
            <w:tcBorders/>
            <w:shd w:fill="auto" w:val="clear"/>
            <w:vAlign w:val="bottom"/>
          </w:tcPr>
          <w:p>
            <w:pPr>
              <w:pStyle w:val="TableContents"/>
              <w:spacing w:before="0" w:after="0"/>
              <w:ind w:left="225" w:right="0" w:hanging="225"/>
              <w:rPr/>
            </w:pPr>
            <w:r>
              <w:rPr/>
              <w:t> </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225" w:right="0" w:hanging="225"/>
              <w:rPr/>
            </w:pPr>
            <w:r>
              <w:rPr/>
              <w:t>Non-cash Investing and Financing Activities:</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450" w:right="0" w:hanging="225"/>
              <w:rPr/>
            </w:pPr>
            <w:r>
              <w:rPr/>
              <w:t>Pawn loans forfeited and transferred to inventory</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124" w:type="dxa"/>
            <w:tcBorders/>
            <w:shd w:fill="auto" w:val="clear"/>
            <w:vAlign w:val="bottom"/>
          </w:tcPr>
          <w:p>
            <w:pPr>
              <w:pStyle w:val="TableContents"/>
              <w:spacing w:before="0" w:after="283"/>
              <w:jc w:val="right"/>
              <w:rPr/>
            </w:pPr>
            <w:r>
              <w:rPr/>
              <w:t>152,415</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123,896</w:t>
            </w:r>
          </w:p>
        </w:tc>
        <w:tc>
          <w:tcPr>
            <w:tcW w:w="141" w:type="dxa"/>
            <w:tcBorders/>
            <w:shd w:fill="auto" w:val="clear"/>
            <w:vAlign w:val="bottom"/>
          </w:tcPr>
          <w:p>
            <w:pPr>
              <w:pStyle w:val="TableContents"/>
              <w:spacing w:before="0" w:after="283"/>
              <w:rPr/>
            </w:pPr>
            <w:r>
              <w:rPr/>
              <w:t> </w:t>
            </w:r>
          </w:p>
        </w:tc>
      </w:tr>
      <w:tr>
        <w:trPr/>
        <w:tc>
          <w:tcPr>
            <w:tcW w:w="6474" w:type="dxa"/>
            <w:tcBorders/>
            <w:shd w:fill="CCEEFF" w:val="clear"/>
            <w:vAlign w:val="bottom"/>
          </w:tcPr>
          <w:p>
            <w:pPr>
              <w:pStyle w:val="TableContents"/>
              <w:spacing w:before="0" w:after="0"/>
              <w:ind w:left="450" w:right="0" w:hanging="225"/>
              <w:rPr/>
            </w:pPr>
            <w:r>
              <w:rPr/>
              <w:t>Foreign currency translation adjustment</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124" w:type="dxa"/>
            <w:tcBorders/>
            <w:shd w:fill="CCEEFF" w:val="clear"/>
            <w:vAlign w:val="bottom"/>
          </w:tcPr>
          <w:p>
            <w:pPr>
              <w:pStyle w:val="TableContents"/>
              <w:spacing w:before="0" w:after="283"/>
              <w:jc w:val="right"/>
              <w:rPr/>
            </w:pPr>
            <w:r>
              <w:rPr/>
              <w:t>(10,901</w:t>
            </w:r>
          </w:p>
        </w:tc>
        <w:tc>
          <w:tcPr>
            <w:tcW w:w="154"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125" w:type="dxa"/>
            <w:tcBorders/>
            <w:shd w:fill="CCEEFF" w:val="clear"/>
            <w:vAlign w:val="bottom"/>
          </w:tcPr>
          <w:p>
            <w:pPr>
              <w:pStyle w:val="TableContents"/>
              <w:spacing w:before="0" w:after="283"/>
              <w:jc w:val="right"/>
              <w:rPr/>
            </w:pPr>
            <w:r>
              <w:rPr/>
              <w:t>544</w:t>
            </w:r>
          </w:p>
        </w:tc>
        <w:tc>
          <w:tcPr>
            <w:tcW w:w="141" w:type="dxa"/>
            <w:tcBorders/>
            <w:shd w:fill="CCEEFF" w:val="clear"/>
            <w:vAlign w:val="bottom"/>
          </w:tcPr>
          <w:p>
            <w:pPr>
              <w:pStyle w:val="TableContents"/>
              <w:spacing w:before="0" w:after="283"/>
              <w:rPr/>
            </w:pPr>
            <w:r>
              <w:rPr/>
              <w:t> </w:t>
            </w:r>
          </w:p>
        </w:tc>
      </w:tr>
      <w:tr>
        <w:trPr/>
        <w:tc>
          <w:tcPr>
            <w:tcW w:w="6474" w:type="dxa"/>
            <w:tcBorders/>
            <w:shd w:fill="auto" w:val="clear"/>
            <w:vAlign w:val="bottom"/>
          </w:tcPr>
          <w:p>
            <w:pPr>
              <w:pStyle w:val="TableContents"/>
              <w:spacing w:before="0" w:after="0"/>
              <w:ind w:left="450" w:right="0" w:hanging="225"/>
              <w:rPr/>
            </w:pPr>
            <w:r>
              <w:rPr/>
              <w:t>Acquisition-related stock issuance</w:t>
            </w:r>
          </w:p>
        </w:tc>
        <w:tc>
          <w:tcPr>
            <w:tcW w:w="39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124" w:type="dxa"/>
            <w:tcBorders/>
            <w:shd w:fill="auto" w:val="clear"/>
            <w:vAlign w:val="bottom"/>
          </w:tcPr>
          <w:p>
            <w:pPr>
              <w:pStyle w:val="TableContents"/>
              <w:spacing w:before="0" w:after="283"/>
              <w:jc w:val="right"/>
              <w:rPr/>
            </w:pPr>
            <w:r>
              <w:rPr/>
              <w:t></w:t>
            </w:r>
          </w:p>
        </w:tc>
        <w:tc>
          <w:tcPr>
            <w:tcW w:w="15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(31</w:t>
            </w:r>
          </w:p>
        </w:tc>
        <w:tc>
          <w:tcPr>
            <w:tcW w:w="141" w:type="dxa"/>
            <w:tcBorders/>
            <w:shd w:fill="auto" w:val="clear"/>
            <w:vAlign w:val="bottom"/>
          </w:tcPr>
          <w:p>
            <w:pPr>
              <w:pStyle w:val="TableContents"/>
              <w:spacing w:before="0" w:after="283"/>
              <w:rPr/>
            </w:pPr>
            <w:r>
              <w:rPr/>
              <w:t>)</w:t>
            </w:r>
          </w:p>
        </w:tc>
      </w:tr>
      <w:tr>
        <w:trPr/>
        <w:tc>
          <w:tcPr>
            <w:tcW w:w="6474" w:type="dxa"/>
            <w:tcBorders/>
            <w:shd w:fill="CCEEFF" w:val="clear"/>
            <w:vAlign w:val="bottom"/>
          </w:tcPr>
          <w:p>
            <w:pPr>
              <w:pStyle w:val="TableContents"/>
              <w:spacing w:before="0" w:after="0"/>
              <w:ind w:left="450" w:right="0" w:hanging="225"/>
              <w:rPr/>
            </w:pPr>
            <w:r>
              <w:rPr/>
              <w:t>Issuance of common stock to 401(k) plan</w:t>
            </w:r>
          </w:p>
        </w:tc>
        <w:tc>
          <w:tcPr>
            <w:tcW w:w="39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124" w:type="dxa"/>
            <w:tcBorders/>
            <w:shd w:fill="CCEEFF" w:val="clear"/>
            <w:vAlign w:val="bottom"/>
          </w:tcPr>
          <w:p>
            <w:pPr>
              <w:pStyle w:val="TableContents"/>
              <w:spacing w:before="0" w:after="283"/>
              <w:jc w:val="right"/>
              <w:rPr/>
            </w:pPr>
            <w:r>
              <w:rPr/>
              <w:t></w:t>
            </w:r>
          </w:p>
        </w:tc>
        <w:tc>
          <w:tcPr>
            <w:tcW w:w="154"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125" w:type="dxa"/>
            <w:tcBorders/>
            <w:shd w:fill="CCEEFF" w:val="clear"/>
            <w:vAlign w:val="bottom"/>
          </w:tcPr>
          <w:p>
            <w:pPr>
              <w:pStyle w:val="TableContents"/>
              <w:spacing w:before="0" w:after="283"/>
              <w:jc w:val="right"/>
              <w:rPr/>
            </w:pPr>
            <w:r>
              <w:rPr/>
              <w:t>260</w:t>
            </w:r>
          </w:p>
        </w:tc>
        <w:tc>
          <w:tcPr>
            <w:tcW w:w="141" w:type="dxa"/>
            <w:tcBorders/>
            <w:shd w:fill="CCEEFF"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 and Subsidiaries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8" w:name="D82588106"/>
      <w:bookmarkEnd w:id="8"/>
      <w:r>
        <w:rPr>
          <w:rFonts w:ascii="Times New Roman;Times;serif" w:hAnsi="Times New Roman;Times;serif"/>
          <w:b/>
          <w:sz w:val="17"/>
        </w:rPr>
        <w:t>Notes to Interim Condensed Consolidated Financial Statements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June 30, 2011</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Note A: Basis of Presentation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acquired businesses (described in Note C). The accompanying financial statements should be read with the Notes to Consolidated Financial Statements included in our Annual Report on Form 10-K for the year ended September 30, 2010. The balance sheet at September 30, 2010 has been derived from the audited financial statements at that date but does not include all of the information and footnotes required by generally accepted accounting principles for complete financial statements. Certain prior period balances have been reclassified to conform to the current presentation.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business is subject to seasonal variations and operating results for the interim periods ended June 30, 2011 (the current quarter and current year-to-date period) are not necessarily indicative of the results of operations for the full fiscal year.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B: Significant Accounting Policies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Consolidation: </w:t>
      </w:r>
      <w:r>
        <w:rPr>
          <w:rFonts w:ascii="Times New Roman;Times;serif" w:hAnsi="Times New Roman;Times;serif"/>
          <w:sz w:val="17"/>
        </w:rPr>
        <w:t xml:space="preserve">The consolidated financial statements include the accounts of EZCORP, Inc. and its wholly owned subsidiaries. All significant inter-company accounts and transactions have been eliminated in consolidation. We account for our investments in Albemarle &amp; Bond Holdings, PLC and Cash Converters International Limited using the equity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Pawn Loan and Sales Revenue Recognition: </w:t>
      </w:r>
      <w:r>
        <w:rPr>
          <w:rFonts w:ascii="Times New Roman;Times;serif" w:hAnsi="Times New Roman;Times;serif"/>
          <w:sz w:val="17"/>
        </w:rPr>
        <w:t xml:space="preserve">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upon the sale of inventory is excluded from the amount recognized as sales and instead recorded as a liability in Accounts payable and other accrued expenses on our balance sheets until remitted to the appropriate governmental authorities.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Fee Revenue Recognition: </w:t>
      </w:r>
      <w:r>
        <w:rPr>
          <w:rFonts w:ascii="Times New Roman;Times;serif" w:hAnsi="Times New Roman;Times;serif"/>
          <w:sz w:val="17"/>
        </w:rPr>
        <w:t xml:space="preserve">We earn credit service fees when we assist customers in obtaining signature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Signature loan credit service fee revenue is included in Signature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Bad Debt: </w:t>
      </w:r>
      <w:r>
        <w:rPr>
          <w:rFonts w:ascii="Times New Roman;Times;serif" w:hAnsi="Times New Roman;Times;serif"/>
          <w:sz w:val="17"/>
        </w:rPr>
        <w:t xml:space="preserve">We issue letters of credit to enhance the creditworthiness of our customers seeking signature loans from unaffiliated lenders. The letters of credit assure the lenders that if borrowers default on the loans, we will pay the lenders, upon demand, the principal and accrued interest owed to the lenders by the borrowers plus any insufficient funds fees and late fees.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majority of our credit service customers obtain short-term signature loans with a single maturity date. These short-term loans, with maturity dates averaging about 16 days, are considered defaulted if they have not been repaid or renewed by the maturity date. Other credit service customers obtain installment loans with a series of payments due over as much as a five-month period. If one payment of an installment loan is delinquent, that one payment is considered defaulted. If more than one installment payment is delinquent at any time, the entire loan is considered defaulted.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Allowance for Losses on Signature Loan Credit Services: </w:t>
      </w:r>
      <w:r>
        <w:rPr>
          <w:rFonts w:ascii="Times New Roman;Times;serif" w:hAnsi="Times New Roman;Times;serif"/>
          <w:sz w:val="17"/>
        </w:rPr>
        <w:t xml:space="preserve">We provide an allowance for losses we expect to incur under letters of credit for brokered signature loans that have not yet matured. The allowance is based on recent loan default experience adjusted for seasonal variations. It includes all amounts we expect to pay to the unaffiliated lenders upon loan default, including loan principal, accrued interest, insufficient funds fees and late fees, net of the amounts we expect to collect from borrowers (collectively, Expected LOC Losses). Changes in the allowance are charged to signature loan bad debt. We include the balance of Expected LOC Losses in Accounts payable and other accrued expenses on our balance sheets. At June 30, 2011, the allowance for Expected LOC Losses on signature loans was $1.5 million and our maximum exposure for losses on letters of credit, if all brokered signature loans defaulted and none was collected, was $23.7 million. This amount includes principal, interest, insufficient funds fees and late fees. Based on the expected loss and collection percentages, we also provide an allowance for the signature loan credit service fees we expect not to collect, and charge changes in this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Revenue Recognition: </w:t>
      </w:r>
      <w:r>
        <w:rPr>
          <w:rFonts w:ascii="Times New Roman;Times;serif" w:hAnsi="Times New Roman;Times;serif"/>
          <w:sz w:val="17"/>
        </w:rPr>
        <w:t xml:space="preserve">We accrue fees in accordance with state and provincial laws on the percentage of signature loans (payday loans and installment loans) we have made that we believe to be collectible. Accrued fees related to defaulted loans reduce fee revenue upon loan default, and increase fee revenue upon collection.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Bad Debt: </w:t>
      </w:r>
      <w:r>
        <w:rPr>
          <w:rFonts w:ascii="Times New Roman;Times;serif" w:hAnsi="Times New Roman;Times;serif"/>
          <w:sz w:val="17"/>
        </w:rPr>
        <w:t xml:space="preserve">We consider a payday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Allowance for Losses: </w:t>
      </w:r>
      <w:r>
        <w:rPr>
          <w:rFonts w:ascii="Times New Roman;Times;serif" w:hAnsi="Times New Roman;Times;serif"/>
          <w:sz w:val="17"/>
        </w:rPr>
        <w:t xml:space="preserve">We provide an allowance for losses on signature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Credit Service Fee Revenue Recognition: </w:t>
      </w:r>
      <w:r>
        <w:rPr>
          <w:rFonts w:ascii="Times New Roman;Times;serif" w:hAnsi="Times New Roman;Times;serif"/>
          <w:sz w:val="17"/>
        </w:rPr>
        <w:t xml:space="preserve">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Auto title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Bad Debt and Allowance for Losses on Auto Title Loan Credit Services: </w:t>
      </w:r>
      <w:r>
        <w:rPr>
          <w:rFonts w:ascii="Times New Roman;Times;serif" w:hAnsi="Times New Roman;Times;serif"/>
          <w:sz w:val="17"/>
        </w:rPr>
        <w:t xml:space="preserve">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 At June 30, 2011, the allowance was $0.2 million and our maximum exposure for losses on letters of credit, if all brokered auto title loans defaulted and none was collected, was $5.9 million.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Revenue Recognition: </w:t>
      </w:r>
      <w:r>
        <w:rPr>
          <w:rFonts w:ascii="Times New Roman;Times;serif" w:hAnsi="Times New Roman;Times;serif"/>
          <w:sz w:val="17"/>
        </w:rPr>
        <w:t xml:space="preserve">We accrue fees in accordance with state laws on the percentage of auto title loans we have made that we believe to be collectible. We recognize the fee revenue ratably over the life of the loan.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Bad Debt and Allowance for Losses: </w:t>
      </w:r>
      <w:r>
        <w:rPr>
          <w:rFonts w:ascii="Times New Roman;Times;serif" w:hAnsi="Times New Roman;Times;serif"/>
          <w:sz w:val="17"/>
        </w:rPr>
        <w:t xml:space="preserve">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auto title loan bad debt and charge uncollectable loans against this allowance. We record changes in the fee receivable valuation allowance to auto title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Cash and Cash Equivalents and Cash Concentrations: </w:t>
      </w:r>
      <w:r>
        <w:rPr>
          <w:rFonts w:ascii="Times New Roman;Times;serif" w:hAnsi="Times New Roman;Times;serif"/>
          <w:sz w:val="17"/>
        </w:rPr>
        <w:t xml:space="preserve">Cash and cash equivalents consist primarily of cash on deposit or highly liquid investments or mutual funds with original contractual maturities of three months or less. We hold cash at major financial institutions that often exceed FDIC insured limits. We manage our credit risk associated with cash and cash equivalents and cash concentrations by investing in high quality instruments or funds, concentrating our cash deposits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high quality financial institutions and by periodically evaluating the credit quality of the primary financial institutions issuing investments or holding such deposits. Historically, we have not experienced any losses due to such cash concentrations.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Inventory: </w:t>
      </w:r>
      <w:r>
        <w:rPr>
          <w:rFonts w:ascii="Times New Roman;Times;serif" w:hAnsi="Times New Roman;Times;serif"/>
          <w:sz w:val="17"/>
        </w:rPr>
        <w:t xml:space="preserve">If a pawn loan is not redeemed, we record the forfeited collateral at cost (the principal amount of the pawn loan). We do not record loan loss allowances or charge-offs on the principal portion of pawn loans, as they are fully collateralized. In order to state inventory at the lower of cost (specific identification) or market value, we record an allowance for excess, obsolete or slow-moving inventory based on the type and age of merchandise. At June 30, 2011, the inventory valuation allowance was $8.0 million or 9.2% of gross inventory. We record changes in the inventory valuation allowance as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Intangible Assets: </w:t>
      </w:r>
      <w:r>
        <w:rPr>
          <w:rFonts w:ascii="Times New Roman;Times;serif" w:hAnsi="Times New Roman;Times;serif"/>
          <w:sz w:val="17"/>
        </w:rPr>
        <w:t xml:space="preserve">Goodwill and other intangible assets having indefinite lives are not subject to amortization. They are tested for impairment each July 1st, or more frequently if events or changes in circumstances indicate that they might be impaired, based on cash flows and other market valuation methods. We recognized no impairment of our intangible assets in the current or prior year periods. We amortize intangible assets with definite lives over their estimated useful lives, using the straight-line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Property and Equipment: </w:t>
      </w:r>
      <w:r>
        <w:rPr>
          <w:rFonts w:ascii="Times New Roman;Times;serif" w:hAnsi="Times New Roman;Times;serif"/>
          <w:sz w:val="17"/>
        </w:rPr>
        <w:t xml:space="preserve">We record property and equipment at cost. We depreciate these assets on a straight-line basis using estimated useful lives of 30 years for buildings and 2 to 7 years for furniture, equipment, and software development costs. We depreciate leasehold improvements over the shorter of their estimated useful life (typically 10 years) or the reasonably assured lease term at the inception of the lease. Property and equipment is shown net of accumulated depreciation of $125.7 million at June 30, 2011.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Valuation of Tangible Long-Lived Assets: </w:t>
      </w:r>
      <w:r>
        <w:rPr>
          <w:rFonts w:ascii="Times New Roman;Times;serif" w:hAnsi="Times New Roman;Times;serif"/>
          <w:sz w:val="17"/>
        </w:rPr>
        <w:t xml:space="preserve">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When we determine that the net recorded amount of tangible long-lived assets may not be recoverable, we measure impairment based on the excess of the assets net recorded amount over the estimated fair value. No impairment of tangible long-lived assets was recognized in the current or prior year periods.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Fair Value of Financial Instruments: </w:t>
      </w:r>
      <w:r>
        <w:rPr>
          <w:rFonts w:ascii="Times New Roman;Times;serif" w:hAnsi="Times New Roman;Times;serif"/>
          <w:sz w:val="17"/>
        </w:rPr>
        <w:t xml:space="preserve">We have elected not to measure at fair value any eligible items for which fair value measurement is optional. We determine the fair value of financial instruments by reference to various market data and other valuation techniques, as appropriate. Unless 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Foreign Currency Translation: </w:t>
      </w:r>
      <w:r>
        <w:rPr>
          <w:rFonts w:ascii="Times New Roman;Times;serif" w:hAnsi="Times New Roman;Times;serif"/>
          <w:sz w:val="17"/>
        </w:rPr>
        <w:t xml:space="preserve">Our equity investments in Albemarle &amp; Bond and Cash Converters are translated from British pounds and Australian dollars, respectively, into U.S. dollars at the exchange rates as of the investees balance sheet date. The related interest in the investees net income is translated at the average exchange rates for each six-month period reported by the investees. The functional currency of our wholly-owned Empeño Fácil pawn segment is the Mexican peso and the functional currency of our wholly-owned foreign subsidiary CASHMAX is the Canadian dollar. Empeño Fácils and CASHMAXs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from Albemarle &amp; Bond, Cash Converters, Empeño Fácil and CASHMAX as a separate component of stockholders equity. Foreign currency transaction gains and losses have not been significant, and are reported as Other expense in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Income Taxes: </w:t>
      </w:r>
      <w:r>
        <w:rPr>
          <w:rFonts w:ascii="Times New Roman;Times;serif" w:hAnsi="Times New Roman;Times;serif"/>
          <w:sz w:val="17"/>
        </w:rPr>
        <w:t xml:space="preserve">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Stock Compensation: </w:t>
      </w:r>
      <w:r>
        <w:rPr>
          <w:rFonts w:ascii="Times New Roman;Times;serif" w:hAnsi="Times New Roman;Times;serif"/>
          <w:sz w:val="17"/>
        </w:rPr>
        <w:t xml:space="preserve">We account for stock compensation in accordance with the fair value recognition provisions of Financial Accounting Standards Board (FASB) Accounting Standards Codification (ASC) 718-10-25 (Compensation  Stock Compensation). The fair value of restricted shares is measured as the closing market price of our stock on the date of grant, which is amortized over the vesting period for each grant. We have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 granted any stock options since fiscal 2007. When granted, our policy is to estimate the grant-date fair value of options using the Black-Scholes-Merton option-pricing model and amortize that fair value to compensation expense on a ratable basis over the options vesting periods.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Recently Issued Accounting Pronouncements: </w:t>
      </w:r>
      <w:r>
        <w:rPr>
          <w:rFonts w:ascii="Times New Roman;Times;serif" w:hAnsi="Times New Roman;Times;serif"/>
          <w:sz w:val="17"/>
        </w:rPr>
        <w:t xml:space="preserve">In June 2009, FASB amended ASC 810-10-65 (Consolidation). Amended ASC 810-10-65 relates to the consolidation of variable interest entities. It eliminates the quantitative approach previously required for determining the primary beneficiary of a variable interest entity and requires ongoing qualitative reassessments of whether an enterprise is the primary beneficiary of a variable interest entity. This guidance also requires additional disclosures about an enterprises involvement in variable interest entities. We adopted this amended standard October 1, 2010, resulting in no effect on our financial position, results of operations or cash flows.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July 2010, FASB issued Accounting Standards Update (ASU) 2010-20, Disclosures about the Credit Quality of Financing Receivables and the Allowance for Credit Losses. This update amends FASB ASC 310 (Receivables) to improve the disclosures that an entity provides about the credit quality of its financing receivables and the related allowance for credit losses. As a result of these amendments, an entity is required to disaggregate by portfolio segment or class certain existing disclosures and provide new disclosures about its financing receivables and related allowance for credit losses. We adopted this amended standard on October 1, 2010, resulting in no effect on our financial position, results of operations or cash flows. The additional required disclosures are included in Note 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June 2011, FASB issued ASU 2011-05, Presentation of Comprehensive Income. This update amends FASB ASC 220 (Comprehensive Income) and eliminates the option to present components of other comprehensive income as part of the statement of changes in stockholders equity. The amendments require that all non-owner changes in stockholders equity be presented either in a single continuous statement of comprehensive income or in two separate but consecutive statements. We must adopt this amended standard in our fiscal year beginning October 1, 2012. Adoption of ASU 2011-05 will have no effect on our financial position, results of operations or cash flows other than the presentation of our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Note C: 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fiscal year ended September 2010, we acquired, through asset purchases, five pawn stores located in the Chicago metropolitan area, eight pawn stores located in Central and South Florida, two pawn stores located in Corpus Christi, Texas and one pawn store in Las Vegas, Nevada for approximately $21.8 million in cash. The stores were acquired from five separate sellers. We recorded approximately $4.9 million of net tangible assets and $1.0 million of intangible assets attributable to non-compete agreements and a pawn license. Goodwill of $15.9 million, which is expected to be fully tax deductible, was recorded in the U.S. Pawn Operations segment as part of these acquisitions.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quarter ended December 31, 2010, we acquired three pawn stores located in the Chicago metropolitan area and one pawn store located in Marietta, Georgia for approximately $13.7 million in cash. The stores were acquired from four separate sellers. One of the stores in Chicago was acquired by purchasing all of the capital stock of the corporation that owned it, and the other three were acquired through asset purchases. We recorded approximately $2.8 million of net tangible assets, $0.1 million of intangible assets attributable to non-compete agreements and $10.8 million of goodwill, all of which was recorded in the U.S. Pawn Operations segment. Of the total goodwill, $6.1 million is expected to be fully tax deductible and $4.7 million is expected to be non-deductible.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quarter ended March 31, 2011, we acquired five pawn stores located in Central and South Florida for approximately $17.8 million in cash. The stores were acquired from two separate sellers. One of the stores was acquired by purchasing all of the capital stock of the corporation that owned it, and the other four were acquired through asset purchases. We recorded approximately $2.8 million of net tangible assets, $0.1 million of intangible assets attributable to non-compete agreements and $14.9 million of goodwill, all of which was recorded in the U.S. Pawn Operations segment. Of the total goodwill, $10.0 million is expected to be fully tax deductible and $4.9 million is expected to be non-deductible.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April 8, 2011, we acquired for approximately $1.7 million the trademark and licensing rights of Cash Converters in Canada, including rights to receive fees from 13 stores operated by franchisees in Canada. We recorded in the EZMONEY Operations segment approximately $0.1 million of net tangible assets and $1.6 million of intangible assets related to this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quarter ended June 30, 2011, we acquired 23 stores located in Florida, Iowa, Wisconsin, Utah and the Chicago metropolitan area for approximately $31.6 million in cash. The stores were acquired from three separate sellers. Fifteen of the stores were acquired by purchasing all of the capital stock of the corporation that owned it, and the other eight were acquired through asset purchases. We recorded approximately $7.5 million of net tangible assets, $0.6 million of intangible assets mostly attributable to non-compete agreements and $23.5 million of goodwill, all of which was recorded in the U.S. Pawn Operations segment. Of the total goodwill, $10.8 million is expected to be fully tax deductible and $12.7 million is expected to be non-deductible.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factors contributing to the recognition of goodwill were based on several strategic and synergistic benefits we expect to realize from the acquisitions. These benefits include our initial entry into Chicago, Iowa, Wisconsin and Utah in addition to a greater presence in the prime pawn market of Florida and the ability to further leverage our expense structure through increased scale.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stores were acquired as part of our continuing strategy to acquire domestic pawn stores to enhance and diversify our earnings. Transaction related expenses were not material and were expensed as incurred. The results of all acquired stores have been consolidated with our results since their acquisition. The purchase price allocation of stores acquired in the most recent twelve months is preliminary as we continue to receive information regarding the acquired assets. Pro forma results of operations have not been presented because the acquisitions were not significant on either an individual or an aggregate basis.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Note D: Earnings per Share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Components of basic and diluted earnings per share and excluded anti-dilutive potential common shares are as follows (in thousands except per share amounts): </w:t>
      </w:r>
    </w:p>
    <w:tbl>
      <w:tblPr>
        <w:tblW w:w="5000" w:type="pct"/>
        <w:jc w:val="center"/>
        <w:tblInd w:w="0" w:type="dxa"/>
        <w:tblCellMar>
          <w:top w:w="0" w:type="dxa"/>
          <w:left w:w="0" w:type="dxa"/>
          <w:bottom w:w="0" w:type="dxa"/>
          <w:right w:w="0" w:type="dxa"/>
        </w:tblCellMar>
      </w:tblPr>
      <w:tblGrid>
        <w:gridCol w:w="4338"/>
        <w:gridCol w:w="402"/>
        <w:gridCol w:w="162"/>
        <w:gridCol w:w="801"/>
        <w:gridCol w:w="111"/>
        <w:gridCol w:w="407"/>
        <w:gridCol w:w="162"/>
        <w:gridCol w:w="802"/>
        <w:gridCol w:w="106"/>
        <w:gridCol w:w="402"/>
        <w:gridCol w:w="158"/>
        <w:gridCol w:w="780"/>
        <w:gridCol w:w="110"/>
        <w:gridCol w:w="406"/>
        <w:gridCol w:w="158"/>
        <w:gridCol w:w="782"/>
        <w:gridCol w:w="118"/>
      </w:tblGrid>
      <w:tr>
        <w:trPr/>
        <w:tc>
          <w:tcPr>
            <w:tcW w:w="433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445" w:type="dxa"/>
            <w:gridSpan w:val="6"/>
            <w:tcBorders/>
            <w:shd w:fill="auto" w:val="clear"/>
            <w:vAlign w:val="bottom"/>
          </w:tcPr>
          <w:p>
            <w:pPr>
              <w:pStyle w:val="TableContents"/>
              <w:spacing w:before="0" w:after="283"/>
              <w:jc w:val="center"/>
              <w:rPr/>
            </w:pPr>
            <w:r>
              <w:rPr/>
              <w:t>Three Months Ended</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394" w:type="dxa"/>
            <w:gridSpan w:val="6"/>
            <w:tcBorders/>
            <w:shd w:fill="auto" w:val="clear"/>
            <w:vAlign w:val="bottom"/>
          </w:tcPr>
          <w:p>
            <w:pPr>
              <w:pStyle w:val="TableContents"/>
              <w:spacing w:before="0" w:after="283"/>
              <w:jc w:val="center"/>
              <w:rPr/>
            </w:pPr>
            <w:r>
              <w:rPr/>
              <w:t>Nine Months Ended</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445"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06" w:type="dxa"/>
            <w:tcBorders>
              <w:bottom w:val="single" w:sz="2" w:space="0" w:color="000000"/>
            </w:tcBorders>
            <w:shd w:fill="auto" w:val="clear"/>
            <w:tcMar>
              <w:bottom w:w="28" w:type="dxa"/>
            </w:tcMar>
            <w:vAlign w:val="bottom"/>
          </w:tcPr>
          <w:p>
            <w:pPr>
              <w:pStyle w:val="TableContents"/>
              <w:spacing w:before="0" w:after="283"/>
              <w:rPr/>
            </w:pPr>
            <w:r>
              <w:rPr/>
              <w:t> </w:t>
            </w:r>
          </w:p>
        </w:tc>
        <w:tc>
          <w:tcPr>
            <w:tcW w:w="402" w:type="dxa"/>
            <w:tcBorders>
              <w:bottom w:val="single" w:sz="2" w:space="0" w:color="000000"/>
            </w:tcBorders>
            <w:shd w:fill="auto" w:val="clear"/>
            <w:tcMar>
              <w:bottom w:w="28" w:type="dxa"/>
            </w:tcMar>
            <w:vAlign w:val="bottom"/>
          </w:tcPr>
          <w:p>
            <w:pPr>
              <w:pStyle w:val="TableContents"/>
              <w:spacing w:before="0" w:after="283"/>
              <w:rPr/>
            </w:pPr>
            <w:r>
              <w:rPr/>
              <w:t> </w:t>
            </w:r>
          </w:p>
        </w:tc>
        <w:tc>
          <w:tcPr>
            <w:tcW w:w="2394"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96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9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93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8" w:type="dxa"/>
            <w:tcBorders/>
            <w:shd w:fill="auto" w:val="clear"/>
            <w:vAlign w:val="bottom"/>
          </w:tcPr>
          <w:p>
            <w:pPr>
              <w:pStyle w:val="TableContents"/>
              <w:spacing w:before="0" w:after="283"/>
              <w:rPr/>
            </w:pPr>
            <w:r>
              <w:rPr/>
              <w:t> </w:t>
            </w:r>
          </w:p>
        </w:tc>
      </w:tr>
      <w:tr>
        <w:trPr/>
        <w:tc>
          <w:tcPr>
            <w:tcW w:w="4338" w:type="dxa"/>
            <w:tcBorders/>
            <w:shd w:fill="CCEEFF" w:val="clear"/>
            <w:vAlign w:val="bottom"/>
          </w:tcPr>
          <w:p>
            <w:pPr>
              <w:pStyle w:val="TableContents"/>
              <w:spacing w:before="0" w:after="0"/>
              <w:ind w:left="225" w:right="0" w:hanging="225"/>
              <w:rPr/>
            </w:pPr>
            <w:r>
              <w:rPr/>
              <w:t>Net income (A)</w:t>
            </w:r>
          </w:p>
        </w:tc>
        <w:tc>
          <w:tcPr>
            <w:tcW w:w="40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26,527</w:t>
            </w:r>
          </w:p>
        </w:tc>
        <w:tc>
          <w:tcPr>
            <w:tcW w:w="111"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2" w:type="dxa"/>
            <w:tcBorders/>
            <w:shd w:fill="CCEEFF" w:val="clear"/>
            <w:vAlign w:val="bottom"/>
          </w:tcPr>
          <w:p>
            <w:pPr>
              <w:pStyle w:val="TableContents"/>
              <w:spacing w:before="0" w:after="283"/>
              <w:jc w:val="right"/>
              <w:rPr/>
            </w:pPr>
            <w:r>
              <w:rPr/>
              <w:t>19,962</w:t>
            </w:r>
          </w:p>
        </w:tc>
        <w:tc>
          <w:tcPr>
            <w:tcW w:w="106"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80" w:type="dxa"/>
            <w:tcBorders/>
            <w:shd w:fill="CCEEFF" w:val="clear"/>
            <w:vAlign w:val="bottom"/>
          </w:tcPr>
          <w:p>
            <w:pPr>
              <w:pStyle w:val="TableContents"/>
              <w:spacing w:before="0" w:after="283"/>
              <w:jc w:val="right"/>
              <w:rPr/>
            </w:pPr>
            <w:r>
              <w:rPr/>
              <w:t>85,794</w:t>
            </w:r>
          </w:p>
        </w:tc>
        <w:tc>
          <w:tcPr>
            <w:tcW w:w="11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82" w:type="dxa"/>
            <w:tcBorders/>
            <w:shd w:fill="CCEEFF" w:val="clear"/>
            <w:vAlign w:val="bottom"/>
          </w:tcPr>
          <w:p>
            <w:pPr>
              <w:pStyle w:val="TableContents"/>
              <w:spacing w:before="0" w:after="283"/>
              <w:jc w:val="right"/>
              <w:rPr/>
            </w:pPr>
            <w:r>
              <w:rPr/>
              <w:t>69,442</w:t>
            </w:r>
          </w:p>
        </w:tc>
        <w:tc>
          <w:tcPr>
            <w:tcW w:w="118" w:type="dxa"/>
            <w:tcBorders/>
            <w:shd w:fill="CCEEFF"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 </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Weighted average outstanding shares of common stock (B)</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49,926</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49,201</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49,849</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48,969</w:t>
            </w:r>
          </w:p>
        </w:tc>
        <w:tc>
          <w:tcPr>
            <w:tcW w:w="118" w:type="dxa"/>
            <w:tcBorders/>
            <w:shd w:fill="auto" w:val="clear"/>
            <w:vAlign w:val="bottom"/>
          </w:tcPr>
          <w:p>
            <w:pPr>
              <w:pStyle w:val="TableContents"/>
              <w:spacing w:before="0" w:after="283"/>
              <w:rPr/>
            </w:pPr>
            <w:r>
              <w:rPr/>
              <w:t> </w:t>
            </w:r>
          </w:p>
        </w:tc>
      </w:tr>
      <w:tr>
        <w:trPr/>
        <w:tc>
          <w:tcPr>
            <w:tcW w:w="4338" w:type="dxa"/>
            <w:tcBorders/>
            <w:shd w:fill="CCEEFF" w:val="clear"/>
            <w:vAlign w:val="bottom"/>
          </w:tcPr>
          <w:p>
            <w:pPr>
              <w:pStyle w:val="TableContents"/>
              <w:spacing w:before="0" w:after="0"/>
              <w:ind w:left="225" w:right="0" w:hanging="225"/>
              <w:rPr/>
            </w:pPr>
            <w:r>
              <w:rPr/>
              <w:t>Dilutive effect of stock options and restricted stock</w:t>
            </w:r>
          </w:p>
        </w:tc>
        <w:tc>
          <w:tcPr>
            <w:tcW w:w="40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459</w:t>
            </w:r>
          </w:p>
        </w:tc>
        <w:tc>
          <w:tcPr>
            <w:tcW w:w="111"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439</w:t>
            </w:r>
          </w:p>
        </w:tc>
        <w:tc>
          <w:tcPr>
            <w:tcW w:w="106"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443</w:t>
            </w:r>
          </w:p>
        </w:tc>
        <w:tc>
          <w:tcPr>
            <w:tcW w:w="11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572</w:t>
            </w:r>
          </w:p>
        </w:tc>
        <w:tc>
          <w:tcPr>
            <w:tcW w:w="118" w:type="dxa"/>
            <w:tcBorders/>
            <w:shd w:fill="CCEEFF" w:val="clear"/>
            <w:vAlign w:val="bottom"/>
          </w:tcPr>
          <w:p>
            <w:pPr>
              <w:pStyle w:val="TableContents"/>
              <w:spacing w:before="0" w:after="283"/>
              <w:rPr/>
            </w:pPr>
            <w:r>
              <w:rPr/>
              <w:t> </w:t>
            </w:r>
          </w:p>
        </w:tc>
      </w:tr>
      <w:tr>
        <w:trPr/>
        <w:tc>
          <w:tcPr>
            <w:tcW w:w="4338" w:type="dxa"/>
            <w:tcBorders/>
            <w:shd w:fill="auto" w:val="clear"/>
            <w:vAlign w:val="center"/>
          </w:tcPr>
          <w:p>
            <w:pPr>
              <w:pStyle w:val="TableContents"/>
              <w:spacing w:before="0" w:after="0"/>
              <w:ind w:left="225" w:right="0" w:hanging="225"/>
              <w:rPr/>
            </w:pPr>
            <w:r>
              <w:rPr/>
              <w:t> </w:t>
            </w:r>
          </w:p>
        </w:tc>
        <w:tc>
          <w:tcPr>
            <w:tcW w:w="402" w:type="dxa"/>
            <w:tcBorders/>
            <w:shd w:fill="auto" w:val="clear"/>
            <w:vAlign w:val="center"/>
          </w:tcPr>
          <w:p>
            <w:pPr>
              <w:pStyle w:val="TableContents"/>
              <w:spacing w:before="0" w:after="283"/>
              <w:rPr/>
            </w:pPr>
            <w:r>
              <w:rPr/>
              <w:t> </w:t>
            </w:r>
          </w:p>
        </w:tc>
        <w:tc>
          <w:tcPr>
            <w:tcW w:w="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9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Weighted average common stock and common stock equivalents (C)</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50,385</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49,640</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50,292</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49,541</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center"/>
          </w:tcPr>
          <w:p>
            <w:pPr>
              <w:pStyle w:val="TableContents"/>
              <w:spacing w:before="0" w:after="0"/>
              <w:ind w:left="225" w:right="0" w:hanging="225"/>
              <w:rPr/>
            </w:pPr>
            <w:r>
              <w:rPr/>
              <w:t> </w:t>
            </w:r>
          </w:p>
        </w:tc>
        <w:tc>
          <w:tcPr>
            <w:tcW w:w="402"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9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 </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38" w:type="dxa"/>
            <w:tcBorders/>
            <w:shd w:fill="CCEEFF" w:val="clear"/>
            <w:vAlign w:val="bottom"/>
          </w:tcPr>
          <w:p>
            <w:pPr>
              <w:pStyle w:val="TableContents"/>
              <w:spacing w:before="0" w:after="0"/>
              <w:ind w:left="225" w:right="0" w:hanging="225"/>
              <w:rPr/>
            </w:pPr>
            <w:r>
              <w:rPr/>
              <w:t>Basic earnings per share (A/B)</w:t>
            </w:r>
          </w:p>
        </w:tc>
        <w:tc>
          <w:tcPr>
            <w:tcW w:w="40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0.53</w:t>
            </w:r>
          </w:p>
        </w:tc>
        <w:tc>
          <w:tcPr>
            <w:tcW w:w="111"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2" w:type="dxa"/>
            <w:tcBorders/>
            <w:shd w:fill="CCEEFF" w:val="clear"/>
            <w:vAlign w:val="bottom"/>
          </w:tcPr>
          <w:p>
            <w:pPr>
              <w:pStyle w:val="TableContents"/>
              <w:spacing w:before="0" w:after="283"/>
              <w:jc w:val="right"/>
              <w:rPr/>
            </w:pPr>
            <w:r>
              <w:rPr/>
              <w:t>0.41</w:t>
            </w:r>
          </w:p>
        </w:tc>
        <w:tc>
          <w:tcPr>
            <w:tcW w:w="106"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80" w:type="dxa"/>
            <w:tcBorders/>
            <w:shd w:fill="CCEEFF" w:val="clear"/>
            <w:vAlign w:val="bottom"/>
          </w:tcPr>
          <w:p>
            <w:pPr>
              <w:pStyle w:val="TableContents"/>
              <w:spacing w:before="0" w:after="283"/>
              <w:jc w:val="right"/>
              <w:rPr/>
            </w:pPr>
            <w:r>
              <w:rPr/>
              <w:t>1.72</w:t>
            </w:r>
          </w:p>
        </w:tc>
        <w:tc>
          <w:tcPr>
            <w:tcW w:w="11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82" w:type="dxa"/>
            <w:tcBorders/>
            <w:shd w:fill="CCEEFF" w:val="clear"/>
            <w:vAlign w:val="bottom"/>
          </w:tcPr>
          <w:p>
            <w:pPr>
              <w:pStyle w:val="TableContents"/>
              <w:spacing w:before="0" w:after="283"/>
              <w:jc w:val="right"/>
              <w:rPr/>
            </w:pPr>
            <w:r>
              <w:rPr/>
              <w:t>1.42</w:t>
            </w:r>
          </w:p>
        </w:tc>
        <w:tc>
          <w:tcPr>
            <w:tcW w:w="118" w:type="dxa"/>
            <w:tcBorders/>
            <w:shd w:fill="CCEEFF" w:val="clear"/>
            <w:vAlign w:val="bottom"/>
          </w:tcPr>
          <w:p>
            <w:pPr>
              <w:pStyle w:val="TableContents"/>
              <w:spacing w:before="0" w:after="283"/>
              <w:rPr/>
            </w:pPr>
            <w:r>
              <w:rPr/>
              <w:t> </w:t>
            </w:r>
          </w:p>
        </w:tc>
      </w:tr>
      <w:tr>
        <w:trPr/>
        <w:tc>
          <w:tcPr>
            <w:tcW w:w="4338" w:type="dxa"/>
            <w:tcBorders/>
            <w:shd w:fill="auto" w:val="clear"/>
            <w:vAlign w:val="center"/>
          </w:tcPr>
          <w:p>
            <w:pPr>
              <w:pStyle w:val="TableContents"/>
              <w:spacing w:before="0" w:after="0"/>
              <w:ind w:left="225" w:right="0" w:hanging="225"/>
              <w:rPr/>
            </w:pPr>
            <w:r>
              <w:rPr/>
              <w:t> </w:t>
            </w:r>
          </w:p>
        </w:tc>
        <w:tc>
          <w:tcPr>
            <w:tcW w:w="402"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9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Diluted earnings per share (A/C)</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0.53</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02" w:type="dxa"/>
            <w:tcBorders/>
            <w:shd w:fill="auto" w:val="clear"/>
            <w:vAlign w:val="bottom"/>
          </w:tcPr>
          <w:p>
            <w:pPr>
              <w:pStyle w:val="TableContents"/>
              <w:spacing w:before="0" w:after="283"/>
              <w:jc w:val="right"/>
              <w:rPr/>
            </w:pPr>
            <w:r>
              <w:rPr/>
              <w:t>0.40</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80" w:type="dxa"/>
            <w:tcBorders/>
            <w:shd w:fill="auto" w:val="clear"/>
            <w:vAlign w:val="bottom"/>
          </w:tcPr>
          <w:p>
            <w:pPr>
              <w:pStyle w:val="TableContents"/>
              <w:spacing w:before="0" w:after="283"/>
              <w:jc w:val="right"/>
              <w:rPr/>
            </w:pPr>
            <w:r>
              <w:rPr/>
              <w:t>1.71</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82" w:type="dxa"/>
            <w:tcBorders/>
            <w:shd w:fill="auto" w:val="clear"/>
            <w:vAlign w:val="bottom"/>
          </w:tcPr>
          <w:p>
            <w:pPr>
              <w:pStyle w:val="TableContents"/>
              <w:spacing w:before="0" w:after="283"/>
              <w:jc w:val="right"/>
              <w:rPr/>
            </w:pPr>
            <w:r>
              <w:rPr/>
              <w:t>1.40</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center"/>
          </w:tcPr>
          <w:p>
            <w:pPr>
              <w:pStyle w:val="TableContents"/>
              <w:spacing w:before="0" w:after="0"/>
              <w:ind w:left="225" w:right="0" w:hanging="225"/>
              <w:rPr/>
            </w:pPr>
            <w:r>
              <w:rPr/>
              <w:t> </w:t>
            </w:r>
          </w:p>
        </w:tc>
        <w:tc>
          <w:tcPr>
            <w:tcW w:w="402"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9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 </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38" w:type="dxa"/>
            <w:tcBorders/>
            <w:shd w:fill="CCEEFF" w:val="clear"/>
            <w:vAlign w:val="bottom"/>
          </w:tcPr>
          <w:p>
            <w:pPr>
              <w:pStyle w:val="TableContents"/>
              <w:spacing w:before="0" w:after="0"/>
              <w:ind w:left="225" w:right="0" w:hanging="225"/>
              <w:rPr/>
            </w:pPr>
            <w:r>
              <w:rPr/>
              <w:t>Potential common shares excluded from the calculation of diluted earnings per share</w:t>
            </w:r>
          </w:p>
        </w:tc>
        <w:tc>
          <w:tcPr>
            <w:tcW w:w="40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5</w:t>
            </w:r>
          </w:p>
        </w:tc>
        <w:tc>
          <w:tcPr>
            <w:tcW w:w="106"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6</w:t>
            </w:r>
          </w:p>
        </w:tc>
        <w:tc>
          <w:tcPr>
            <w:tcW w:w="11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6</w:t>
            </w:r>
          </w:p>
        </w:tc>
        <w:tc>
          <w:tcPr>
            <w:tcW w:w="118"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E: Strategic Investments and Fair Value of Financial Instruments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June 30, 2011, we owned 16,644,640 ordinary shares of Albemarle &amp; Bond Holdings, PLC, representing almost 30% of its total outstanding shares. Our total cost for those shares was approximately $27.6 million.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three-month lag. Albemarle &amp; Bond files semi-annual financial reports for its fiscal periods ending December 31 and June 30. The income reported for our quarter ended June 30, 2011 represents our percentage interest in the estimated results of Albemarle &amp; Bonds operations from January 1, 2011 to March 31,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British pounds, Albemarle &amp; Bonds total assets increased 16% from December 31, 2009 to December 31, 2010 and its net income for the six months ended December 31, 2010 decreased 1% including the drag from new stores. Below is summarized financial information for Albemarle &amp; Bonds most recently reported results after translation to U.S. dollars (using the exchange rate as of December 31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17"/>
        <w:gridCol w:w="458"/>
        <w:gridCol w:w="153"/>
        <w:gridCol w:w="816"/>
        <w:gridCol w:w="114"/>
        <w:gridCol w:w="458"/>
        <w:gridCol w:w="153"/>
        <w:gridCol w:w="816"/>
        <w:gridCol w:w="120"/>
      </w:tblGrid>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December 31,</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121,519</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104,537</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Non-current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56,755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53,128</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178,274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157,665</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Current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25,801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21,128</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Non-current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53,497</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48,025</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Shareholders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98,976</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88,512</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liabilities and shareholders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178,274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157,665</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603"/>
        <w:gridCol w:w="385"/>
        <w:gridCol w:w="425"/>
        <w:gridCol w:w="1172"/>
        <w:gridCol w:w="295"/>
        <w:gridCol w:w="426"/>
        <w:gridCol w:w="425"/>
        <w:gridCol w:w="1172"/>
        <w:gridCol w:w="302"/>
      </w:tblGrid>
      <w:tr>
        <w:trPr/>
        <w:tc>
          <w:tcPr>
            <w:tcW w:w="56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r>
      <w:tr>
        <w:trPr/>
        <w:tc>
          <w:tcPr>
            <w:tcW w:w="56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4217" w:type="dxa"/>
            <w:gridSpan w:val="7"/>
            <w:tcBorders>
              <w:bottom w:val="single" w:sz="2" w:space="0" w:color="000000"/>
            </w:tcBorders>
            <w:shd w:fill="auto" w:val="clear"/>
            <w:tcMar>
              <w:bottom w:w="28" w:type="dxa"/>
            </w:tcMar>
            <w:vAlign w:val="bottom"/>
          </w:tcPr>
          <w:p>
            <w:pPr>
              <w:pStyle w:val="TableContents"/>
              <w:spacing w:before="0" w:after="283"/>
              <w:jc w:val="center"/>
              <w:rPr/>
            </w:pPr>
            <w:r>
              <w:rPr/>
              <w:t>Six Months Ended December 31</w:t>
            </w:r>
          </w:p>
        </w:tc>
      </w:tr>
      <w:tr>
        <w:trPr/>
        <w:tc>
          <w:tcPr>
            <w:tcW w:w="56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892" w:type="dxa"/>
            <w:gridSpan w:val="3"/>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426" w:type="dxa"/>
            <w:tcBorders/>
            <w:shd w:fill="auto" w:val="clear"/>
            <w:vAlign w:val="bottom"/>
          </w:tcPr>
          <w:p>
            <w:pPr>
              <w:pStyle w:val="TableContents"/>
              <w:spacing w:before="0" w:after="283"/>
              <w:rPr/>
            </w:pPr>
            <w:r>
              <w:rPr/>
              <w:t> </w:t>
            </w:r>
          </w:p>
        </w:tc>
        <w:tc>
          <w:tcPr>
            <w:tcW w:w="1899" w:type="dxa"/>
            <w:gridSpan w:val="3"/>
            <w:tcBorders>
              <w:bottom w:val="single" w:sz="2" w:space="0" w:color="000000"/>
            </w:tcBorders>
            <w:shd w:fill="auto" w:val="clear"/>
            <w:tcMar>
              <w:bottom w:w="28" w:type="dxa"/>
            </w:tcMar>
            <w:vAlign w:val="bottom"/>
          </w:tcPr>
          <w:p>
            <w:pPr>
              <w:pStyle w:val="TableContents"/>
              <w:spacing w:before="0" w:after="283"/>
              <w:jc w:val="center"/>
              <w:rPr/>
            </w:pPr>
            <w:r>
              <w:rPr/>
              <w:t>2009</w:t>
            </w:r>
          </w:p>
        </w:tc>
      </w:tr>
      <w:tr>
        <w:trPr/>
        <w:tc>
          <w:tcPr>
            <w:tcW w:w="56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4217" w:type="dxa"/>
            <w:gridSpan w:val="7"/>
            <w:tcBorders/>
            <w:shd w:fill="auto" w:val="clear"/>
            <w:vAlign w:val="bottom"/>
          </w:tcPr>
          <w:p>
            <w:pPr>
              <w:pStyle w:val="TableContents"/>
              <w:spacing w:before="0" w:after="283"/>
              <w:jc w:val="center"/>
              <w:rPr>
                <w:i/>
              </w:rPr>
            </w:pPr>
            <w:r>
              <w:rPr>
                <w:i/>
              </w:rPr>
              <w:t>(in thousands)</w:t>
            </w:r>
          </w:p>
        </w:tc>
      </w:tr>
      <w:tr>
        <w:trPr/>
        <w:tc>
          <w:tcPr>
            <w:tcW w:w="5603" w:type="dxa"/>
            <w:tcBorders/>
            <w:shd w:fill="CCEEFF" w:val="clear"/>
            <w:vAlign w:val="bottom"/>
          </w:tcPr>
          <w:p>
            <w:pPr>
              <w:pStyle w:val="TableContents"/>
              <w:spacing w:before="0" w:after="0"/>
              <w:ind w:left="225" w:right="0" w:hanging="225"/>
              <w:rPr/>
            </w:pPr>
            <w:r>
              <w:rPr/>
              <w:t>Gross revenues</w:t>
            </w:r>
          </w:p>
        </w:tc>
        <w:tc>
          <w:tcPr>
            <w:tcW w:w="38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pPr>
            <w:r>
              <w:rPr/>
              <w:t>$</w:t>
            </w:r>
          </w:p>
        </w:tc>
        <w:tc>
          <w:tcPr>
            <w:tcW w:w="1172" w:type="dxa"/>
            <w:tcBorders/>
            <w:shd w:fill="CCEEFF" w:val="clear"/>
            <w:vAlign w:val="bottom"/>
          </w:tcPr>
          <w:p>
            <w:pPr>
              <w:pStyle w:val="TableContents"/>
              <w:spacing w:before="0" w:after="283"/>
              <w:jc w:val="right"/>
              <w:rPr/>
            </w:pPr>
            <w:r>
              <w:rPr/>
              <w:t>76,424</w:t>
            </w:r>
          </w:p>
        </w:tc>
        <w:tc>
          <w:tcPr>
            <w:tcW w:w="29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pPr>
            <w:r>
              <w:rPr/>
              <w:t>$</w:t>
            </w:r>
          </w:p>
        </w:tc>
        <w:tc>
          <w:tcPr>
            <w:tcW w:w="1172" w:type="dxa"/>
            <w:tcBorders/>
            <w:shd w:fill="CCEEFF" w:val="clear"/>
            <w:vAlign w:val="bottom"/>
          </w:tcPr>
          <w:p>
            <w:pPr>
              <w:pStyle w:val="TableContents"/>
              <w:spacing w:before="0" w:after="283"/>
              <w:jc w:val="right"/>
              <w:rPr/>
            </w:pPr>
            <w:r>
              <w:rPr/>
              <w:t>64,572</w:t>
            </w:r>
          </w:p>
        </w:tc>
        <w:tc>
          <w:tcPr>
            <w:tcW w:w="302" w:type="dxa"/>
            <w:tcBorders/>
            <w:shd w:fill="CCEEFF" w:val="clear"/>
            <w:vAlign w:val="bottom"/>
          </w:tcPr>
          <w:p>
            <w:pPr>
              <w:pStyle w:val="TableContents"/>
              <w:spacing w:before="0" w:after="283"/>
              <w:rPr/>
            </w:pPr>
            <w:r>
              <w:rPr/>
              <w:t> </w:t>
            </w:r>
          </w:p>
        </w:tc>
      </w:tr>
      <w:tr>
        <w:trPr/>
        <w:tc>
          <w:tcPr>
            <w:tcW w:w="5603" w:type="dxa"/>
            <w:tcBorders/>
            <w:shd w:fill="auto" w:val="clear"/>
            <w:vAlign w:val="bottom"/>
          </w:tcPr>
          <w:p>
            <w:pPr>
              <w:pStyle w:val="TableContents"/>
              <w:spacing w:before="0" w:after="0"/>
              <w:ind w:left="225" w:right="0" w:hanging="225"/>
              <w:rPr/>
            </w:pPr>
            <w:r>
              <w:rPr/>
              <w:t>Gross profit</w:t>
            </w:r>
          </w:p>
        </w:tc>
        <w:tc>
          <w:tcPr>
            <w:tcW w:w="38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jc w:val="right"/>
              <w:rPr/>
            </w:pPr>
            <w:r>
              <w:rPr/>
              <w:t>46,745</w:t>
            </w:r>
          </w:p>
        </w:tc>
        <w:tc>
          <w:tcPr>
            <w:tcW w:w="29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jc w:val="right"/>
              <w:rPr/>
            </w:pPr>
            <w:r>
              <w:rPr/>
              <w:t>43,054</w:t>
            </w:r>
          </w:p>
        </w:tc>
        <w:tc>
          <w:tcPr>
            <w:tcW w:w="302" w:type="dxa"/>
            <w:tcBorders/>
            <w:shd w:fill="auto" w:val="clear"/>
            <w:vAlign w:val="bottom"/>
          </w:tcPr>
          <w:p>
            <w:pPr>
              <w:pStyle w:val="TableContents"/>
              <w:spacing w:before="0" w:after="283"/>
              <w:rPr/>
            </w:pPr>
            <w:r>
              <w:rPr/>
              <w:t> </w:t>
            </w:r>
          </w:p>
        </w:tc>
      </w:tr>
      <w:tr>
        <w:trPr/>
        <w:tc>
          <w:tcPr>
            <w:tcW w:w="5603" w:type="dxa"/>
            <w:tcBorders/>
            <w:shd w:fill="CCEEFF" w:val="clear"/>
            <w:vAlign w:val="bottom"/>
          </w:tcPr>
          <w:p>
            <w:pPr>
              <w:pStyle w:val="TableContents"/>
              <w:spacing w:before="0" w:after="0"/>
              <w:ind w:left="225" w:right="0" w:hanging="225"/>
              <w:rPr/>
            </w:pPr>
            <w:r>
              <w:rPr/>
              <w:t>Profit for the year (net income)</w:t>
            </w:r>
          </w:p>
        </w:tc>
        <w:tc>
          <w:tcPr>
            <w:tcW w:w="38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12,088</w:t>
            </w:r>
          </w:p>
        </w:tc>
        <w:tc>
          <w:tcPr>
            <w:tcW w:w="29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12,752</w:t>
            </w:r>
          </w:p>
        </w:tc>
        <w:tc>
          <w:tcPr>
            <w:tcW w:w="302"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June 30, 2011, we owned 124,418,000 shares, or approximately 33% of the total ordinary shares of Cash Converters International Limited, which is a publicly traded company headquartered in Perth, Australia. We acquired the shares between November 2009 and May 2010 for approximately $57.8 million. Cash Converters franchises and operates a worldwide network of approximately 600 specialty financial services and retail stores that provide pawn loans, short-term unsecured loans and other consumer finance products, and buy and sell second-hand goods. Cash Converters has significant store concentrations in Australia and the United Kingdom.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account for our investment in Cash Converters using the equity method. Since Cash Converters fiscal year ends three months prior to ours, we report the income from this investment on a three-month lag. Cash Converters files semi-annual financial reports for its fiscal periods ending December 31 and June 30. The income reported for our quarter ended June 30, 2011 represents our percentage interest in the estimated results of Cash Converters operations from January 1, 2011 to March 31,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Australian dollars, Cash Converters total assets increased 17% from December 31, 2009 to December 31, 2010 and its net income improved 42% for the six months ended December 31, 2010. Below is summarized financial information for Cash Converters most recently reported results after translation to U.S. dollars (using the exchange rate as of December 31 of each year for balance sheet items and average exchange rates for the income statement items for the periods indicated):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7117"/>
        <w:gridCol w:w="458"/>
        <w:gridCol w:w="153"/>
        <w:gridCol w:w="816"/>
        <w:gridCol w:w="114"/>
        <w:gridCol w:w="458"/>
        <w:gridCol w:w="153"/>
        <w:gridCol w:w="816"/>
        <w:gridCol w:w="120"/>
      </w:tblGrid>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December 31,</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104,408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96,680</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Non-current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109,336</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64,212</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213,744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160,892</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Current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30,844</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19,251</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Non-current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11,970</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11,010</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Shareholders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170,930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130,631</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liabilities and shareholders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213,744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160,892</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603"/>
        <w:gridCol w:w="385"/>
        <w:gridCol w:w="425"/>
        <w:gridCol w:w="1172"/>
        <w:gridCol w:w="295"/>
        <w:gridCol w:w="426"/>
        <w:gridCol w:w="425"/>
        <w:gridCol w:w="1172"/>
        <w:gridCol w:w="302"/>
      </w:tblGrid>
      <w:tr>
        <w:trPr/>
        <w:tc>
          <w:tcPr>
            <w:tcW w:w="56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r>
      <w:tr>
        <w:trPr/>
        <w:tc>
          <w:tcPr>
            <w:tcW w:w="56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4217" w:type="dxa"/>
            <w:gridSpan w:val="7"/>
            <w:tcBorders>
              <w:bottom w:val="single" w:sz="2" w:space="0" w:color="000000"/>
            </w:tcBorders>
            <w:shd w:fill="auto" w:val="clear"/>
            <w:tcMar>
              <w:bottom w:w="28" w:type="dxa"/>
            </w:tcMar>
            <w:vAlign w:val="bottom"/>
          </w:tcPr>
          <w:p>
            <w:pPr>
              <w:pStyle w:val="TableContents"/>
              <w:spacing w:before="0" w:after="283"/>
              <w:jc w:val="center"/>
              <w:rPr/>
            </w:pPr>
            <w:r>
              <w:rPr/>
              <w:t>Six Months Ended December 31</w:t>
            </w:r>
          </w:p>
        </w:tc>
      </w:tr>
      <w:tr>
        <w:trPr/>
        <w:tc>
          <w:tcPr>
            <w:tcW w:w="56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892" w:type="dxa"/>
            <w:gridSpan w:val="3"/>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426" w:type="dxa"/>
            <w:tcBorders/>
            <w:shd w:fill="auto" w:val="clear"/>
            <w:vAlign w:val="bottom"/>
          </w:tcPr>
          <w:p>
            <w:pPr>
              <w:pStyle w:val="TableContents"/>
              <w:spacing w:before="0" w:after="283"/>
              <w:rPr/>
            </w:pPr>
            <w:r>
              <w:rPr/>
              <w:t> </w:t>
            </w:r>
          </w:p>
        </w:tc>
        <w:tc>
          <w:tcPr>
            <w:tcW w:w="1899" w:type="dxa"/>
            <w:gridSpan w:val="3"/>
            <w:tcBorders>
              <w:bottom w:val="single" w:sz="2" w:space="0" w:color="000000"/>
            </w:tcBorders>
            <w:shd w:fill="auto" w:val="clear"/>
            <w:tcMar>
              <w:bottom w:w="28" w:type="dxa"/>
            </w:tcMar>
            <w:vAlign w:val="bottom"/>
          </w:tcPr>
          <w:p>
            <w:pPr>
              <w:pStyle w:val="TableContents"/>
              <w:spacing w:before="0" w:after="283"/>
              <w:jc w:val="center"/>
              <w:rPr/>
            </w:pPr>
            <w:r>
              <w:rPr/>
              <w:t>2009</w:t>
            </w:r>
          </w:p>
        </w:tc>
      </w:tr>
      <w:tr>
        <w:trPr/>
        <w:tc>
          <w:tcPr>
            <w:tcW w:w="56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4217" w:type="dxa"/>
            <w:gridSpan w:val="7"/>
            <w:tcBorders/>
            <w:shd w:fill="auto" w:val="clear"/>
            <w:vAlign w:val="bottom"/>
          </w:tcPr>
          <w:p>
            <w:pPr>
              <w:pStyle w:val="TableContents"/>
              <w:spacing w:before="0" w:after="283"/>
              <w:jc w:val="center"/>
              <w:rPr>
                <w:i/>
              </w:rPr>
            </w:pPr>
            <w:r>
              <w:rPr>
                <w:i/>
              </w:rPr>
              <w:t>(in thousands)</w:t>
            </w:r>
          </w:p>
        </w:tc>
      </w:tr>
      <w:tr>
        <w:trPr/>
        <w:tc>
          <w:tcPr>
            <w:tcW w:w="5603" w:type="dxa"/>
            <w:tcBorders/>
            <w:shd w:fill="CCEEFF" w:val="clear"/>
            <w:vAlign w:val="bottom"/>
          </w:tcPr>
          <w:p>
            <w:pPr>
              <w:pStyle w:val="TableContents"/>
              <w:spacing w:before="0" w:after="0"/>
              <w:ind w:left="225" w:right="0" w:hanging="225"/>
              <w:rPr/>
            </w:pPr>
            <w:r>
              <w:rPr/>
              <w:t>Gross revenues</w:t>
            </w:r>
          </w:p>
        </w:tc>
        <w:tc>
          <w:tcPr>
            <w:tcW w:w="38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pPr>
            <w:r>
              <w:rPr/>
              <w:t>$</w:t>
            </w:r>
          </w:p>
        </w:tc>
        <w:tc>
          <w:tcPr>
            <w:tcW w:w="1172" w:type="dxa"/>
            <w:tcBorders/>
            <w:shd w:fill="CCEEFF" w:val="clear"/>
            <w:vAlign w:val="bottom"/>
          </w:tcPr>
          <w:p>
            <w:pPr>
              <w:pStyle w:val="TableContents"/>
              <w:spacing w:before="0" w:after="283"/>
              <w:jc w:val="right"/>
              <w:rPr/>
            </w:pPr>
            <w:r>
              <w:rPr/>
              <w:t>83,109</w:t>
            </w:r>
          </w:p>
        </w:tc>
        <w:tc>
          <w:tcPr>
            <w:tcW w:w="29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pPr>
            <w:r>
              <w:rPr/>
              <w:t>$</w:t>
            </w:r>
          </w:p>
        </w:tc>
        <w:tc>
          <w:tcPr>
            <w:tcW w:w="1172" w:type="dxa"/>
            <w:tcBorders/>
            <w:shd w:fill="CCEEFF" w:val="clear"/>
            <w:vAlign w:val="bottom"/>
          </w:tcPr>
          <w:p>
            <w:pPr>
              <w:pStyle w:val="TableContents"/>
              <w:spacing w:before="0" w:after="283"/>
              <w:jc w:val="right"/>
              <w:rPr/>
            </w:pPr>
            <w:r>
              <w:rPr/>
              <w:t>51,609</w:t>
            </w:r>
          </w:p>
        </w:tc>
        <w:tc>
          <w:tcPr>
            <w:tcW w:w="302" w:type="dxa"/>
            <w:tcBorders/>
            <w:shd w:fill="CCEEFF" w:val="clear"/>
            <w:vAlign w:val="bottom"/>
          </w:tcPr>
          <w:p>
            <w:pPr>
              <w:pStyle w:val="TableContents"/>
              <w:spacing w:before="0" w:after="283"/>
              <w:rPr/>
            </w:pPr>
            <w:r>
              <w:rPr/>
              <w:t> </w:t>
            </w:r>
          </w:p>
        </w:tc>
      </w:tr>
      <w:tr>
        <w:trPr/>
        <w:tc>
          <w:tcPr>
            <w:tcW w:w="5603" w:type="dxa"/>
            <w:tcBorders/>
            <w:shd w:fill="auto" w:val="clear"/>
            <w:vAlign w:val="bottom"/>
          </w:tcPr>
          <w:p>
            <w:pPr>
              <w:pStyle w:val="TableContents"/>
              <w:spacing w:before="0" w:after="0"/>
              <w:ind w:left="225" w:right="0" w:hanging="225"/>
              <w:rPr/>
            </w:pPr>
            <w:r>
              <w:rPr/>
              <w:t>Gross profit</w:t>
            </w:r>
          </w:p>
        </w:tc>
        <w:tc>
          <w:tcPr>
            <w:tcW w:w="38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jc w:val="right"/>
              <w:rPr/>
            </w:pPr>
            <w:r>
              <w:rPr/>
              <w:t>62,037</w:t>
            </w:r>
          </w:p>
        </w:tc>
        <w:tc>
          <w:tcPr>
            <w:tcW w:w="29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jc w:val="right"/>
              <w:rPr/>
            </w:pPr>
            <w:r>
              <w:rPr/>
              <w:t>38,315</w:t>
            </w:r>
          </w:p>
        </w:tc>
        <w:tc>
          <w:tcPr>
            <w:tcW w:w="302" w:type="dxa"/>
            <w:tcBorders/>
            <w:shd w:fill="auto" w:val="clear"/>
            <w:vAlign w:val="bottom"/>
          </w:tcPr>
          <w:p>
            <w:pPr>
              <w:pStyle w:val="TableContents"/>
              <w:spacing w:before="0" w:after="283"/>
              <w:rPr/>
            </w:pPr>
            <w:r>
              <w:rPr/>
              <w:t> </w:t>
            </w:r>
          </w:p>
        </w:tc>
      </w:tr>
      <w:tr>
        <w:trPr/>
        <w:tc>
          <w:tcPr>
            <w:tcW w:w="5603" w:type="dxa"/>
            <w:tcBorders/>
            <w:shd w:fill="CCEEFF" w:val="clear"/>
            <w:vAlign w:val="bottom"/>
          </w:tcPr>
          <w:p>
            <w:pPr>
              <w:pStyle w:val="TableContents"/>
              <w:spacing w:before="0" w:after="0"/>
              <w:ind w:left="225" w:right="0" w:hanging="225"/>
              <w:rPr/>
            </w:pPr>
            <w:r>
              <w:rPr/>
              <w:t>Profit for the year (net income)</w:t>
            </w:r>
          </w:p>
        </w:tc>
        <w:tc>
          <w:tcPr>
            <w:tcW w:w="38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13,528</w:t>
            </w:r>
          </w:p>
        </w:tc>
        <w:tc>
          <w:tcPr>
            <w:tcW w:w="29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8,759</w:t>
            </w:r>
          </w:p>
        </w:tc>
        <w:tc>
          <w:tcPr>
            <w:tcW w:w="302"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the recorded value and fair value of each of these strategic investments at the dates indicated. These fair values are considered level one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 </w:t>
      </w:r>
    </w:p>
    <w:tbl>
      <w:tblPr>
        <w:tblW w:w="5000" w:type="pct"/>
        <w:jc w:val="center"/>
        <w:tblInd w:w="0" w:type="dxa"/>
        <w:tblCellMar>
          <w:top w:w="0" w:type="dxa"/>
          <w:left w:w="0" w:type="dxa"/>
          <w:bottom w:w="0" w:type="dxa"/>
          <w:right w:w="0" w:type="dxa"/>
        </w:tblCellMar>
      </w:tblPr>
      <w:tblGrid>
        <w:gridCol w:w="4079"/>
        <w:gridCol w:w="314"/>
        <w:gridCol w:w="248"/>
        <w:gridCol w:w="1214"/>
        <w:gridCol w:w="103"/>
        <w:gridCol w:w="314"/>
        <w:gridCol w:w="248"/>
        <w:gridCol w:w="1214"/>
        <w:gridCol w:w="103"/>
        <w:gridCol w:w="314"/>
        <w:gridCol w:w="330"/>
        <w:gridCol w:w="1614"/>
        <w:gridCol w:w="110"/>
      </w:tblGrid>
      <w:tr>
        <w:trPr/>
        <w:tc>
          <w:tcPr>
            <w:tcW w:w="407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62" w:type="dxa"/>
            <w:gridSpan w:val="2"/>
            <w:tcBorders>
              <w:bottom w:val="single" w:sz="2" w:space="0" w:color="000000"/>
            </w:tcBorders>
            <w:shd w:fill="auto" w:val="clear"/>
            <w:tcMar>
              <w:bottom w:w="28" w:type="dxa"/>
            </w:tcMar>
            <w:vAlign w:val="bottom"/>
          </w:tcPr>
          <w:p>
            <w:pPr>
              <w:pStyle w:val="TableContents"/>
              <w:spacing w:before="0" w:after="283"/>
              <w:jc w:val="center"/>
              <w:rPr/>
            </w:pPr>
            <w:r>
              <w:rPr/>
              <w:t>June 30, 2011</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62" w:type="dxa"/>
            <w:gridSpan w:val="2"/>
            <w:tcBorders>
              <w:bottom w:val="single" w:sz="2" w:space="0" w:color="000000"/>
            </w:tcBorders>
            <w:shd w:fill="auto" w:val="clear"/>
            <w:tcMar>
              <w:bottom w:w="28" w:type="dxa"/>
            </w:tcMar>
            <w:vAlign w:val="bottom"/>
          </w:tcPr>
          <w:p>
            <w:pPr>
              <w:pStyle w:val="TableContents"/>
              <w:spacing w:before="0" w:after="283"/>
              <w:jc w:val="center"/>
              <w:rPr/>
            </w:pPr>
            <w:r>
              <w:rPr/>
              <w:t>June 30, 2010</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944"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1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5702" w:type="dxa"/>
            <w:gridSpan w:val="10"/>
            <w:tcBorders/>
            <w:shd w:fill="auto" w:val="clear"/>
            <w:vAlign w:val="bottom"/>
          </w:tcPr>
          <w:p>
            <w:pPr>
              <w:pStyle w:val="TableContents"/>
              <w:spacing w:before="0" w:after="283"/>
              <w:jc w:val="center"/>
              <w:rPr>
                <w:i/>
              </w:rPr>
            </w:pPr>
            <w:r>
              <w:rPr>
                <w:i/>
              </w:rPr>
              <w:t>(In thousands of U.S. dollars)</w:t>
            </w:r>
          </w:p>
        </w:tc>
        <w:tc>
          <w:tcPr>
            <w:tcW w:w="110" w:type="dxa"/>
            <w:tcBorders/>
            <w:shd w:fill="auto" w:val="clear"/>
            <w:vAlign w:val="bottom"/>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225" w:right="0" w:hanging="225"/>
              <w:rPr/>
            </w:pPr>
            <w:r>
              <w:rPr/>
              <w:t>Albemarle &amp; Bond:</w:t>
            </w:r>
          </w:p>
        </w:tc>
        <w:tc>
          <w:tcPr>
            <w:tcW w:w="314"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0"/>
              <w:ind w:left="450" w:right="0" w:hanging="225"/>
              <w:rPr/>
            </w:pPr>
            <w:r>
              <w:rPr/>
              <w:t>Recorded value</w:t>
            </w:r>
          </w:p>
        </w:tc>
        <w:tc>
          <w:tcPr>
            <w:tcW w:w="31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4" w:type="dxa"/>
            <w:tcBorders/>
            <w:shd w:fill="auto" w:val="clear"/>
            <w:vAlign w:val="bottom"/>
          </w:tcPr>
          <w:p>
            <w:pPr>
              <w:pStyle w:val="TableContents"/>
              <w:spacing w:before="0" w:after="283"/>
              <w:jc w:val="right"/>
              <w:rPr/>
            </w:pPr>
            <w:r>
              <w:rPr/>
              <w:t>46,457</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4" w:type="dxa"/>
            <w:tcBorders/>
            <w:shd w:fill="auto" w:val="clear"/>
            <w:vAlign w:val="bottom"/>
          </w:tcPr>
          <w:p>
            <w:pPr>
              <w:pStyle w:val="TableContents"/>
              <w:spacing w:before="0" w:after="283"/>
              <w:jc w:val="right"/>
              <w:rPr/>
            </w:pPr>
            <w:r>
              <w:rPr/>
              <w:t>41,613</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jc w:val="left"/>
              <w:rPr/>
            </w:pPr>
            <w:r>
              <w:rPr/>
              <w:t>$</w:t>
            </w:r>
          </w:p>
        </w:tc>
        <w:tc>
          <w:tcPr>
            <w:tcW w:w="1614" w:type="dxa"/>
            <w:tcBorders/>
            <w:shd w:fill="auto" w:val="clear"/>
            <w:vAlign w:val="bottom"/>
          </w:tcPr>
          <w:p>
            <w:pPr>
              <w:pStyle w:val="TableContents"/>
              <w:spacing w:before="0" w:after="283"/>
              <w:jc w:val="right"/>
              <w:rPr/>
            </w:pPr>
            <w:r>
              <w:rPr/>
              <w:t>43,127</w:t>
            </w:r>
          </w:p>
        </w:tc>
        <w:tc>
          <w:tcPr>
            <w:tcW w:w="110" w:type="dxa"/>
            <w:tcBorders/>
            <w:shd w:fill="auto" w:val="clear"/>
            <w:vAlign w:val="bottom"/>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450" w:right="0" w:hanging="225"/>
              <w:rPr/>
            </w:pPr>
            <w:r>
              <w:rPr/>
              <w:t>Fair value</w:t>
            </w:r>
          </w:p>
        </w:tc>
        <w:tc>
          <w:tcPr>
            <w:tcW w:w="314"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pPr>
            <w:r>
              <w:rPr/>
              <w:t>99,180</w:t>
            </w:r>
          </w:p>
        </w:tc>
        <w:tc>
          <w:tcPr>
            <w:tcW w:w="10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pPr>
            <w:r>
              <w:rPr/>
              <w:t>57,108</w:t>
            </w:r>
          </w:p>
        </w:tc>
        <w:tc>
          <w:tcPr>
            <w:tcW w:w="10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4" w:type="dxa"/>
            <w:tcBorders/>
            <w:shd w:fill="CCEEFF" w:val="clear"/>
            <w:vAlign w:val="bottom"/>
          </w:tcPr>
          <w:p>
            <w:pPr>
              <w:pStyle w:val="TableContents"/>
              <w:spacing w:before="0" w:after="283"/>
              <w:jc w:val="right"/>
              <w:rPr/>
            </w:pPr>
            <w:r>
              <w:rPr/>
              <w:t>75,520</w:t>
            </w:r>
          </w:p>
        </w:tc>
        <w:tc>
          <w:tcPr>
            <w:tcW w:w="110" w:type="dxa"/>
            <w:tcBorders/>
            <w:shd w:fill="CCEEFF"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0"/>
              <w:ind w:left="225" w:right="0" w:hanging="225"/>
              <w:rPr/>
            </w:pPr>
            <w:r>
              <w:rPr/>
              <w:t> </w:t>
            </w:r>
          </w:p>
        </w:tc>
        <w:tc>
          <w:tcPr>
            <w:tcW w:w="31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0"/>
              <w:ind w:left="225" w:right="0" w:hanging="225"/>
              <w:rPr/>
            </w:pPr>
            <w:r>
              <w:rPr/>
              <w:t>Cash Converters:</w:t>
            </w:r>
          </w:p>
        </w:tc>
        <w:tc>
          <w:tcPr>
            <w:tcW w:w="31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4079" w:type="dxa"/>
            <w:tcBorders/>
            <w:shd w:fill="CCEEFF" w:val="clear"/>
            <w:vAlign w:val="bottom"/>
          </w:tcPr>
          <w:p>
            <w:pPr>
              <w:pStyle w:val="TableContents"/>
              <w:spacing w:before="0" w:after="0"/>
              <w:ind w:left="450" w:right="0" w:hanging="225"/>
              <w:rPr/>
            </w:pPr>
            <w:r>
              <w:rPr/>
              <w:t>Recorded value</w:t>
            </w:r>
          </w:p>
        </w:tc>
        <w:tc>
          <w:tcPr>
            <w:tcW w:w="314"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pPr>
            <w:r>
              <w:rPr/>
              <w:t>68,320</w:t>
            </w:r>
          </w:p>
        </w:tc>
        <w:tc>
          <w:tcPr>
            <w:tcW w:w="10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pPr>
            <w:r>
              <w:rPr/>
              <w:t>58,160</w:t>
            </w:r>
          </w:p>
        </w:tc>
        <w:tc>
          <w:tcPr>
            <w:tcW w:w="103"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14" w:type="dxa"/>
            <w:tcBorders/>
            <w:shd w:fill="CCEEFF" w:val="clear"/>
            <w:vAlign w:val="bottom"/>
          </w:tcPr>
          <w:p>
            <w:pPr>
              <w:pStyle w:val="TableContents"/>
              <w:spacing w:before="0" w:after="283"/>
              <w:jc w:val="right"/>
              <w:rPr/>
            </w:pPr>
            <w:r>
              <w:rPr/>
              <w:t>58,259</w:t>
            </w:r>
          </w:p>
        </w:tc>
        <w:tc>
          <w:tcPr>
            <w:tcW w:w="110" w:type="dxa"/>
            <w:tcBorders/>
            <w:shd w:fill="CCEEFF" w:val="clear"/>
            <w:vAlign w:val="bottom"/>
          </w:tcPr>
          <w:p>
            <w:pPr>
              <w:pStyle w:val="TableContents"/>
              <w:spacing w:before="0" w:after="283"/>
              <w:rPr/>
            </w:pPr>
            <w:r>
              <w:rPr/>
              <w:t> </w:t>
            </w:r>
          </w:p>
        </w:tc>
      </w:tr>
      <w:tr>
        <w:trPr/>
        <w:tc>
          <w:tcPr>
            <w:tcW w:w="4079" w:type="dxa"/>
            <w:tcBorders/>
            <w:shd w:fill="auto" w:val="clear"/>
            <w:vAlign w:val="bottom"/>
          </w:tcPr>
          <w:p>
            <w:pPr>
              <w:pStyle w:val="TableContents"/>
              <w:spacing w:before="0" w:after="0"/>
              <w:ind w:left="450" w:right="0" w:hanging="225"/>
              <w:rPr/>
            </w:pPr>
            <w:r>
              <w:rPr/>
              <w:t>Fair value</w:t>
            </w:r>
          </w:p>
        </w:tc>
        <w:tc>
          <w:tcPr>
            <w:tcW w:w="31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jc w:val="right"/>
              <w:rPr/>
            </w:pPr>
            <w:r>
              <w:rPr/>
              <w:t>94,911</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jc w:val="right"/>
              <w:rPr/>
            </w:pPr>
            <w:r>
              <w:rPr/>
              <w:t>58,624</w:t>
            </w:r>
          </w:p>
        </w:tc>
        <w:tc>
          <w:tcPr>
            <w:tcW w:w="1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14" w:type="dxa"/>
            <w:tcBorders/>
            <w:shd w:fill="auto" w:val="clear"/>
            <w:vAlign w:val="bottom"/>
          </w:tcPr>
          <w:p>
            <w:pPr>
              <w:pStyle w:val="TableContents"/>
              <w:spacing w:before="0" w:after="283"/>
              <w:jc w:val="right"/>
              <w:rPr/>
            </w:pPr>
            <w:r>
              <w:rPr/>
              <w:t>70,005</w:t>
            </w:r>
          </w:p>
        </w:tc>
        <w:tc>
          <w:tcPr>
            <w:tcW w:w="110"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Other Assets, net on our balance sheets are available for sale securities with a fair value of $5.4 million at June 30, 2011, $3.9 million at June 30, 2010 and $4.9 million at September 30, 2010. This is considered to be a level one measurement of fair value as it is based on the ending market price for the securities at that date, as quoted on an active public securities exchange.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March 2011, we announced plans to increase our ownership of Cash Converters outstanding shares from 33% to 53% for a total cost of approximately $70 million. Following the additional investment, we and Cash Converters plan to establish two joint ventures, under which we will roll out a suite of financial services products globally under the Cash Converters brand. The joint ventures are conditional upon the share purchase which, in turn, requires the approval of Cash Converters shareholders. We expect to close the transaction in our fiscal quarter ending December 31, 2011, at which point we will begin to consolidate Cash Converters results with ours and discontinue use of the equity method for our current investment in Cash Converters.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F: Goodwill and Other Intangible Assets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balance of each major class of indefinite-lived intangible asset at the specified dates (in thousands): </w:t>
      </w:r>
    </w:p>
    <w:tbl>
      <w:tblPr>
        <w:tblW w:w="5000" w:type="pct"/>
        <w:jc w:val="center"/>
        <w:tblInd w:w="0" w:type="dxa"/>
        <w:tblCellMar>
          <w:top w:w="0" w:type="dxa"/>
          <w:left w:w="0" w:type="dxa"/>
          <w:bottom w:w="0" w:type="dxa"/>
          <w:right w:w="0" w:type="dxa"/>
        </w:tblCellMar>
      </w:tblPr>
      <w:tblGrid>
        <w:gridCol w:w="4063"/>
        <w:gridCol w:w="322"/>
        <w:gridCol w:w="222"/>
        <w:gridCol w:w="1238"/>
        <w:gridCol w:w="104"/>
        <w:gridCol w:w="322"/>
        <w:gridCol w:w="222"/>
        <w:gridCol w:w="1238"/>
        <w:gridCol w:w="104"/>
        <w:gridCol w:w="321"/>
        <w:gridCol w:w="293"/>
        <w:gridCol w:w="1644"/>
        <w:gridCol w:w="112"/>
      </w:tblGrid>
      <w:tr>
        <w:trPr/>
        <w:tc>
          <w:tcPr>
            <w:tcW w:w="4063"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64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4063"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460" w:type="dxa"/>
            <w:gridSpan w:val="2"/>
            <w:tcBorders>
              <w:bottom w:val="single" w:sz="2" w:space="0" w:color="000000"/>
            </w:tcBorders>
            <w:shd w:fill="auto" w:val="clear"/>
            <w:tcMar>
              <w:bottom w:w="28" w:type="dxa"/>
            </w:tcMar>
            <w:vAlign w:val="bottom"/>
          </w:tcPr>
          <w:p>
            <w:pPr>
              <w:pStyle w:val="TableContents"/>
              <w:spacing w:before="0" w:after="283"/>
              <w:jc w:val="center"/>
              <w:rPr/>
            </w:pPr>
            <w:r>
              <w:rPr/>
              <w:t>June 30, 2011</w:t>
            </w:r>
          </w:p>
        </w:tc>
        <w:tc>
          <w:tcPr>
            <w:tcW w:w="10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460" w:type="dxa"/>
            <w:gridSpan w:val="2"/>
            <w:tcBorders>
              <w:bottom w:val="single" w:sz="2" w:space="0" w:color="000000"/>
            </w:tcBorders>
            <w:shd w:fill="auto" w:val="clear"/>
            <w:tcMar>
              <w:bottom w:w="28" w:type="dxa"/>
            </w:tcMar>
            <w:vAlign w:val="bottom"/>
          </w:tcPr>
          <w:p>
            <w:pPr>
              <w:pStyle w:val="TableContents"/>
              <w:spacing w:before="0" w:after="283"/>
              <w:jc w:val="center"/>
              <w:rPr/>
            </w:pPr>
            <w:r>
              <w:rPr/>
              <w:t>June 30, 2010</w:t>
            </w:r>
          </w:p>
        </w:tc>
        <w:tc>
          <w:tcPr>
            <w:tcW w:w="10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937"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112" w:type="dxa"/>
            <w:tcBorders/>
            <w:shd w:fill="auto" w:val="clear"/>
            <w:vAlign w:val="bottom"/>
          </w:tcPr>
          <w:p>
            <w:pPr>
              <w:pStyle w:val="TableContents"/>
              <w:spacing w:before="0" w:after="283"/>
              <w:rPr/>
            </w:pPr>
            <w:r>
              <w:rPr/>
              <w:t> </w:t>
            </w:r>
          </w:p>
        </w:tc>
      </w:tr>
      <w:tr>
        <w:trPr/>
        <w:tc>
          <w:tcPr>
            <w:tcW w:w="4063" w:type="dxa"/>
            <w:tcBorders/>
            <w:shd w:fill="CCEEFF" w:val="clear"/>
            <w:vAlign w:val="bottom"/>
          </w:tcPr>
          <w:p>
            <w:pPr>
              <w:pStyle w:val="TableContents"/>
              <w:spacing w:before="0" w:after="0"/>
              <w:ind w:left="225" w:right="0" w:hanging="225"/>
              <w:rPr/>
            </w:pPr>
            <w:r>
              <w:rPr/>
              <w:t>Pawn licenses</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1238" w:type="dxa"/>
            <w:tcBorders/>
            <w:shd w:fill="CCEEFF" w:val="clear"/>
            <w:vAlign w:val="bottom"/>
          </w:tcPr>
          <w:p>
            <w:pPr>
              <w:pStyle w:val="TableContents"/>
              <w:spacing w:before="0" w:after="283"/>
              <w:jc w:val="right"/>
              <w:rPr/>
            </w:pPr>
            <w:r>
              <w:rPr/>
              <w:t>8,836</w:t>
            </w:r>
          </w:p>
        </w:tc>
        <w:tc>
          <w:tcPr>
            <w:tcW w:w="10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1238" w:type="dxa"/>
            <w:tcBorders/>
            <w:shd w:fill="CCEEFF" w:val="clear"/>
            <w:vAlign w:val="bottom"/>
          </w:tcPr>
          <w:p>
            <w:pPr>
              <w:pStyle w:val="TableContents"/>
              <w:spacing w:before="0" w:after="283"/>
              <w:jc w:val="right"/>
              <w:rPr/>
            </w:pPr>
            <w:r>
              <w:rPr/>
              <w:t>8,229</w:t>
            </w:r>
          </w:p>
        </w:tc>
        <w:tc>
          <w:tcPr>
            <w:tcW w:w="104"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left"/>
              <w:rPr/>
            </w:pPr>
            <w:r>
              <w:rPr/>
              <w:t>$</w:t>
            </w:r>
          </w:p>
        </w:tc>
        <w:tc>
          <w:tcPr>
            <w:tcW w:w="1644" w:type="dxa"/>
            <w:tcBorders/>
            <w:shd w:fill="CCEEFF" w:val="clear"/>
            <w:vAlign w:val="bottom"/>
          </w:tcPr>
          <w:p>
            <w:pPr>
              <w:pStyle w:val="TableContents"/>
              <w:spacing w:before="0" w:after="283"/>
              <w:jc w:val="right"/>
              <w:rPr/>
            </w:pPr>
            <w:r>
              <w:rPr/>
              <w:t>8,836</w:t>
            </w:r>
          </w:p>
        </w:tc>
        <w:tc>
          <w:tcPr>
            <w:tcW w:w="112" w:type="dxa"/>
            <w:tcBorders/>
            <w:shd w:fill="CCEEFF" w:val="clear"/>
            <w:vAlign w:val="bottom"/>
          </w:tcPr>
          <w:p>
            <w:pPr>
              <w:pStyle w:val="TableContents"/>
              <w:spacing w:before="0" w:after="283"/>
              <w:rPr/>
            </w:pPr>
            <w:r>
              <w:rPr/>
              <w:t> </w:t>
            </w:r>
          </w:p>
        </w:tc>
      </w:tr>
      <w:tr>
        <w:trPr/>
        <w:tc>
          <w:tcPr>
            <w:tcW w:w="4063" w:type="dxa"/>
            <w:tcBorders/>
            <w:shd w:fill="auto" w:val="clear"/>
            <w:vAlign w:val="bottom"/>
          </w:tcPr>
          <w:p>
            <w:pPr>
              <w:pStyle w:val="TableContents"/>
              <w:spacing w:before="0" w:after="0"/>
              <w:ind w:left="225" w:right="0" w:hanging="225"/>
              <w:rPr/>
            </w:pPr>
            <w:r>
              <w:rPr/>
              <w:t>Trade name</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4,870</w:t>
            </w:r>
          </w:p>
        </w:tc>
        <w:tc>
          <w:tcPr>
            <w:tcW w:w="10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4,870</w:t>
            </w:r>
          </w:p>
        </w:tc>
        <w:tc>
          <w:tcPr>
            <w:tcW w:w="10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644" w:type="dxa"/>
            <w:tcBorders/>
            <w:shd w:fill="auto" w:val="clear"/>
            <w:vAlign w:val="bottom"/>
          </w:tcPr>
          <w:p>
            <w:pPr>
              <w:pStyle w:val="TableContents"/>
              <w:spacing w:before="0" w:after="283"/>
              <w:jc w:val="right"/>
              <w:rPr/>
            </w:pPr>
            <w:r>
              <w:rPr/>
              <w:t>4,870</w:t>
            </w:r>
          </w:p>
        </w:tc>
        <w:tc>
          <w:tcPr>
            <w:tcW w:w="112" w:type="dxa"/>
            <w:tcBorders/>
            <w:shd w:fill="auto" w:val="clear"/>
            <w:vAlign w:val="bottom"/>
          </w:tcPr>
          <w:p>
            <w:pPr>
              <w:pStyle w:val="TableContents"/>
              <w:spacing w:before="0" w:after="283"/>
              <w:rPr/>
            </w:pPr>
            <w:r>
              <w:rPr/>
              <w:t> </w:t>
            </w:r>
          </w:p>
        </w:tc>
      </w:tr>
      <w:tr>
        <w:trPr/>
        <w:tc>
          <w:tcPr>
            <w:tcW w:w="4063" w:type="dxa"/>
            <w:tcBorders/>
            <w:shd w:fill="CCEEFF" w:val="clear"/>
            <w:vAlign w:val="bottom"/>
          </w:tcPr>
          <w:p>
            <w:pPr>
              <w:pStyle w:val="TableContents"/>
              <w:spacing w:before="0" w:after="0"/>
              <w:ind w:left="225" w:right="0" w:hanging="225"/>
              <w:rPr/>
            </w:pPr>
            <w:r>
              <w:rPr/>
              <w:t>Goodwill</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167,017</w:t>
            </w:r>
          </w:p>
        </w:tc>
        <w:tc>
          <w:tcPr>
            <w:tcW w:w="10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115,570</w:t>
            </w:r>
          </w:p>
        </w:tc>
        <w:tc>
          <w:tcPr>
            <w:tcW w:w="104"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644" w:type="dxa"/>
            <w:tcBorders/>
            <w:shd w:fill="CCEEFF" w:val="clear"/>
            <w:vAlign w:val="bottom"/>
          </w:tcPr>
          <w:p>
            <w:pPr>
              <w:pStyle w:val="TableContents"/>
              <w:spacing w:before="0" w:after="283"/>
              <w:jc w:val="right"/>
              <w:rPr/>
            </w:pPr>
            <w:r>
              <w:rPr/>
              <w:t>117,305</w:t>
            </w:r>
          </w:p>
        </w:tc>
        <w:tc>
          <w:tcPr>
            <w:tcW w:w="112" w:type="dxa"/>
            <w:tcBorders/>
            <w:shd w:fill="CCEEFF" w:val="clear"/>
            <w:vAlign w:val="bottom"/>
          </w:tcPr>
          <w:p>
            <w:pPr>
              <w:pStyle w:val="TableContents"/>
              <w:spacing w:before="0" w:after="283"/>
              <w:rPr/>
            </w:pPr>
            <w:r>
              <w:rPr/>
              <w:t> </w:t>
            </w:r>
          </w:p>
        </w:tc>
      </w:tr>
      <w:tr>
        <w:trPr/>
        <w:tc>
          <w:tcPr>
            <w:tcW w:w="4063" w:type="dxa"/>
            <w:tcBorders/>
            <w:shd w:fill="auto" w:val="clear"/>
            <w:vAlign w:val="center"/>
          </w:tcPr>
          <w:p>
            <w:pPr>
              <w:pStyle w:val="TableContents"/>
              <w:spacing w:before="0" w:after="0"/>
              <w:ind w:left="225" w:right="0" w:hanging="225"/>
              <w:rPr/>
            </w:pPr>
            <w:r>
              <w:rPr/>
              <w:t> </w:t>
            </w:r>
          </w:p>
        </w:tc>
        <w:tc>
          <w:tcPr>
            <w:tcW w:w="322"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9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r>
      <w:tr>
        <w:trPr/>
        <w:tc>
          <w:tcPr>
            <w:tcW w:w="4063" w:type="dxa"/>
            <w:tcBorders/>
            <w:shd w:fill="auto" w:val="clear"/>
            <w:vAlign w:val="bottom"/>
          </w:tcPr>
          <w:p>
            <w:pPr>
              <w:pStyle w:val="TableContents"/>
              <w:spacing w:before="0" w:after="0"/>
              <w:ind w:left="225" w:right="0" w:hanging="225"/>
              <w:rPr/>
            </w:pPr>
            <w:r>
              <w:rPr/>
              <w:t>Total</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1238" w:type="dxa"/>
            <w:tcBorders/>
            <w:shd w:fill="auto" w:val="clear"/>
            <w:vAlign w:val="bottom"/>
          </w:tcPr>
          <w:p>
            <w:pPr>
              <w:pStyle w:val="TableContents"/>
              <w:spacing w:before="0" w:after="283"/>
              <w:jc w:val="right"/>
              <w:rPr/>
            </w:pPr>
            <w:r>
              <w:rPr/>
              <w:t>180,723</w:t>
            </w:r>
          </w:p>
        </w:tc>
        <w:tc>
          <w:tcPr>
            <w:tcW w:w="10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1238" w:type="dxa"/>
            <w:tcBorders/>
            <w:shd w:fill="auto" w:val="clear"/>
            <w:vAlign w:val="bottom"/>
          </w:tcPr>
          <w:p>
            <w:pPr>
              <w:pStyle w:val="TableContents"/>
              <w:spacing w:before="0" w:after="283"/>
              <w:jc w:val="right"/>
              <w:rPr/>
            </w:pPr>
            <w:r>
              <w:rPr/>
              <w:t>128,669</w:t>
            </w:r>
          </w:p>
        </w:tc>
        <w:tc>
          <w:tcPr>
            <w:tcW w:w="10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left"/>
              <w:rPr/>
            </w:pPr>
            <w:r>
              <w:rPr/>
              <w:t>$</w:t>
            </w:r>
          </w:p>
        </w:tc>
        <w:tc>
          <w:tcPr>
            <w:tcW w:w="1644" w:type="dxa"/>
            <w:tcBorders/>
            <w:shd w:fill="auto" w:val="clear"/>
            <w:vAlign w:val="bottom"/>
          </w:tcPr>
          <w:p>
            <w:pPr>
              <w:pStyle w:val="TableContents"/>
              <w:spacing w:before="0" w:after="283"/>
              <w:jc w:val="right"/>
              <w:rPr/>
            </w:pPr>
            <w:r>
              <w:rPr/>
              <w:t>131,011</w:t>
            </w:r>
          </w:p>
        </w:tc>
        <w:tc>
          <w:tcPr>
            <w:tcW w:w="112" w:type="dxa"/>
            <w:tcBorders/>
            <w:shd w:fill="auto" w:val="clear"/>
            <w:vAlign w:val="bottom"/>
          </w:tcPr>
          <w:p>
            <w:pPr>
              <w:pStyle w:val="TableContents"/>
              <w:spacing w:before="0" w:after="283"/>
              <w:rPr/>
            </w:pPr>
            <w:r>
              <w:rPr/>
              <w:t> </w:t>
            </w:r>
          </w:p>
        </w:tc>
      </w:tr>
      <w:tr>
        <w:trPr/>
        <w:tc>
          <w:tcPr>
            <w:tcW w:w="4063" w:type="dxa"/>
            <w:tcBorders/>
            <w:shd w:fill="auto" w:val="clear"/>
            <w:vAlign w:val="center"/>
          </w:tcPr>
          <w:p>
            <w:pPr>
              <w:pStyle w:val="TableContents"/>
              <w:spacing w:before="0" w:after="0"/>
              <w:ind w:left="225" w:right="0" w:hanging="225"/>
              <w:rPr/>
            </w:pPr>
            <w:r>
              <w:rPr/>
              <w:t> </w:t>
            </w:r>
          </w:p>
        </w:tc>
        <w:tc>
          <w:tcPr>
            <w:tcW w:w="322" w:type="dxa"/>
            <w:tcBorders/>
            <w:shd w:fill="auto" w:val="clear"/>
            <w:vAlign w:val="center"/>
          </w:tcPr>
          <w:p>
            <w:pPr>
              <w:pStyle w:val="TableContents"/>
              <w:spacing w:before="0" w:after="283"/>
              <w:rPr/>
            </w:pPr>
            <w:r>
              <w:rPr/>
              <w:t> </w:t>
            </w:r>
          </w:p>
        </w:tc>
        <w:tc>
          <w:tcPr>
            <w:tcW w:w="14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4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9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changes in the carrying value of goodwill, by segment, over the periods presented (in thousands): </w:t>
      </w:r>
    </w:p>
    <w:tbl>
      <w:tblPr>
        <w:tblW w:w="5000" w:type="pct"/>
        <w:jc w:val="center"/>
        <w:tblInd w:w="0" w:type="dxa"/>
        <w:tblCellMar>
          <w:top w:w="0" w:type="dxa"/>
          <w:left w:w="0" w:type="dxa"/>
          <w:bottom w:w="0" w:type="dxa"/>
          <w:right w:w="0" w:type="dxa"/>
        </w:tblCellMar>
      </w:tblPr>
      <w:tblGrid>
        <w:gridCol w:w="3247"/>
        <w:gridCol w:w="264"/>
        <w:gridCol w:w="185"/>
        <w:gridCol w:w="1039"/>
        <w:gridCol w:w="97"/>
        <w:gridCol w:w="264"/>
        <w:gridCol w:w="289"/>
        <w:gridCol w:w="1198"/>
        <w:gridCol w:w="97"/>
        <w:gridCol w:w="264"/>
        <w:gridCol w:w="505"/>
        <w:gridCol w:w="872"/>
        <w:gridCol w:w="96"/>
        <w:gridCol w:w="264"/>
        <w:gridCol w:w="215"/>
        <w:gridCol w:w="1203"/>
        <w:gridCol w:w="106"/>
      </w:tblGrid>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24" w:type="dxa"/>
            <w:gridSpan w:val="2"/>
            <w:tcBorders/>
            <w:shd w:fill="auto" w:val="clear"/>
            <w:vAlign w:val="bottom"/>
          </w:tcPr>
          <w:p>
            <w:pPr>
              <w:pStyle w:val="TableContents"/>
              <w:spacing w:before="0" w:after="283"/>
              <w:jc w:val="center"/>
              <w:rPr/>
            </w:pPr>
            <w:r>
              <w:rPr/>
              <w:t>U.S Pawn</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7" w:type="dxa"/>
            <w:gridSpan w:val="2"/>
            <w:tcBorders/>
            <w:shd w:fill="auto" w:val="clear"/>
            <w:vAlign w:val="bottom"/>
          </w:tcPr>
          <w:p>
            <w:pPr>
              <w:pStyle w:val="TableContents"/>
              <w:spacing w:before="0" w:after="283"/>
              <w:jc w:val="center"/>
              <w:rPr/>
            </w:pPr>
            <w:r>
              <w:rPr/>
              <w:t>EZMONEY</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18" w:type="dxa"/>
            <w:gridSpan w:val="2"/>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24"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87" w:type="dxa"/>
            <w:gridSpan w:val="2"/>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7"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18"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6" w:type="dxa"/>
            <w:tcBorders/>
            <w:shd w:fill="auto" w:val="clear"/>
            <w:vAlign w:val="bottom"/>
          </w:tcPr>
          <w:p>
            <w:pPr>
              <w:pStyle w:val="TableContents"/>
              <w:spacing w:before="0" w:after="283"/>
              <w:rPr/>
            </w:pPr>
            <w:r>
              <w:rPr/>
              <w:t> </w:t>
            </w:r>
          </w:p>
        </w:tc>
      </w:tr>
      <w:tr>
        <w:trPr/>
        <w:tc>
          <w:tcPr>
            <w:tcW w:w="3247" w:type="dxa"/>
            <w:tcBorders/>
            <w:shd w:fill="CCEEFF" w:val="clear"/>
            <w:vAlign w:val="bottom"/>
          </w:tcPr>
          <w:p>
            <w:pPr>
              <w:pStyle w:val="TableContents"/>
              <w:spacing w:before="0" w:after="0"/>
              <w:ind w:left="225" w:right="0" w:hanging="225"/>
              <w:rPr/>
            </w:pPr>
            <w:r>
              <w:rPr/>
              <w:t>Balance at September 30, 2010</w:t>
            </w:r>
          </w:p>
        </w:tc>
        <w:tc>
          <w:tcPr>
            <w:tcW w:w="26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39" w:type="dxa"/>
            <w:tcBorders/>
            <w:shd w:fill="CCEEFF" w:val="clear"/>
            <w:vAlign w:val="bottom"/>
          </w:tcPr>
          <w:p>
            <w:pPr>
              <w:pStyle w:val="TableContents"/>
              <w:spacing w:before="0" w:after="283"/>
              <w:jc w:val="right"/>
              <w:rPr/>
            </w:pPr>
            <w:r>
              <w:rPr/>
              <w:t>110,255</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left"/>
              <w:rPr/>
            </w:pPr>
            <w:r>
              <w:rPr/>
              <w:t>$</w:t>
            </w:r>
          </w:p>
        </w:tc>
        <w:tc>
          <w:tcPr>
            <w:tcW w:w="1198" w:type="dxa"/>
            <w:tcBorders/>
            <w:shd w:fill="CCEEFF" w:val="clear"/>
            <w:vAlign w:val="bottom"/>
          </w:tcPr>
          <w:p>
            <w:pPr>
              <w:pStyle w:val="TableContents"/>
              <w:spacing w:before="0" w:after="283"/>
              <w:jc w:val="right"/>
              <w:rPr/>
            </w:pPr>
            <w:r>
              <w:rPr/>
              <w:t>7,050</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203" w:type="dxa"/>
            <w:tcBorders/>
            <w:shd w:fill="CCEEFF" w:val="clear"/>
            <w:vAlign w:val="bottom"/>
          </w:tcPr>
          <w:p>
            <w:pPr>
              <w:pStyle w:val="TableContents"/>
              <w:spacing w:before="0" w:after="283"/>
              <w:jc w:val="right"/>
              <w:rPr/>
            </w:pPr>
            <w:r>
              <w:rPr/>
              <w:t>117,305</w:t>
            </w:r>
          </w:p>
        </w:tc>
        <w:tc>
          <w:tcPr>
            <w:tcW w:w="106" w:type="dxa"/>
            <w:tcBorders/>
            <w:shd w:fill="CCEEFF"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0"/>
              <w:ind w:left="450" w:right="0" w:hanging="225"/>
              <w:rPr/>
            </w:pPr>
            <w:r>
              <w:rPr/>
              <w:t>Acquisitions</w:t>
            </w:r>
          </w:p>
        </w:tc>
        <w:tc>
          <w:tcPr>
            <w:tcW w:w="26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49,317</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49,317</w:t>
            </w:r>
          </w:p>
        </w:tc>
        <w:tc>
          <w:tcPr>
            <w:tcW w:w="106" w:type="dxa"/>
            <w:tcBorders/>
            <w:shd w:fill="auto" w:val="clear"/>
            <w:vAlign w:val="bottom"/>
          </w:tcPr>
          <w:p>
            <w:pPr>
              <w:pStyle w:val="TableContents"/>
              <w:spacing w:before="0" w:after="283"/>
              <w:rPr/>
            </w:pPr>
            <w:r>
              <w:rPr/>
              <w:t> </w:t>
            </w:r>
          </w:p>
        </w:tc>
      </w:tr>
      <w:tr>
        <w:trPr/>
        <w:tc>
          <w:tcPr>
            <w:tcW w:w="3247" w:type="dxa"/>
            <w:tcBorders/>
            <w:shd w:fill="CCEEFF" w:val="clear"/>
            <w:vAlign w:val="bottom"/>
          </w:tcPr>
          <w:p>
            <w:pPr>
              <w:pStyle w:val="TableContents"/>
              <w:spacing w:before="0" w:after="0"/>
              <w:ind w:left="450" w:right="0" w:hanging="225"/>
              <w:rPr/>
            </w:pPr>
            <w:r>
              <w:rPr/>
              <w:t>Effect of foreign currency translation changes</w:t>
            </w:r>
          </w:p>
        </w:tc>
        <w:tc>
          <w:tcPr>
            <w:tcW w:w="26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395</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203" w:type="dxa"/>
            <w:tcBorders/>
            <w:shd w:fill="CCEEFF" w:val="clear"/>
            <w:vAlign w:val="bottom"/>
          </w:tcPr>
          <w:p>
            <w:pPr>
              <w:pStyle w:val="TableContents"/>
              <w:spacing w:before="0" w:after="283"/>
              <w:jc w:val="right"/>
              <w:rPr/>
            </w:pPr>
            <w:r>
              <w:rPr/>
              <w:t>395</w:t>
            </w:r>
          </w:p>
        </w:tc>
        <w:tc>
          <w:tcPr>
            <w:tcW w:w="106" w:type="dxa"/>
            <w:tcBorders/>
            <w:shd w:fill="CCEEFF" w:val="clear"/>
            <w:vAlign w:val="bottom"/>
          </w:tcPr>
          <w:p>
            <w:pPr>
              <w:pStyle w:val="TableContents"/>
              <w:spacing w:before="0" w:after="283"/>
              <w:rPr/>
            </w:pPr>
            <w:r>
              <w:rPr/>
              <w:t> </w:t>
            </w:r>
          </w:p>
        </w:tc>
      </w:tr>
      <w:tr>
        <w:trPr/>
        <w:tc>
          <w:tcPr>
            <w:tcW w:w="3247"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3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3247" w:type="dxa"/>
            <w:tcBorders/>
            <w:shd w:fill="auto" w:val="clear"/>
            <w:vAlign w:val="bottom"/>
          </w:tcPr>
          <w:p>
            <w:pPr>
              <w:pStyle w:val="TableContents"/>
              <w:spacing w:before="0" w:after="0"/>
              <w:ind w:left="225" w:right="0" w:hanging="225"/>
              <w:rPr/>
            </w:pPr>
            <w:r>
              <w:rPr/>
              <w:t>Balance at June 30, 2011</w:t>
            </w:r>
          </w:p>
        </w:tc>
        <w:tc>
          <w:tcPr>
            <w:tcW w:w="26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39" w:type="dxa"/>
            <w:tcBorders/>
            <w:shd w:fill="auto" w:val="clear"/>
            <w:vAlign w:val="bottom"/>
          </w:tcPr>
          <w:p>
            <w:pPr>
              <w:pStyle w:val="TableContents"/>
              <w:spacing w:before="0" w:after="283"/>
              <w:jc w:val="right"/>
              <w:rPr/>
            </w:pPr>
            <w:r>
              <w:rPr/>
              <w:t>159,572</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left"/>
              <w:rPr/>
            </w:pPr>
            <w:r>
              <w:rPr/>
              <w:t>$</w:t>
            </w:r>
          </w:p>
        </w:tc>
        <w:tc>
          <w:tcPr>
            <w:tcW w:w="1198" w:type="dxa"/>
            <w:tcBorders/>
            <w:shd w:fill="auto" w:val="clear"/>
            <w:vAlign w:val="bottom"/>
          </w:tcPr>
          <w:p>
            <w:pPr>
              <w:pStyle w:val="TableContents"/>
              <w:spacing w:before="0" w:after="283"/>
              <w:jc w:val="right"/>
              <w:rPr/>
            </w:pPr>
            <w:r>
              <w:rPr/>
              <w:t>7,445</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jc w:val="left"/>
              <w:rPr/>
            </w:pPr>
            <w:r>
              <w:rPr/>
              <w:t>$</w:t>
            </w:r>
          </w:p>
        </w:tc>
        <w:tc>
          <w:tcPr>
            <w:tcW w:w="872"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203" w:type="dxa"/>
            <w:tcBorders/>
            <w:shd w:fill="auto" w:val="clear"/>
            <w:vAlign w:val="bottom"/>
          </w:tcPr>
          <w:p>
            <w:pPr>
              <w:pStyle w:val="TableContents"/>
              <w:spacing w:before="0" w:after="283"/>
              <w:jc w:val="right"/>
              <w:rPr/>
            </w:pPr>
            <w:r>
              <w:rPr/>
              <w:t>167,017</w:t>
            </w:r>
          </w:p>
        </w:tc>
        <w:tc>
          <w:tcPr>
            <w:tcW w:w="106" w:type="dxa"/>
            <w:tcBorders/>
            <w:shd w:fill="auto" w:val="clear"/>
            <w:vAlign w:val="bottom"/>
          </w:tcPr>
          <w:p>
            <w:pPr>
              <w:pStyle w:val="TableContents"/>
              <w:spacing w:before="0" w:after="283"/>
              <w:rPr/>
            </w:pPr>
            <w:r>
              <w:rPr/>
              <w:t> </w:t>
            </w:r>
          </w:p>
        </w:tc>
      </w:tr>
      <w:tr>
        <w:trPr/>
        <w:tc>
          <w:tcPr>
            <w:tcW w:w="3247"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12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3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247"/>
        <w:gridCol w:w="264"/>
        <w:gridCol w:w="185"/>
        <w:gridCol w:w="1039"/>
        <w:gridCol w:w="97"/>
        <w:gridCol w:w="264"/>
        <w:gridCol w:w="289"/>
        <w:gridCol w:w="1198"/>
        <w:gridCol w:w="97"/>
        <w:gridCol w:w="264"/>
        <w:gridCol w:w="505"/>
        <w:gridCol w:w="872"/>
        <w:gridCol w:w="96"/>
        <w:gridCol w:w="264"/>
        <w:gridCol w:w="215"/>
        <w:gridCol w:w="1203"/>
        <w:gridCol w:w="106"/>
      </w:tblGrid>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24" w:type="dxa"/>
            <w:gridSpan w:val="2"/>
            <w:tcBorders/>
            <w:shd w:fill="auto" w:val="clear"/>
            <w:vAlign w:val="bottom"/>
          </w:tcPr>
          <w:p>
            <w:pPr>
              <w:pStyle w:val="TableContents"/>
              <w:spacing w:before="0" w:after="283"/>
              <w:jc w:val="center"/>
              <w:rPr/>
            </w:pPr>
            <w:r>
              <w:rPr/>
              <w:t>U.S Pawn</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7" w:type="dxa"/>
            <w:gridSpan w:val="2"/>
            <w:tcBorders/>
            <w:shd w:fill="auto" w:val="clear"/>
            <w:vAlign w:val="bottom"/>
          </w:tcPr>
          <w:p>
            <w:pPr>
              <w:pStyle w:val="TableContents"/>
              <w:spacing w:before="0" w:after="283"/>
              <w:jc w:val="center"/>
              <w:rPr/>
            </w:pPr>
            <w:r>
              <w:rPr/>
              <w:t>EZMONEY</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18" w:type="dxa"/>
            <w:gridSpan w:val="2"/>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24"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87" w:type="dxa"/>
            <w:gridSpan w:val="2"/>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7"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18"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6" w:type="dxa"/>
            <w:tcBorders/>
            <w:shd w:fill="auto" w:val="clear"/>
            <w:vAlign w:val="bottom"/>
          </w:tcPr>
          <w:p>
            <w:pPr>
              <w:pStyle w:val="TableContents"/>
              <w:spacing w:before="0" w:after="283"/>
              <w:rPr/>
            </w:pPr>
            <w:r>
              <w:rPr/>
              <w:t> </w:t>
            </w:r>
          </w:p>
        </w:tc>
      </w:tr>
      <w:tr>
        <w:trPr/>
        <w:tc>
          <w:tcPr>
            <w:tcW w:w="3247" w:type="dxa"/>
            <w:tcBorders/>
            <w:shd w:fill="CCEEFF" w:val="clear"/>
            <w:vAlign w:val="bottom"/>
          </w:tcPr>
          <w:p>
            <w:pPr>
              <w:pStyle w:val="TableContents"/>
              <w:spacing w:before="0" w:after="0"/>
              <w:ind w:left="225" w:right="0" w:hanging="225"/>
              <w:rPr/>
            </w:pPr>
            <w:r>
              <w:rPr/>
              <w:t>Balance at September 30, 2009</w:t>
            </w:r>
          </w:p>
        </w:tc>
        <w:tc>
          <w:tcPr>
            <w:tcW w:w="26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39" w:type="dxa"/>
            <w:tcBorders/>
            <w:shd w:fill="CCEEFF" w:val="clear"/>
            <w:vAlign w:val="bottom"/>
          </w:tcPr>
          <w:p>
            <w:pPr>
              <w:pStyle w:val="TableContents"/>
              <w:spacing w:before="0" w:after="283"/>
              <w:jc w:val="right"/>
              <w:rPr/>
            </w:pPr>
            <w:r>
              <w:rPr/>
              <w:t>94,192</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left"/>
              <w:rPr/>
            </w:pPr>
            <w:r>
              <w:rPr/>
              <w:t>$</w:t>
            </w:r>
          </w:p>
        </w:tc>
        <w:tc>
          <w:tcPr>
            <w:tcW w:w="1198" w:type="dxa"/>
            <w:tcBorders/>
            <w:shd w:fill="CCEEFF" w:val="clear"/>
            <w:vAlign w:val="bottom"/>
          </w:tcPr>
          <w:p>
            <w:pPr>
              <w:pStyle w:val="TableContents"/>
              <w:spacing w:before="0" w:after="283"/>
              <w:jc w:val="right"/>
              <w:rPr/>
            </w:pPr>
            <w:r>
              <w:rPr/>
              <w:t>6,527</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203" w:type="dxa"/>
            <w:tcBorders/>
            <w:shd w:fill="CCEEFF" w:val="clear"/>
            <w:vAlign w:val="bottom"/>
          </w:tcPr>
          <w:p>
            <w:pPr>
              <w:pStyle w:val="TableContents"/>
              <w:spacing w:before="0" w:after="283"/>
              <w:jc w:val="right"/>
              <w:rPr/>
            </w:pPr>
            <w:r>
              <w:rPr/>
              <w:t>100,719</w:t>
            </w:r>
          </w:p>
        </w:tc>
        <w:tc>
          <w:tcPr>
            <w:tcW w:w="106" w:type="dxa"/>
            <w:tcBorders/>
            <w:shd w:fill="CCEEFF"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0"/>
              <w:ind w:left="450" w:right="0" w:hanging="225"/>
              <w:rPr/>
            </w:pPr>
            <w:r>
              <w:rPr/>
              <w:t>Post-closing purchase price allocation adjustments for prior year acquisitions</w:t>
            </w:r>
          </w:p>
        </w:tc>
        <w:tc>
          <w:tcPr>
            <w:tcW w:w="26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193</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193</w:t>
            </w:r>
          </w:p>
        </w:tc>
        <w:tc>
          <w:tcPr>
            <w:tcW w:w="106" w:type="dxa"/>
            <w:tcBorders/>
            <w:shd w:fill="auto" w:val="clear"/>
            <w:vAlign w:val="bottom"/>
          </w:tcPr>
          <w:p>
            <w:pPr>
              <w:pStyle w:val="TableContents"/>
              <w:spacing w:before="0" w:after="283"/>
              <w:rPr/>
            </w:pPr>
            <w:r>
              <w:rPr/>
              <w:t> </w:t>
            </w:r>
          </w:p>
        </w:tc>
      </w:tr>
      <w:tr>
        <w:trPr/>
        <w:tc>
          <w:tcPr>
            <w:tcW w:w="3247" w:type="dxa"/>
            <w:tcBorders/>
            <w:shd w:fill="CCEEFF" w:val="clear"/>
            <w:vAlign w:val="bottom"/>
          </w:tcPr>
          <w:p>
            <w:pPr>
              <w:pStyle w:val="TableContents"/>
              <w:spacing w:before="0" w:after="0"/>
              <w:ind w:left="450" w:right="0" w:hanging="225"/>
              <w:rPr/>
            </w:pPr>
            <w:r>
              <w:rPr/>
              <w:t>Acquisitions</w:t>
            </w:r>
          </w:p>
        </w:tc>
        <w:tc>
          <w:tcPr>
            <w:tcW w:w="26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14,221</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203" w:type="dxa"/>
            <w:tcBorders/>
            <w:shd w:fill="CCEEFF" w:val="clear"/>
            <w:vAlign w:val="bottom"/>
          </w:tcPr>
          <w:p>
            <w:pPr>
              <w:pStyle w:val="TableContents"/>
              <w:spacing w:before="0" w:after="283"/>
              <w:jc w:val="right"/>
              <w:rPr/>
            </w:pPr>
            <w:r>
              <w:rPr/>
              <w:t>14,221</w:t>
            </w:r>
          </w:p>
        </w:tc>
        <w:tc>
          <w:tcPr>
            <w:tcW w:w="106" w:type="dxa"/>
            <w:tcBorders/>
            <w:shd w:fill="CCEEFF" w:val="clear"/>
            <w:vAlign w:val="bottom"/>
          </w:tcPr>
          <w:p>
            <w:pPr>
              <w:pStyle w:val="TableContents"/>
              <w:spacing w:before="0" w:after="283"/>
              <w:rPr/>
            </w:pPr>
            <w:r>
              <w:rPr/>
              <w:t> </w:t>
            </w:r>
          </w:p>
        </w:tc>
      </w:tr>
      <w:tr>
        <w:trPr/>
        <w:tc>
          <w:tcPr>
            <w:tcW w:w="3247" w:type="dxa"/>
            <w:tcBorders/>
            <w:shd w:fill="auto" w:val="clear"/>
            <w:vAlign w:val="bottom"/>
          </w:tcPr>
          <w:p>
            <w:pPr>
              <w:pStyle w:val="TableContents"/>
              <w:spacing w:before="0" w:after="0"/>
              <w:ind w:left="450" w:right="0" w:hanging="225"/>
              <w:rPr/>
            </w:pPr>
            <w:r>
              <w:rPr/>
              <w:t>Effect of foreign currency translation changes</w:t>
            </w:r>
          </w:p>
        </w:tc>
        <w:tc>
          <w:tcPr>
            <w:tcW w:w="26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437</w:t>
            </w:r>
          </w:p>
        </w:tc>
        <w:tc>
          <w:tcPr>
            <w:tcW w:w="9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437</w:t>
            </w:r>
          </w:p>
        </w:tc>
        <w:tc>
          <w:tcPr>
            <w:tcW w:w="106" w:type="dxa"/>
            <w:tcBorders/>
            <w:shd w:fill="auto" w:val="clear"/>
            <w:vAlign w:val="bottom"/>
          </w:tcPr>
          <w:p>
            <w:pPr>
              <w:pStyle w:val="TableContents"/>
              <w:spacing w:before="0" w:after="283"/>
              <w:rPr/>
            </w:pPr>
            <w:r>
              <w:rPr/>
              <w:t> </w:t>
            </w:r>
          </w:p>
        </w:tc>
      </w:tr>
      <w:tr>
        <w:trPr/>
        <w:tc>
          <w:tcPr>
            <w:tcW w:w="3247"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3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3247" w:type="dxa"/>
            <w:tcBorders/>
            <w:shd w:fill="CCEEFF" w:val="clear"/>
            <w:vAlign w:val="bottom"/>
          </w:tcPr>
          <w:p>
            <w:pPr>
              <w:pStyle w:val="TableContents"/>
              <w:spacing w:before="0" w:after="0"/>
              <w:ind w:left="225" w:right="0" w:hanging="225"/>
              <w:rPr/>
            </w:pPr>
            <w:r>
              <w:rPr/>
              <w:t>Balance at June 30, 2010</w:t>
            </w:r>
          </w:p>
        </w:tc>
        <w:tc>
          <w:tcPr>
            <w:tcW w:w="26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39" w:type="dxa"/>
            <w:tcBorders/>
            <w:shd w:fill="CCEEFF" w:val="clear"/>
            <w:vAlign w:val="bottom"/>
          </w:tcPr>
          <w:p>
            <w:pPr>
              <w:pStyle w:val="TableContents"/>
              <w:spacing w:before="0" w:after="283"/>
              <w:jc w:val="right"/>
              <w:rPr/>
            </w:pPr>
            <w:r>
              <w:rPr/>
              <w:t>108,606</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left"/>
              <w:rPr/>
            </w:pPr>
            <w:r>
              <w:rPr/>
              <w:t>$</w:t>
            </w:r>
          </w:p>
        </w:tc>
        <w:tc>
          <w:tcPr>
            <w:tcW w:w="1198" w:type="dxa"/>
            <w:tcBorders/>
            <w:shd w:fill="CCEEFF" w:val="clear"/>
            <w:vAlign w:val="bottom"/>
          </w:tcPr>
          <w:p>
            <w:pPr>
              <w:pStyle w:val="TableContents"/>
              <w:spacing w:before="0" w:after="283"/>
              <w:jc w:val="right"/>
              <w:rPr/>
            </w:pPr>
            <w:r>
              <w:rPr/>
              <w:t>6,964</w:t>
            </w:r>
          </w:p>
        </w:tc>
        <w:tc>
          <w:tcPr>
            <w:tcW w:w="97"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505"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203" w:type="dxa"/>
            <w:tcBorders/>
            <w:shd w:fill="CCEEFF" w:val="clear"/>
            <w:vAlign w:val="bottom"/>
          </w:tcPr>
          <w:p>
            <w:pPr>
              <w:pStyle w:val="TableContents"/>
              <w:spacing w:before="0" w:after="283"/>
              <w:jc w:val="right"/>
              <w:rPr/>
            </w:pPr>
            <w:r>
              <w:rPr/>
              <w:t>115,570</w:t>
            </w:r>
          </w:p>
        </w:tc>
        <w:tc>
          <w:tcPr>
            <w:tcW w:w="106" w:type="dxa"/>
            <w:tcBorders/>
            <w:shd w:fill="CCEEFF" w:val="clear"/>
            <w:vAlign w:val="bottom"/>
          </w:tcPr>
          <w:p>
            <w:pPr>
              <w:pStyle w:val="TableContents"/>
              <w:spacing w:before="0" w:after="283"/>
              <w:rPr/>
            </w:pPr>
            <w:r>
              <w:rPr/>
              <w:t> </w:t>
            </w:r>
          </w:p>
        </w:tc>
      </w:tr>
      <w:tr>
        <w:trPr/>
        <w:tc>
          <w:tcPr>
            <w:tcW w:w="3247" w:type="dxa"/>
            <w:tcBorders/>
            <w:shd w:fill="auto" w:val="clear"/>
            <w:vAlign w:val="center"/>
          </w:tcPr>
          <w:p>
            <w:pPr>
              <w:pStyle w:val="TableContents"/>
              <w:spacing w:before="0" w:after="0"/>
              <w:ind w:left="225" w:right="0" w:hanging="225"/>
              <w:rPr/>
            </w:pPr>
            <w:r>
              <w:rPr/>
              <w:t> </w:t>
            </w:r>
          </w:p>
        </w:tc>
        <w:tc>
          <w:tcPr>
            <w:tcW w:w="264" w:type="dxa"/>
            <w:tcBorders/>
            <w:shd w:fill="auto" w:val="clear"/>
            <w:vAlign w:val="center"/>
          </w:tcPr>
          <w:p>
            <w:pPr>
              <w:pStyle w:val="TableContents"/>
              <w:spacing w:before="0" w:after="283"/>
              <w:rPr/>
            </w:pPr>
            <w:r>
              <w:rPr/>
              <w:t> </w:t>
            </w:r>
          </w:p>
        </w:tc>
        <w:tc>
          <w:tcPr>
            <w:tcW w:w="12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3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4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gross carrying amount and accumulated amortization for each major class of definite-lived intangible asset at the specified dates (in thousands): </w:t>
      </w:r>
    </w:p>
    <w:tbl>
      <w:tblPr>
        <w:tblW w:w="5000" w:type="pct"/>
        <w:jc w:val="center"/>
        <w:tblInd w:w="0" w:type="dxa"/>
        <w:tblCellMar>
          <w:top w:w="0" w:type="dxa"/>
          <w:left w:w="0" w:type="dxa"/>
          <w:bottom w:w="0" w:type="dxa"/>
          <w:right w:w="0" w:type="dxa"/>
        </w:tblCellMar>
      </w:tblPr>
      <w:tblGrid>
        <w:gridCol w:w="1758"/>
        <w:gridCol w:w="197"/>
        <w:gridCol w:w="179"/>
        <w:gridCol w:w="746"/>
        <w:gridCol w:w="81"/>
        <w:gridCol w:w="197"/>
        <w:gridCol w:w="231"/>
        <w:gridCol w:w="1062"/>
        <w:gridCol w:w="112"/>
        <w:gridCol w:w="197"/>
        <w:gridCol w:w="179"/>
        <w:gridCol w:w="746"/>
        <w:gridCol w:w="81"/>
        <w:gridCol w:w="197"/>
        <w:gridCol w:w="231"/>
        <w:gridCol w:w="1062"/>
        <w:gridCol w:w="112"/>
        <w:gridCol w:w="197"/>
        <w:gridCol w:w="178"/>
        <w:gridCol w:w="747"/>
        <w:gridCol w:w="91"/>
        <w:gridCol w:w="207"/>
        <w:gridCol w:w="229"/>
        <w:gridCol w:w="1063"/>
        <w:gridCol w:w="125"/>
      </w:tblGrid>
      <w:tr>
        <w:trPr/>
        <w:tc>
          <w:tcPr>
            <w:tcW w:w="175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r>
      <w:tr>
        <w:trPr/>
        <w:tc>
          <w:tcPr>
            <w:tcW w:w="175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496"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 2011</w:t>
            </w:r>
          </w:p>
        </w:tc>
        <w:tc>
          <w:tcPr>
            <w:tcW w:w="11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496"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 2010</w:t>
            </w:r>
          </w:p>
        </w:tc>
        <w:tc>
          <w:tcPr>
            <w:tcW w:w="11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515"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125" w:type="dxa"/>
            <w:tcBorders/>
            <w:shd w:fill="auto" w:val="clear"/>
            <w:vAlign w:val="bottom"/>
          </w:tcPr>
          <w:p>
            <w:pPr>
              <w:pStyle w:val="TableContents"/>
              <w:spacing w:before="0" w:after="283"/>
              <w:rPr/>
            </w:pPr>
            <w:r>
              <w:rPr/>
              <w:t> </w:t>
            </w:r>
          </w:p>
        </w:tc>
      </w:tr>
      <w:tr>
        <w:trPr/>
        <w:tc>
          <w:tcPr>
            <w:tcW w:w="175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jc w:val="center"/>
              <w:rPr/>
            </w:pPr>
            <w:r>
              <w:rPr/>
              <w:t>Carrying</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jc w:val="center"/>
              <w:rPr/>
            </w:pPr>
            <w:r>
              <w:rPr/>
              <w:t>Accumulated</w:t>
            </w:r>
          </w:p>
        </w:tc>
        <w:tc>
          <w:tcPr>
            <w:tcW w:w="11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jc w:val="center"/>
              <w:rPr/>
            </w:pPr>
            <w:r>
              <w:rPr/>
              <w:t>Carrying</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jc w:val="center"/>
              <w:rPr/>
            </w:pPr>
            <w:r>
              <w:rPr/>
              <w:t>Accumulated</w:t>
            </w:r>
          </w:p>
        </w:tc>
        <w:tc>
          <w:tcPr>
            <w:tcW w:w="11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jc w:val="center"/>
              <w:rPr/>
            </w:pPr>
            <w:r>
              <w:rPr/>
              <w:t>Carrying</w:t>
            </w:r>
          </w:p>
        </w:tc>
        <w:tc>
          <w:tcPr>
            <w:tcW w:w="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jc w:val="center"/>
              <w:rPr/>
            </w:pPr>
            <w:r>
              <w:rPr/>
              <w:t>Accumulated</w:t>
            </w:r>
          </w:p>
        </w:tc>
        <w:tc>
          <w:tcPr>
            <w:tcW w:w="125" w:type="dxa"/>
            <w:tcBorders/>
            <w:shd w:fill="auto" w:val="clear"/>
            <w:vAlign w:val="bottom"/>
          </w:tcPr>
          <w:p>
            <w:pPr>
              <w:pStyle w:val="TableContents"/>
              <w:spacing w:before="0" w:after="283"/>
              <w:rPr/>
            </w:pPr>
            <w:r>
              <w:rPr/>
              <w:t> </w:t>
            </w:r>
          </w:p>
        </w:tc>
      </w:tr>
      <w:tr>
        <w:trPr/>
        <w:tc>
          <w:tcPr>
            <w:tcW w:w="175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25"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3"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1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25"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93"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1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25"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2"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25" w:type="dxa"/>
            <w:tcBorders/>
            <w:shd w:fill="auto" w:val="clear"/>
            <w:vAlign w:val="bottom"/>
          </w:tcPr>
          <w:p>
            <w:pPr>
              <w:pStyle w:val="TableContents"/>
              <w:spacing w:before="0" w:after="283"/>
              <w:rPr/>
            </w:pPr>
            <w:r>
              <w:rPr/>
              <w:t> </w:t>
            </w:r>
          </w:p>
        </w:tc>
      </w:tr>
      <w:tr>
        <w:trPr/>
        <w:tc>
          <w:tcPr>
            <w:tcW w:w="1758" w:type="dxa"/>
            <w:tcBorders/>
            <w:shd w:fill="CCEEFF" w:val="clear"/>
            <w:vAlign w:val="bottom"/>
          </w:tcPr>
          <w:p>
            <w:pPr>
              <w:pStyle w:val="TableContents"/>
              <w:spacing w:before="0" w:after="0"/>
              <w:ind w:left="225" w:right="0" w:hanging="225"/>
              <w:rPr/>
            </w:pPr>
            <w:r>
              <w:rPr/>
              <w:t>License application fees</w:t>
            </w:r>
          </w:p>
        </w:tc>
        <w:tc>
          <w:tcPr>
            <w:tcW w:w="19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345</w:t>
            </w:r>
          </w:p>
        </w:tc>
        <w:tc>
          <w:tcPr>
            <w:tcW w:w="81"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2" w:type="dxa"/>
            <w:tcBorders/>
            <w:shd w:fill="CCEEFF" w:val="clear"/>
            <w:vAlign w:val="bottom"/>
          </w:tcPr>
          <w:p>
            <w:pPr>
              <w:pStyle w:val="TableContents"/>
              <w:spacing w:before="0" w:after="283"/>
              <w:jc w:val="right"/>
              <w:rPr/>
            </w:pPr>
            <w:r>
              <w:rPr/>
              <w:t>(345</w:t>
            </w:r>
          </w:p>
        </w:tc>
        <w:tc>
          <w:tcPr>
            <w:tcW w:w="112" w:type="dxa"/>
            <w:tcBorders/>
            <w:shd w:fill="CCEEFF" w:val="clear"/>
            <w:vAlign w:val="bottom"/>
          </w:tcPr>
          <w:p>
            <w:pPr>
              <w:pStyle w:val="TableContents"/>
              <w:spacing w:before="0" w:after="283"/>
              <w:rPr/>
            </w:pPr>
            <w:r>
              <w:rPr/>
              <w:t>)</w:t>
            </w:r>
          </w:p>
        </w:tc>
        <w:tc>
          <w:tcPr>
            <w:tcW w:w="19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345</w:t>
            </w:r>
          </w:p>
        </w:tc>
        <w:tc>
          <w:tcPr>
            <w:tcW w:w="81"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2" w:type="dxa"/>
            <w:tcBorders/>
            <w:shd w:fill="CCEEFF" w:val="clear"/>
            <w:vAlign w:val="bottom"/>
          </w:tcPr>
          <w:p>
            <w:pPr>
              <w:pStyle w:val="TableContents"/>
              <w:spacing w:before="0" w:after="283"/>
              <w:jc w:val="right"/>
              <w:rPr/>
            </w:pPr>
            <w:r>
              <w:rPr/>
              <w:t>(345</w:t>
            </w:r>
          </w:p>
        </w:tc>
        <w:tc>
          <w:tcPr>
            <w:tcW w:w="112" w:type="dxa"/>
            <w:tcBorders/>
            <w:shd w:fill="CCEEFF" w:val="clear"/>
            <w:vAlign w:val="bottom"/>
          </w:tcPr>
          <w:p>
            <w:pPr>
              <w:pStyle w:val="TableContents"/>
              <w:spacing w:before="0" w:after="283"/>
              <w:rPr/>
            </w:pPr>
            <w:r>
              <w:rPr/>
              <w:t>)</w:t>
            </w:r>
          </w:p>
        </w:tc>
        <w:tc>
          <w:tcPr>
            <w:tcW w:w="19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47" w:type="dxa"/>
            <w:tcBorders/>
            <w:shd w:fill="CCEEFF" w:val="clear"/>
            <w:vAlign w:val="bottom"/>
          </w:tcPr>
          <w:p>
            <w:pPr>
              <w:pStyle w:val="TableContents"/>
              <w:spacing w:before="0" w:after="283"/>
              <w:jc w:val="right"/>
              <w:rPr/>
            </w:pPr>
            <w:r>
              <w:rPr/>
              <w:t>345</w:t>
            </w:r>
          </w:p>
        </w:tc>
        <w:tc>
          <w:tcPr>
            <w:tcW w:w="9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(345</w:t>
            </w:r>
          </w:p>
        </w:tc>
        <w:tc>
          <w:tcPr>
            <w:tcW w:w="125" w:type="dxa"/>
            <w:tcBorders/>
            <w:shd w:fill="CCEEFF" w:val="clear"/>
            <w:vAlign w:val="bottom"/>
          </w:tcPr>
          <w:p>
            <w:pPr>
              <w:pStyle w:val="TableContents"/>
              <w:spacing w:before="0" w:after="283"/>
              <w:rPr/>
            </w:pPr>
            <w:r>
              <w:rPr/>
              <w:t>)</w:t>
            </w:r>
          </w:p>
        </w:tc>
      </w:tr>
      <w:tr>
        <w:trPr/>
        <w:tc>
          <w:tcPr>
            <w:tcW w:w="1758" w:type="dxa"/>
            <w:tcBorders/>
            <w:shd w:fill="auto" w:val="clear"/>
            <w:vAlign w:val="bottom"/>
          </w:tcPr>
          <w:p>
            <w:pPr>
              <w:pStyle w:val="TableContents"/>
              <w:spacing w:before="0" w:after="0"/>
              <w:ind w:left="225" w:right="0" w:hanging="225"/>
              <w:rPr/>
            </w:pPr>
            <w:r>
              <w:rPr/>
              <w:t>Real estate finders fees</w:t>
            </w:r>
          </w:p>
        </w:tc>
        <w:tc>
          <w:tcPr>
            <w:tcW w:w="19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1,147</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2" w:type="dxa"/>
            <w:tcBorders/>
            <w:shd w:fill="auto" w:val="clear"/>
            <w:vAlign w:val="bottom"/>
          </w:tcPr>
          <w:p>
            <w:pPr>
              <w:pStyle w:val="TableContents"/>
              <w:spacing w:before="0" w:after="283"/>
              <w:jc w:val="right"/>
              <w:rPr/>
            </w:pPr>
            <w:r>
              <w:rPr/>
              <w:t>(465</w:t>
            </w:r>
          </w:p>
        </w:tc>
        <w:tc>
          <w:tcPr>
            <w:tcW w:w="112" w:type="dxa"/>
            <w:tcBorders/>
            <w:shd w:fill="auto" w:val="clear"/>
            <w:vAlign w:val="bottom"/>
          </w:tcPr>
          <w:p>
            <w:pPr>
              <w:pStyle w:val="TableContents"/>
              <w:spacing w:before="0" w:after="283"/>
              <w:rPr/>
            </w:pPr>
            <w:r>
              <w:rPr/>
              <w:t>)</w:t>
            </w:r>
          </w:p>
        </w:tc>
        <w:tc>
          <w:tcPr>
            <w:tcW w:w="19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824</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2" w:type="dxa"/>
            <w:tcBorders/>
            <w:shd w:fill="auto" w:val="clear"/>
            <w:vAlign w:val="bottom"/>
          </w:tcPr>
          <w:p>
            <w:pPr>
              <w:pStyle w:val="TableContents"/>
              <w:spacing w:before="0" w:after="283"/>
              <w:jc w:val="right"/>
              <w:rPr/>
            </w:pPr>
            <w:r>
              <w:rPr/>
              <w:t>(392</w:t>
            </w:r>
          </w:p>
        </w:tc>
        <w:tc>
          <w:tcPr>
            <w:tcW w:w="112" w:type="dxa"/>
            <w:tcBorders/>
            <w:shd w:fill="auto" w:val="clear"/>
            <w:vAlign w:val="bottom"/>
          </w:tcPr>
          <w:p>
            <w:pPr>
              <w:pStyle w:val="TableContents"/>
              <w:spacing w:before="0" w:after="283"/>
              <w:rPr/>
            </w:pPr>
            <w:r>
              <w:rPr/>
              <w:t>)</w:t>
            </w:r>
          </w:p>
        </w:tc>
        <w:tc>
          <w:tcPr>
            <w:tcW w:w="19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948</w:t>
            </w:r>
          </w:p>
        </w:tc>
        <w:tc>
          <w:tcPr>
            <w:tcW w:w="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(401</w:t>
            </w:r>
          </w:p>
        </w:tc>
        <w:tc>
          <w:tcPr>
            <w:tcW w:w="125" w:type="dxa"/>
            <w:tcBorders/>
            <w:shd w:fill="auto" w:val="clear"/>
            <w:vAlign w:val="bottom"/>
          </w:tcPr>
          <w:p>
            <w:pPr>
              <w:pStyle w:val="TableContents"/>
              <w:spacing w:before="0" w:after="283"/>
              <w:rPr/>
            </w:pPr>
            <w:r>
              <w:rPr/>
              <w:t>)</w:t>
            </w:r>
          </w:p>
        </w:tc>
      </w:tr>
      <w:tr>
        <w:trPr/>
        <w:tc>
          <w:tcPr>
            <w:tcW w:w="1758" w:type="dxa"/>
            <w:tcBorders/>
            <w:shd w:fill="CCEEFF" w:val="clear"/>
            <w:vAlign w:val="bottom"/>
          </w:tcPr>
          <w:p>
            <w:pPr>
              <w:pStyle w:val="TableContents"/>
              <w:spacing w:before="0" w:after="0"/>
              <w:ind w:left="225" w:right="0" w:hanging="225"/>
              <w:rPr/>
            </w:pPr>
            <w:r>
              <w:rPr/>
              <w:t>Non-compete agreements</w:t>
            </w:r>
          </w:p>
        </w:tc>
        <w:tc>
          <w:tcPr>
            <w:tcW w:w="19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3,837</w:t>
            </w:r>
          </w:p>
        </w:tc>
        <w:tc>
          <w:tcPr>
            <w:tcW w:w="81"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(2,472</w:t>
            </w:r>
          </w:p>
        </w:tc>
        <w:tc>
          <w:tcPr>
            <w:tcW w:w="112" w:type="dxa"/>
            <w:tcBorders/>
            <w:shd w:fill="CCEEFF" w:val="clear"/>
            <w:vAlign w:val="bottom"/>
          </w:tcPr>
          <w:p>
            <w:pPr>
              <w:pStyle w:val="TableContents"/>
              <w:spacing w:before="0" w:after="283"/>
              <w:rPr/>
            </w:pPr>
            <w:r>
              <w:rPr/>
              <w:t>)</w:t>
            </w:r>
          </w:p>
        </w:tc>
        <w:tc>
          <w:tcPr>
            <w:tcW w:w="19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3,019</w:t>
            </w:r>
          </w:p>
        </w:tc>
        <w:tc>
          <w:tcPr>
            <w:tcW w:w="81"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(1,639</w:t>
            </w:r>
          </w:p>
        </w:tc>
        <w:tc>
          <w:tcPr>
            <w:tcW w:w="112" w:type="dxa"/>
            <w:tcBorders/>
            <w:shd w:fill="CCEEFF" w:val="clear"/>
            <w:vAlign w:val="bottom"/>
          </w:tcPr>
          <w:p>
            <w:pPr>
              <w:pStyle w:val="TableContents"/>
              <w:spacing w:before="0" w:after="283"/>
              <w:rPr/>
            </w:pPr>
            <w:r>
              <w:rPr/>
              <w:t>)</w:t>
            </w:r>
          </w:p>
        </w:tc>
        <w:tc>
          <w:tcPr>
            <w:tcW w:w="19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3,081</w:t>
            </w:r>
          </w:p>
        </w:tc>
        <w:tc>
          <w:tcPr>
            <w:tcW w:w="9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(1,834</w:t>
            </w:r>
          </w:p>
        </w:tc>
        <w:tc>
          <w:tcPr>
            <w:tcW w:w="125" w:type="dxa"/>
            <w:tcBorders/>
            <w:shd w:fill="CCEEFF" w:val="clear"/>
            <w:vAlign w:val="bottom"/>
          </w:tcPr>
          <w:p>
            <w:pPr>
              <w:pStyle w:val="TableContents"/>
              <w:spacing w:before="0" w:after="283"/>
              <w:rPr/>
            </w:pPr>
            <w:r>
              <w:rPr/>
              <w:t>)</w:t>
            </w:r>
          </w:p>
        </w:tc>
      </w:tr>
      <w:tr>
        <w:trPr/>
        <w:tc>
          <w:tcPr>
            <w:tcW w:w="1758" w:type="dxa"/>
            <w:tcBorders/>
            <w:shd w:fill="auto" w:val="clear"/>
            <w:vAlign w:val="bottom"/>
          </w:tcPr>
          <w:p>
            <w:pPr>
              <w:pStyle w:val="TableContents"/>
              <w:spacing w:before="0" w:after="0"/>
              <w:ind w:left="225" w:right="0" w:hanging="225"/>
              <w:rPr/>
            </w:pPr>
            <w:r>
              <w:rPr/>
              <w:t>Favorable lease</w:t>
            </w:r>
          </w:p>
        </w:tc>
        <w:tc>
          <w:tcPr>
            <w:tcW w:w="19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755</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2" w:type="dxa"/>
            <w:tcBorders/>
            <w:shd w:fill="auto" w:val="clear"/>
            <w:vAlign w:val="bottom"/>
          </w:tcPr>
          <w:p>
            <w:pPr>
              <w:pStyle w:val="TableContents"/>
              <w:spacing w:before="0" w:after="283"/>
              <w:jc w:val="right"/>
              <w:rPr/>
            </w:pPr>
            <w:r>
              <w:rPr/>
              <w:t>(289</w:t>
            </w:r>
          </w:p>
        </w:tc>
        <w:tc>
          <w:tcPr>
            <w:tcW w:w="112" w:type="dxa"/>
            <w:tcBorders/>
            <w:shd w:fill="auto" w:val="clear"/>
            <w:vAlign w:val="bottom"/>
          </w:tcPr>
          <w:p>
            <w:pPr>
              <w:pStyle w:val="TableContents"/>
              <w:spacing w:before="0" w:after="283"/>
              <w:rPr/>
            </w:pPr>
            <w:r>
              <w:rPr/>
              <w:t>)</w:t>
            </w:r>
          </w:p>
        </w:tc>
        <w:tc>
          <w:tcPr>
            <w:tcW w:w="19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644</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2" w:type="dxa"/>
            <w:tcBorders/>
            <w:shd w:fill="auto" w:val="clear"/>
            <w:vAlign w:val="bottom"/>
          </w:tcPr>
          <w:p>
            <w:pPr>
              <w:pStyle w:val="TableContents"/>
              <w:spacing w:before="0" w:after="283"/>
              <w:jc w:val="right"/>
              <w:rPr/>
            </w:pPr>
            <w:r>
              <w:rPr/>
              <w:t>(189</w:t>
            </w:r>
          </w:p>
        </w:tc>
        <w:tc>
          <w:tcPr>
            <w:tcW w:w="112" w:type="dxa"/>
            <w:tcBorders/>
            <w:shd w:fill="auto" w:val="clear"/>
            <w:vAlign w:val="bottom"/>
          </w:tcPr>
          <w:p>
            <w:pPr>
              <w:pStyle w:val="TableContents"/>
              <w:spacing w:before="0" w:after="283"/>
              <w:rPr/>
            </w:pPr>
            <w:r>
              <w:rPr/>
              <w:t>)</w:t>
            </w:r>
          </w:p>
        </w:tc>
        <w:tc>
          <w:tcPr>
            <w:tcW w:w="19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644</w:t>
            </w:r>
          </w:p>
        </w:tc>
        <w:tc>
          <w:tcPr>
            <w:tcW w:w="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(219</w:t>
            </w:r>
          </w:p>
        </w:tc>
        <w:tc>
          <w:tcPr>
            <w:tcW w:w="125" w:type="dxa"/>
            <w:tcBorders/>
            <w:shd w:fill="auto" w:val="clear"/>
            <w:vAlign w:val="bottom"/>
          </w:tcPr>
          <w:p>
            <w:pPr>
              <w:pStyle w:val="TableContents"/>
              <w:spacing w:before="0" w:after="283"/>
              <w:rPr/>
            </w:pPr>
            <w:r>
              <w:rPr/>
              <w:t>)</w:t>
            </w:r>
          </w:p>
        </w:tc>
      </w:tr>
      <w:tr>
        <w:trPr/>
        <w:tc>
          <w:tcPr>
            <w:tcW w:w="1758" w:type="dxa"/>
            <w:tcBorders/>
            <w:shd w:fill="CCEEFF" w:val="clear"/>
            <w:vAlign w:val="bottom"/>
          </w:tcPr>
          <w:p>
            <w:pPr>
              <w:pStyle w:val="TableContents"/>
              <w:spacing w:before="0" w:after="0"/>
              <w:ind w:left="225" w:right="0" w:hanging="225"/>
              <w:rPr/>
            </w:pPr>
            <w:r>
              <w:rPr/>
              <w:t>Franchise Rights</w:t>
            </w:r>
          </w:p>
        </w:tc>
        <w:tc>
          <w:tcPr>
            <w:tcW w:w="19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1,636</w:t>
            </w:r>
          </w:p>
        </w:tc>
        <w:tc>
          <w:tcPr>
            <w:tcW w:w="81"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(17</w:t>
            </w:r>
          </w:p>
        </w:tc>
        <w:tc>
          <w:tcPr>
            <w:tcW w:w="112" w:type="dxa"/>
            <w:tcBorders/>
            <w:shd w:fill="CCEEFF" w:val="clear"/>
            <w:vAlign w:val="bottom"/>
          </w:tcPr>
          <w:p>
            <w:pPr>
              <w:pStyle w:val="TableContents"/>
              <w:spacing w:before="0" w:after="283"/>
              <w:rPr/>
            </w:pPr>
            <w:r>
              <w:rPr/>
              <w:t>)</w:t>
            </w:r>
          </w:p>
        </w:tc>
        <w:tc>
          <w:tcPr>
            <w:tcW w:w="19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w:t>
            </w:r>
          </w:p>
        </w:tc>
        <w:tc>
          <w:tcPr>
            <w:tcW w:w="125" w:type="dxa"/>
            <w:tcBorders/>
            <w:shd w:fill="CCEEFF" w:val="clear"/>
            <w:vAlign w:val="bottom"/>
          </w:tcPr>
          <w:p>
            <w:pPr>
              <w:pStyle w:val="TableContents"/>
              <w:spacing w:before="0" w:after="283"/>
              <w:rPr/>
            </w:pPr>
            <w:r>
              <w:rPr/>
              <w:t> </w:t>
            </w:r>
          </w:p>
        </w:tc>
      </w:tr>
      <w:tr>
        <w:trPr/>
        <w:tc>
          <w:tcPr>
            <w:tcW w:w="1758" w:type="dxa"/>
            <w:tcBorders/>
            <w:shd w:fill="auto" w:val="clear"/>
            <w:vAlign w:val="bottom"/>
          </w:tcPr>
          <w:p>
            <w:pPr>
              <w:pStyle w:val="TableContents"/>
              <w:spacing w:before="0" w:after="0"/>
              <w:ind w:left="225" w:right="0" w:hanging="225"/>
              <w:rPr/>
            </w:pPr>
            <w:r>
              <w:rPr/>
              <w:t>Other</w:t>
            </w:r>
          </w:p>
        </w:tc>
        <w:tc>
          <w:tcPr>
            <w:tcW w:w="19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66</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2" w:type="dxa"/>
            <w:tcBorders/>
            <w:shd w:fill="auto" w:val="clear"/>
            <w:vAlign w:val="bottom"/>
          </w:tcPr>
          <w:p>
            <w:pPr>
              <w:pStyle w:val="TableContents"/>
              <w:spacing w:before="0" w:after="283"/>
              <w:jc w:val="right"/>
              <w:rPr/>
            </w:pPr>
            <w:r>
              <w:rPr/>
              <w:t>(11</w:t>
            </w:r>
          </w:p>
        </w:tc>
        <w:tc>
          <w:tcPr>
            <w:tcW w:w="112" w:type="dxa"/>
            <w:tcBorders/>
            <w:shd w:fill="auto" w:val="clear"/>
            <w:vAlign w:val="bottom"/>
          </w:tcPr>
          <w:p>
            <w:pPr>
              <w:pStyle w:val="TableContents"/>
              <w:spacing w:before="0" w:after="283"/>
              <w:rPr/>
            </w:pPr>
            <w:r>
              <w:rPr/>
              <w:t>)</w:t>
            </w:r>
          </w:p>
        </w:tc>
        <w:tc>
          <w:tcPr>
            <w:tcW w:w="19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53</w:t>
            </w:r>
          </w:p>
        </w:tc>
        <w:tc>
          <w:tcPr>
            <w:tcW w:w="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2" w:type="dxa"/>
            <w:tcBorders/>
            <w:shd w:fill="auto" w:val="clear"/>
            <w:vAlign w:val="bottom"/>
          </w:tcPr>
          <w:p>
            <w:pPr>
              <w:pStyle w:val="TableContents"/>
              <w:spacing w:before="0" w:after="283"/>
              <w:jc w:val="right"/>
              <w:rPr/>
            </w:pPr>
            <w:r>
              <w:rPr/>
              <w:t>(4</w:t>
            </w:r>
          </w:p>
        </w:tc>
        <w:tc>
          <w:tcPr>
            <w:tcW w:w="112" w:type="dxa"/>
            <w:tcBorders/>
            <w:shd w:fill="auto" w:val="clear"/>
            <w:vAlign w:val="bottom"/>
          </w:tcPr>
          <w:p>
            <w:pPr>
              <w:pStyle w:val="TableContents"/>
              <w:spacing w:before="0" w:after="283"/>
              <w:rPr/>
            </w:pPr>
            <w:r>
              <w:rPr/>
              <w:t>)</w:t>
            </w:r>
          </w:p>
        </w:tc>
        <w:tc>
          <w:tcPr>
            <w:tcW w:w="19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48</w:t>
            </w:r>
          </w:p>
        </w:tc>
        <w:tc>
          <w:tcPr>
            <w:tcW w:w="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(6</w:t>
            </w:r>
          </w:p>
        </w:tc>
        <w:tc>
          <w:tcPr>
            <w:tcW w:w="125" w:type="dxa"/>
            <w:tcBorders/>
            <w:shd w:fill="auto" w:val="clear"/>
            <w:vAlign w:val="bottom"/>
          </w:tcPr>
          <w:p>
            <w:pPr>
              <w:pStyle w:val="TableContents"/>
              <w:spacing w:before="0" w:after="283"/>
              <w:rPr/>
            </w:pPr>
            <w:r>
              <w:rPr/>
              <w:t>)</w:t>
            </w:r>
          </w:p>
        </w:tc>
      </w:tr>
      <w:tr>
        <w:trPr/>
        <w:tc>
          <w:tcPr>
            <w:tcW w:w="1758" w:type="dxa"/>
            <w:tcBorders/>
            <w:shd w:fill="auto" w:val="clear"/>
            <w:vAlign w:val="center"/>
          </w:tcPr>
          <w:p>
            <w:pPr>
              <w:pStyle w:val="TableContents"/>
              <w:spacing w:before="0" w:after="0"/>
              <w:ind w:left="225" w:right="0" w:hanging="225"/>
              <w:rPr/>
            </w:pPr>
            <w:r>
              <w:rPr/>
              <w:t> </w:t>
            </w:r>
          </w:p>
        </w:tc>
        <w:tc>
          <w:tcPr>
            <w:tcW w:w="197"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12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r>
        <w:trPr/>
        <w:tc>
          <w:tcPr>
            <w:tcW w:w="1758" w:type="dxa"/>
            <w:tcBorders/>
            <w:shd w:fill="CCEEFF" w:val="clear"/>
            <w:vAlign w:val="bottom"/>
          </w:tcPr>
          <w:p>
            <w:pPr>
              <w:pStyle w:val="TableContents"/>
              <w:spacing w:before="0" w:after="0"/>
              <w:ind w:left="225" w:right="0" w:hanging="225"/>
              <w:rPr/>
            </w:pPr>
            <w:r>
              <w:rPr/>
              <w:t>Total</w:t>
            </w:r>
          </w:p>
        </w:tc>
        <w:tc>
          <w:tcPr>
            <w:tcW w:w="19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7,786</w:t>
            </w:r>
          </w:p>
        </w:tc>
        <w:tc>
          <w:tcPr>
            <w:tcW w:w="81"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2" w:type="dxa"/>
            <w:tcBorders/>
            <w:shd w:fill="CCEEFF" w:val="clear"/>
            <w:vAlign w:val="bottom"/>
          </w:tcPr>
          <w:p>
            <w:pPr>
              <w:pStyle w:val="TableContents"/>
              <w:spacing w:before="0" w:after="283"/>
              <w:jc w:val="right"/>
              <w:rPr/>
            </w:pPr>
            <w:r>
              <w:rPr/>
              <w:t>(3,599</w:t>
            </w:r>
          </w:p>
        </w:tc>
        <w:tc>
          <w:tcPr>
            <w:tcW w:w="112" w:type="dxa"/>
            <w:tcBorders/>
            <w:shd w:fill="CCEEFF" w:val="clear"/>
            <w:vAlign w:val="bottom"/>
          </w:tcPr>
          <w:p>
            <w:pPr>
              <w:pStyle w:val="TableContents"/>
              <w:spacing w:before="0" w:after="283"/>
              <w:rPr/>
            </w:pPr>
            <w:r>
              <w:rPr/>
              <w:t>)</w:t>
            </w:r>
          </w:p>
        </w:tc>
        <w:tc>
          <w:tcPr>
            <w:tcW w:w="19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4,885</w:t>
            </w:r>
          </w:p>
        </w:tc>
        <w:tc>
          <w:tcPr>
            <w:tcW w:w="81"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2" w:type="dxa"/>
            <w:tcBorders/>
            <w:shd w:fill="CCEEFF" w:val="clear"/>
            <w:vAlign w:val="bottom"/>
          </w:tcPr>
          <w:p>
            <w:pPr>
              <w:pStyle w:val="TableContents"/>
              <w:spacing w:before="0" w:after="283"/>
              <w:jc w:val="right"/>
              <w:rPr/>
            </w:pPr>
            <w:r>
              <w:rPr/>
              <w:t>(2,569</w:t>
            </w:r>
          </w:p>
        </w:tc>
        <w:tc>
          <w:tcPr>
            <w:tcW w:w="112" w:type="dxa"/>
            <w:tcBorders/>
            <w:shd w:fill="CCEEFF" w:val="clear"/>
            <w:vAlign w:val="bottom"/>
          </w:tcPr>
          <w:p>
            <w:pPr>
              <w:pStyle w:val="TableContents"/>
              <w:spacing w:before="0" w:after="283"/>
              <w:rPr/>
            </w:pPr>
            <w:r>
              <w:rPr/>
              <w:t>)</w:t>
            </w:r>
          </w:p>
        </w:tc>
        <w:tc>
          <w:tcPr>
            <w:tcW w:w="19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47" w:type="dxa"/>
            <w:tcBorders/>
            <w:shd w:fill="CCEEFF" w:val="clear"/>
            <w:vAlign w:val="bottom"/>
          </w:tcPr>
          <w:p>
            <w:pPr>
              <w:pStyle w:val="TableContents"/>
              <w:spacing w:before="0" w:after="283"/>
              <w:jc w:val="right"/>
              <w:rPr/>
            </w:pPr>
            <w:r>
              <w:rPr/>
              <w:t>5,066</w:t>
            </w:r>
          </w:p>
        </w:tc>
        <w:tc>
          <w:tcPr>
            <w:tcW w:w="9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(2,805</w:t>
            </w:r>
          </w:p>
        </w:tc>
        <w:tc>
          <w:tcPr>
            <w:tcW w:w="125" w:type="dxa"/>
            <w:tcBorders/>
            <w:shd w:fill="CCEEFF" w:val="clear"/>
            <w:vAlign w:val="bottom"/>
          </w:tcPr>
          <w:p>
            <w:pPr>
              <w:pStyle w:val="TableContents"/>
              <w:spacing w:before="0" w:after="283"/>
              <w:rPr/>
            </w:pPr>
            <w:r>
              <w:rPr/>
              <w:t>)</w:t>
            </w:r>
          </w:p>
        </w:tc>
      </w:tr>
      <w:tr>
        <w:trPr/>
        <w:tc>
          <w:tcPr>
            <w:tcW w:w="1758" w:type="dxa"/>
            <w:tcBorders/>
            <w:shd w:fill="auto" w:val="clear"/>
            <w:vAlign w:val="center"/>
          </w:tcPr>
          <w:p>
            <w:pPr>
              <w:pStyle w:val="TableContents"/>
              <w:spacing w:before="0" w:after="0"/>
              <w:ind w:left="225" w:right="0" w:hanging="225"/>
              <w:rPr/>
            </w:pPr>
            <w:r>
              <w:rPr/>
              <w:t> </w:t>
            </w:r>
          </w:p>
        </w:tc>
        <w:tc>
          <w:tcPr>
            <w:tcW w:w="197" w:type="dxa"/>
            <w:tcBorders/>
            <w:shd w:fill="auto" w:val="clear"/>
            <w:vAlign w:val="center"/>
          </w:tcPr>
          <w:p>
            <w:pPr>
              <w:pStyle w:val="TableContents"/>
              <w:spacing w:before="0" w:after="283"/>
              <w:rPr/>
            </w:pPr>
            <w:r>
              <w:rPr/>
              <w:t> </w:t>
            </w:r>
          </w:p>
        </w:tc>
        <w:tc>
          <w:tcPr>
            <w:tcW w:w="9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9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9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12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amortization of most definite lived intangible assets is recorded as amortization expense. The favorable lease asset and other intangibles are amortized to Operations expense (rent expense) over the related lease terms. The following table presents the amount and classification of amortization recognized as expense in each of the periods presented (in thousands): </w:t>
      </w:r>
    </w:p>
    <w:tbl>
      <w:tblPr>
        <w:tblW w:w="5000" w:type="pct"/>
        <w:jc w:val="center"/>
        <w:tblInd w:w="0" w:type="dxa"/>
        <w:tblCellMar>
          <w:top w:w="0" w:type="dxa"/>
          <w:left w:w="0" w:type="dxa"/>
          <w:bottom w:w="0" w:type="dxa"/>
          <w:right w:w="0" w:type="dxa"/>
        </w:tblCellMar>
      </w:tblPr>
      <w:tblGrid>
        <w:gridCol w:w="4039"/>
        <w:gridCol w:w="358"/>
        <w:gridCol w:w="246"/>
        <w:gridCol w:w="811"/>
        <w:gridCol w:w="141"/>
        <w:gridCol w:w="392"/>
        <w:gridCol w:w="246"/>
        <w:gridCol w:w="811"/>
        <w:gridCol w:w="107"/>
        <w:gridCol w:w="358"/>
        <w:gridCol w:w="238"/>
        <w:gridCol w:w="789"/>
        <w:gridCol w:w="137"/>
        <w:gridCol w:w="388"/>
        <w:gridCol w:w="238"/>
        <w:gridCol w:w="789"/>
        <w:gridCol w:w="117"/>
      </w:tblGrid>
      <w:tr>
        <w:trPr/>
        <w:tc>
          <w:tcPr>
            <w:tcW w:w="403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03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647" w:type="dxa"/>
            <w:gridSpan w:val="6"/>
            <w:tcBorders/>
            <w:shd w:fill="auto" w:val="clear"/>
            <w:vAlign w:val="bottom"/>
          </w:tcPr>
          <w:p>
            <w:pPr>
              <w:pStyle w:val="TableContents"/>
              <w:spacing w:before="0" w:after="283"/>
              <w:jc w:val="center"/>
              <w:rPr/>
            </w:pPr>
            <w:r>
              <w:rPr/>
              <w:t>Three Months Ended</w:t>
            </w:r>
          </w:p>
        </w:tc>
        <w:tc>
          <w:tcPr>
            <w:tcW w:w="10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579" w:type="dxa"/>
            <w:gridSpan w:val="6"/>
            <w:tcBorders/>
            <w:shd w:fill="auto" w:val="clear"/>
            <w:vAlign w:val="bottom"/>
          </w:tcPr>
          <w:p>
            <w:pPr>
              <w:pStyle w:val="TableContents"/>
              <w:spacing w:before="0" w:after="283"/>
              <w:jc w:val="center"/>
              <w:rPr/>
            </w:pPr>
            <w:r>
              <w:rPr/>
              <w:t>Nine Months Ended</w:t>
            </w:r>
          </w:p>
        </w:tc>
        <w:tc>
          <w:tcPr>
            <w:tcW w:w="117" w:type="dxa"/>
            <w:tcBorders/>
            <w:shd w:fill="auto" w:val="clear"/>
            <w:vAlign w:val="bottom"/>
          </w:tcPr>
          <w:p>
            <w:pPr>
              <w:pStyle w:val="TableContents"/>
              <w:spacing w:before="0" w:after="283"/>
              <w:rPr/>
            </w:pPr>
            <w:r>
              <w:rPr/>
              <w:t> </w:t>
            </w:r>
          </w:p>
        </w:tc>
      </w:tr>
      <w:tr>
        <w:trPr/>
        <w:tc>
          <w:tcPr>
            <w:tcW w:w="403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647"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0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579"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17" w:type="dxa"/>
            <w:tcBorders/>
            <w:shd w:fill="auto" w:val="clear"/>
            <w:vAlign w:val="bottom"/>
          </w:tcPr>
          <w:p>
            <w:pPr>
              <w:pStyle w:val="TableContents"/>
              <w:spacing w:before="0" w:after="283"/>
              <w:rPr/>
            </w:pPr>
            <w:r>
              <w:rPr/>
              <w:t> </w:t>
            </w:r>
          </w:p>
        </w:tc>
      </w:tr>
      <w:tr>
        <w:trPr/>
        <w:tc>
          <w:tcPr>
            <w:tcW w:w="403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05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1"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05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7" w:type="dxa"/>
            <w:tcBorders/>
            <w:shd w:fill="auto" w:val="clear"/>
            <w:vAlign w:val="bottom"/>
          </w:tcPr>
          <w:p>
            <w:pPr>
              <w:pStyle w:val="TableContents"/>
              <w:spacing w:before="0" w:after="283"/>
              <w:rPr/>
            </w:pPr>
            <w:r>
              <w:rPr/>
              <w:t> </w:t>
            </w:r>
          </w:p>
        </w:tc>
      </w:tr>
      <w:tr>
        <w:trPr/>
        <w:tc>
          <w:tcPr>
            <w:tcW w:w="4039" w:type="dxa"/>
            <w:tcBorders/>
            <w:shd w:fill="CCEEFF" w:val="clear"/>
            <w:vAlign w:val="bottom"/>
          </w:tcPr>
          <w:p>
            <w:pPr>
              <w:pStyle w:val="TableContents"/>
              <w:spacing w:before="0" w:after="0"/>
              <w:ind w:left="225" w:right="0" w:hanging="225"/>
              <w:rPr/>
            </w:pPr>
            <w:r>
              <w:rPr/>
              <w:t>Amortization Expense</w:t>
            </w:r>
          </w:p>
        </w:tc>
        <w:tc>
          <w:tcPr>
            <w:tcW w:w="35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221</w:t>
            </w:r>
          </w:p>
        </w:tc>
        <w:tc>
          <w:tcPr>
            <w:tcW w:w="141"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151</w:t>
            </w:r>
          </w:p>
        </w:tc>
        <w:tc>
          <w:tcPr>
            <w:tcW w:w="10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789" w:type="dxa"/>
            <w:tcBorders/>
            <w:shd w:fill="CCEEFF" w:val="clear"/>
            <w:vAlign w:val="bottom"/>
          </w:tcPr>
          <w:p>
            <w:pPr>
              <w:pStyle w:val="TableContents"/>
              <w:spacing w:before="0" w:after="283"/>
              <w:jc w:val="right"/>
              <w:rPr/>
            </w:pPr>
            <w:r>
              <w:rPr/>
              <w:t>654</w:t>
            </w:r>
          </w:p>
        </w:tc>
        <w:tc>
          <w:tcPr>
            <w:tcW w:w="137"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789" w:type="dxa"/>
            <w:tcBorders/>
            <w:shd w:fill="CCEEFF" w:val="clear"/>
            <w:vAlign w:val="bottom"/>
          </w:tcPr>
          <w:p>
            <w:pPr>
              <w:pStyle w:val="TableContents"/>
              <w:spacing w:before="0" w:after="283"/>
              <w:jc w:val="right"/>
              <w:rPr/>
            </w:pPr>
            <w:r>
              <w:rPr/>
              <w:t>433</w:t>
            </w:r>
          </w:p>
        </w:tc>
        <w:tc>
          <w:tcPr>
            <w:tcW w:w="117" w:type="dxa"/>
            <w:tcBorders/>
            <w:shd w:fill="CCEEFF" w:val="clear"/>
            <w:vAlign w:val="bottom"/>
          </w:tcPr>
          <w:p>
            <w:pPr>
              <w:pStyle w:val="TableContents"/>
              <w:spacing w:before="0" w:after="283"/>
              <w:rPr/>
            </w:pPr>
            <w:r>
              <w:rPr/>
              <w:t> </w:t>
            </w:r>
          </w:p>
        </w:tc>
      </w:tr>
      <w:tr>
        <w:trPr/>
        <w:tc>
          <w:tcPr>
            <w:tcW w:w="4039" w:type="dxa"/>
            <w:tcBorders/>
            <w:shd w:fill="auto" w:val="clear"/>
            <w:vAlign w:val="bottom"/>
          </w:tcPr>
          <w:p>
            <w:pPr>
              <w:pStyle w:val="TableContents"/>
              <w:spacing w:before="0" w:after="0"/>
              <w:ind w:left="225" w:right="0" w:hanging="225"/>
              <w:rPr/>
            </w:pPr>
            <w:r>
              <w:rPr/>
              <w:t>Operations Expense</w:t>
            </w:r>
          </w:p>
        </w:tc>
        <w:tc>
          <w:tcPr>
            <w:tcW w:w="35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28</w:t>
            </w:r>
          </w:p>
        </w:tc>
        <w:tc>
          <w:tcPr>
            <w:tcW w:w="141"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32</w:t>
            </w:r>
          </w:p>
        </w:tc>
        <w:tc>
          <w:tcPr>
            <w:tcW w:w="107"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pPr>
            <w:r>
              <w:rPr/>
              <w:t>76</w:t>
            </w:r>
          </w:p>
        </w:tc>
        <w:tc>
          <w:tcPr>
            <w:tcW w:w="13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pPr>
            <w:r>
              <w:rPr/>
              <w:t>98</w:t>
            </w:r>
          </w:p>
        </w:tc>
        <w:tc>
          <w:tcPr>
            <w:tcW w:w="117" w:type="dxa"/>
            <w:tcBorders/>
            <w:shd w:fill="auto" w:val="clear"/>
            <w:vAlign w:val="bottom"/>
          </w:tcPr>
          <w:p>
            <w:pPr>
              <w:pStyle w:val="TableContents"/>
              <w:spacing w:before="0" w:after="283"/>
              <w:rPr/>
            </w:pPr>
            <w:r>
              <w:rPr/>
              <w:t> </w:t>
            </w:r>
          </w:p>
        </w:tc>
      </w:tr>
      <w:tr>
        <w:trPr/>
        <w:tc>
          <w:tcPr>
            <w:tcW w:w="4039"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0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pPr>
            <w:r>
              <w:rPr/>
              <w:t> </w:t>
            </w:r>
          </w:p>
        </w:tc>
        <w:tc>
          <w:tcPr>
            <w:tcW w:w="10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039" w:type="dxa"/>
            <w:tcBorders/>
            <w:shd w:fill="CCEEFF" w:val="clear"/>
            <w:vAlign w:val="bottom"/>
          </w:tcPr>
          <w:p>
            <w:pPr>
              <w:pStyle w:val="TableContents"/>
              <w:spacing w:before="0" w:after="0"/>
              <w:ind w:left="225" w:right="0" w:hanging="225"/>
              <w:rPr/>
            </w:pPr>
            <w:r>
              <w:rPr/>
              <w:t>Total expense from the amortization of definite-lived intangible assets</w:t>
            </w:r>
          </w:p>
        </w:tc>
        <w:tc>
          <w:tcPr>
            <w:tcW w:w="35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249</w:t>
            </w:r>
          </w:p>
        </w:tc>
        <w:tc>
          <w:tcPr>
            <w:tcW w:w="141"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183</w:t>
            </w:r>
          </w:p>
        </w:tc>
        <w:tc>
          <w:tcPr>
            <w:tcW w:w="107"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789" w:type="dxa"/>
            <w:tcBorders/>
            <w:shd w:fill="CCEEFF" w:val="clear"/>
            <w:vAlign w:val="bottom"/>
          </w:tcPr>
          <w:p>
            <w:pPr>
              <w:pStyle w:val="TableContents"/>
              <w:spacing w:before="0" w:after="283"/>
              <w:jc w:val="right"/>
              <w:rPr/>
            </w:pPr>
            <w:r>
              <w:rPr/>
              <w:t>730</w:t>
            </w:r>
          </w:p>
        </w:tc>
        <w:tc>
          <w:tcPr>
            <w:tcW w:w="137"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789" w:type="dxa"/>
            <w:tcBorders/>
            <w:shd w:fill="CCEEFF" w:val="clear"/>
            <w:vAlign w:val="bottom"/>
          </w:tcPr>
          <w:p>
            <w:pPr>
              <w:pStyle w:val="TableContents"/>
              <w:spacing w:before="0" w:after="283"/>
              <w:jc w:val="right"/>
              <w:rPr/>
            </w:pPr>
            <w:r>
              <w:rPr/>
              <w:t>531</w:t>
            </w:r>
          </w:p>
        </w:tc>
        <w:tc>
          <w:tcPr>
            <w:tcW w:w="117"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our estimate of the amount and classification of amortization expense for definite-lived intangible assets for each of the five succeeding full fiscal years beginning October 1, 2010 (in thousands): </w:t>
      </w:r>
    </w:p>
    <w:tbl>
      <w:tblPr>
        <w:tblW w:w="5000" w:type="pct"/>
        <w:jc w:val="center"/>
        <w:tblInd w:w="0" w:type="dxa"/>
        <w:tblCellMar>
          <w:top w:w="0" w:type="dxa"/>
          <w:left w:w="0" w:type="dxa"/>
          <w:bottom w:w="0" w:type="dxa"/>
          <w:right w:w="0" w:type="dxa"/>
        </w:tblCellMar>
      </w:tblPr>
      <w:tblGrid>
        <w:gridCol w:w="2588"/>
        <w:gridCol w:w="848"/>
        <w:gridCol w:w="945"/>
        <w:gridCol w:w="1430"/>
        <w:gridCol w:w="678"/>
        <w:gridCol w:w="848"/>
        <w:gridCol w:w="898"/>
        <w:gridCol w:w="1306"/>
        <w:gridCol w:w="664"/>
      </w:tblGrid>
      <w:tr>
        <w:trPr/>
        <w:tc>
          <w:tcPr>
            <w:tcW w:w="2588"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rPr/>
            </w:pPr>
            <w:r>
              <w:rPr/>
              <w:t> </w:t>
            </w:r>
          </w:p>
        </w:tc>
      </w:tr>
      <w:tr>
        <w:trPr/>
        <w:tc>
          <w:tcPr>
            <w:tcW w:w="2588" w:type="dxa"/>
            <w:tcBorders>
              <w:bottom w:val="single" w:sz="2" w:space="0" w:color="000000"/>
            </w:tcBorders>
            <w:shd w:fill="auto" w:val="clear"/>
            <w:tcMar>
              <w:bottom w:w="28" w:type="dxa"/>
            </w:tcMar>
            <w:vAlign w:val="bottom"/>
          </w:tcPr>
          <w:p>
            <w:pPr>
              <w:pStyle w:val="TableContents"/>
              <w:spacing w:before="0" w:after="283"/>
              <w:jc w:val="left"/>
              <w:rPr/>
            </w:pPr>
            <w:r>
              <w:rPr/>
              <w:t>Fiscal Year</w:t>
            </w:r>
          </w:p>
        </w:tc>
        <w:tc>
          <w:tcPr>
            <w:tcW w:w="848" w:type="dxa"/>
            <w:tcBorders/>
            <w:shd w:fill="auto" w:val="clear"/>
            <w:vAlign w:val="bottom"/>
          </w:tcPr>
          <w:p>
            <w:pPr>
              <w:pStyle w:val="TableContents"/>
              <w:spacing w:before="0" w:after="283"/>
              <w:rPr/>
            </w:pPr>
            <w:r>
              <w:rPr/>
              <w:t> </w:t>
            </w:r>
          </w:p>
        </w:tc>
        <w:tc>
          <w:tcPr>
            <w:tcW w:w="3053" w:type="dxa"/>
            <w:gridSpan w:val="3"/>
            <w:tcBorders>
              <w:bottom w:val="single" w:sz="2" w:space="0" w:color="000000"/>
            </w:tcBorders>
            <w:shd w:fill="auto" w:val="clear"/>
            <w:tcMar>
              <w:bottom w:w="28" w:type="dxa"/>
            </w:tcMar>
            <w:vAlign w:val="bottom"/>
          </w:tcPr>
          <w:p>
            <w:pPr>
              <w:pStyle w:val="TableContents"/>
              <w:spacing w:before="0" w:after="283"/>
              <w:jc w:val="center"/>
              <w:rPr/>
            </w:pPr>
            <w:r>
              <w:rPr/>
              <w:t>Amortization Expense</w:t>
            </w:r>
          </w:p>
        </w:tc>
        <w:tc>
          <w:tcPr>
            <w:tcW w:w="848" w:type="dxa"/>
            <w:tcBorders/>
            <w:shd w:fill="auto" w:val="clear"/>
            <w:vAlign w:val="bottom"/>
          </w:tcPr>
          <w:p>
            <w:pPr>
              <w:pStyle w:val="TableContents"/>
              <w:spacing w:before="0" w:after="283"/>
              <w:rPr/>
            </w:pPr>
            <w:r>
              <w:rPr/>
              <w:t> </w:t>
            </w:r>
          </w:p>
        </w:tc>
        <w:tc>
          <w:tcPr>
            <w:tcW w:w="2868" w:type="dxa"/>
            <w:gridSpan w:val="3"/>
            <w:tcBorders>
              <w:bottom w:val="single" w:sz="2" w:space="0" w:color="000000"/>
            </w:tcBorders>
            <w:shd w:fill="auto" w:val="clear"/>
            <w:tcMar>
              <w:bottom w:w="28" w:type="dxa"/>
            </w:tcMar>
            <w:vAlign w:val="bottom"/>
          </w:tcPr>
          <w:p>
            <w:pPr>
              <w:pStyle w:val="TableContents"/>
              <w:spacing w:before="0" w:after="283"/>
              <w:jc w:val="center"/>
              <w:rPr/>
            </w:pPr>
            <w:r>
              <w:rPr/>
              <w:t>Operations Expense</w:t>
            </w:r>
          </w:p>
        </w:tc>
      </w:tr>
      <w:tr>
        <w:trPr/>
        <w:tc>
          <w:tcPr>
            <w:tcW w:w="2588" w:type="dxa"/>
            <w:tcBorders/>
            <w:shd w:fill="CCEEFF" w:val="clear"/>
            <w:vAlign w:val="bottom"/>
          </w:tcPr>
          <w:p>
            <w:pPr>
              <w:pStyle w:val="TableContents"/>
              <w:spacing w:before="0" w:after="0"/>
              <w:ind w:left="450" w:right="0" w:hanging="225"/>
              <w:rPr/>
            </w:pPr>
            <w:r>
              <w:rPr/>
              <w:t>2011</w:t>
            </w:r>
          </w:p>
        </w:tc>
        <w:tc>
          <w:tcPr>
            <w:tcW w:w="848"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jc w:val="right"/>
              <w:rPr/>
            </w:pPr>
            <w:r>
              <w:rPr/>
              <w:t>$</w:t>
            </w:r>
          </w:p>
        </w:tc>
        <w:tc>
          <w:tcPr>
            <w:tcW w:w="1430" w:type="dxa"/>
            <w:tcBorders/>
            <w:shd w:fill="CCEEFF" w:val="clear"/>
            <w:vAlign w:val="bottom"/>
          </w:tcPr>
          <w:p>
            <w:pPr>
              <w:pStyle w:val="TableContents"/>
              <w:spacing w:before="0" w:after="283"/>
              <w:jc w:val="right"/>
              <w:rPr/>
            </w:pPr>
            <w:r>
              <w:rPr/>
              <w:t>870</w:t>
            </w:r>
          </w:p>
        </w:tc>
        <w:tc>
          <w:tcPr>
            <w:tcW w:w="678"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w:t>
            </w:r>
          </w:p>
        </w:tc>
        <w:tc>
          <w:tcPr>
            <w:tcW w:w="1306" w:type="dxa"/>
            <w:tcBorders/>
            <w:shd w:fill="CCEEFF" w:val="clear"/>
            <w:vAlign w:val="bottom"/>
          </w:tcPr>
          <w:p>
            <w:pPr>
              <w:pStyle w:val="TableContents"/>
              <w:spacing w:before="0" w:after="283"/>
              <w:jc w:val="right"/>
              <w:rPr/>
            </w:pPr>
            <w:r>
              <w:rPr/>
              <w:t>103</w:t>
            </w:r>
          </w:p>
        </w:tc>
        <w:tc>
          <w:tcPr>
            <w:tcW w:w="664" w:type="dxa"/>
            <w:tcBorders/>
            <w:shd w:fill="CCEEFF" w:val="clear"/>
            <w:vAlign w:val="bottom"/>
          </w:tcPr>
          <w:p>
            <w:pPr>
              <w:pStyle w:val="TableContents"/>
              <w:spacing w:before="0" w:after="283"/>
              <w:rPr/>
            </w:pPr>
            <w:r>
              <w:rPr/>
              <w:t> </w:t>
            </w:r>
          </w:p>
        </w:tc>
      </w:tr>
      <w:tr>
        <w:trPr/>
        <w:tc>
          <w:tcPr>
            <w:tcW w:w="2588" w:type="dxa"/>
            <w:tcBorders/>
            <w:shd w:fill="auto" w:val="clear"/>
            <w:vAlign w:val="bottom"/>
          </w:tcPr>
          <w:p>
            <w:pPr>
              <w:pStyle w:val="TableContents"/>
              <w:spacing w:before="0" w:after="0"/>
              <w:ind w:left="450" w:right="0" w:hanging="225"/>
              <w:rPr/>
            </w:pPr>
            <w:r>
              <w:rPr/>
              <w:t>2012</w:t>
            </w:r>
          </w:p>
        </w:tc>
        <w:tc>
          <w:tcPr>
            <w:tcW w:w="848"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jc w:val="right"/>
              <w:rPr/>
            </w:pPr>
            <w:r>
              <w:rPr/>
              <w:t>802</w:t>
            </w:r>
          </w:p>
        </w:tc>
        <w:tc>
          <w:tcPr>
            <w:tcW w:w="678"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spacing w:before="0" w:after="283"/>
              <w:jc w:val="right"/>
              <w:rPr/>
            </w:pPr>
            <w:r>
              <w:rPr/>
              <w:t>93</w:t>
            </w:r>
          </w:p>
        </w:tc>
        <w:tc>
          <w:tcPr>
            <w:tcW w:w="664" w:type="dxa"/>
            <w:tcBorders/>
            <w:shd w:fill="auto" w:val="clear"/>
            <w:vAlign w:val="bottom"/>
          </w:tcPr>
          <w:p>
            <w:pPr>
              <w:pStyle w:val="TableContents"/>
              <w:spacing w:before="0" w:after="283"/>
              <w:rPr/>
            </w:pPr>
            <w:r>
              <w:rPr/>
              <w:t> </w:t>
            </w:r>
          </w:p>
        </w:tc>
      </w:tr>
      <w:tr>
        <w:trPr/>
        <w:tc>
          <w:tcPr>
            <w:tcW w:w="2588" w:type="dxa"/>
            <w:tcBorders/>
            <w:shd w:fill="CCEEFF" w:val="clear"/>
            <w:vAlign w:val="bottom"/>
          </w:tcPr>
          <w:p>
            <w:pPr>
              <w:pStyle w:val="TableContents"/>
              <w:spacing w:before="0" w:after="0"/>
              <w:ind w:left="450" w:right="0" w:hanging="225"/>
              <w:rPr/>
            </w:pPr>
            <w:r>
              <w:rPr/>
              <w:t>2013</w:t>
            </w:r>
          </w:p>
        </w:tc>
        <w:tc>
          <w:tcPr>
            <w:tcW w:w="848"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rPr/>
            </w:pPr>
            <w:r>
              <w:rPr/>
              <w:t> </w:t>
            </w:r>
          </w:p>
        </w:tc>
        <w:tc>
          <w:tcPr>
            <w:tcW w:w="1430" w:type="dxa"/>
            <w:tcBorders/>
            <w:shd w:fill="CCEEFF" w:val="clear"/>
            <w:vAlign w:val="bottom"/>
          </w:tcPr>
          <w:p>
            <w:pPr>
              <w:pStyle w:val="TableContents"/>
              <w:spacing w:before="0" w:after="283"/>
              <w:jc w:val="right"/>
              <w:rPr/>
            </w:pPr>
            <w:r>
              <w:rPr/>
              <w:t>319</w:t>
            </w:r>
          </w:p>
        </w:tc>
        <w:tc>
          <w:tcPr>
            <w:tcW w:w="678"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77</w:t>
            </w:r>
          </w:p>
        </w:tc>
        <w:tc>
          <w:tcPr>
            <w:tcW w:w="664" w:type="dxa"/>
            <w:tcBorders/>
            <w:shd w:fill="CCEEFF" w:val="clear"/>
            <w:vAlign w:val="bottom"/>
          </w:tcPr>
          <w:p>
            <w:pPr>
              <w:pStyle w:val="TableContents"/>
              <w:spacing w:before="0" w:after="283"/>
              <w:rPr/>
            </w:pPr>
            <w:r>
              <w:rPr/>
              <w:t> </w:t>
            </w:r>
          </w:p>
        </w:tc>
      </w:tr>
      <w:tr>
        <w:trPr/>
        <w:tc>
          <w:tcPr>
            <w:tcW w:w="2588" w:type="dxa"/>
            <w:tcBorders/>
            <w:shd w:fill="auto" w:val="clear"/>
            <w:vAlign w:val="bottom"/>
          </w:tcPr>
          <w:p>
            <w:pPr>
              <w:pStyle w:val="TableContents"/>
              <w:spacing w:before="0" w:after="0"/>
              <w:ind w:left="450" w:right="0" w:hanging="225"/>
              <w:rPr/>
            </w:pPr>
            <w:r>
              <w:rPr/>
              <w:t>2014</w:t>
            </w:r>
          </w:p>
        </w:tc>
        <w:tc>
          <w:tcPr>
            <w:tcW w:w="848"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jc w:val="right"/>
              <w:rPr/>
            </w:pPr>
            <w:r>
              <w:rPr/>
              <w:t>248</w:t>
            </w:r>
          </w:p>
        </w:tc>
        <w:tc>
          <w:tcPr>
            <w:tcW w:w="678"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spacing w:before="0" w:after="283"/>
              <w:jc w:val="right"/>
              <w:rPr/>
            </w:pPr>
            <w:r>
              <w:rPr/>
              <w:t>63</w:t>
            </w:r>
          </w:p>
        </w:tc>
        <w:tc>
          <w:tcPr>
            <w:tcW w:w="664" w:type="dxa"/>
            <w:tcBorders/>
            <w:shd w:fill="auto" w:val="clear"/>
            <w:vAlign w:val="bottom"/>
          </w:tcPr>
          <w:p>
            <w:pPr>
              <w:pStyle w:val="TableContents"/>
              <w:spacing w:before="0" w:after="283"/>
              <w:rPr/>
            </w:pPr>
            <w:r>
              <w:rPr/>
              <w:t> </w:t>
            </w:r>
          </w:p>
        </w:tc>
      </w:tr>
      <w:tr>
        <w:trPr/>
        <w:tc>
          <w:tcPr>
            <w:tcW w:w="2588" w:type="dxa"/>
            <w:tcBorders/>
            <w:shd w:fill="CCEEFF" w:val="clear"/>
            <w:vAlign w:val="bottom"/>
          </w:tcPr>
          <w:p>
            <w:pPr>
              <w:pStyle w:val="TableContents"/>
              <w:spacing w:before="0" w:after="0"/>
              <w:ind w:left="450" w:right="0" w:hanging="225"/>
              <w:rPr/>
            </w:pPr>
            <w:r>
              <w:rPr/>
              <w:t>2015</w:t>
            </w:r>
          </w:p>
        </w:tc>
        <w:tc>
          <w:tcPr>
            <w:tcW w:w="848"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rPr/>
            </w:pPr>
            <w:r>
              <w:rPr/>
              <w:t> </w:t>
            </w:r>
          </w:p>
        </w:tc>
        <w:tc>
          <w:tcPr>
            <w:tcW w:w="1430" w:type="dxa"/>
            <w:tcBorders/>
            <w:shd w:fill="CCEEFF" w:val="clear"/>
            <w:vAlign w:val="bottom"/>
          </w:tcPr>
          <w:p>
            <w:pPr>
              <w:pStyle w:val="TableContents"/>
              <w:spacing w:before="0" w:after="283"/>
              <w:jc w:val="right"/>
              <w:rPr/>
            </w:pPr>
            <w:r>
              <w:rPr/>
              <w:t>223</w:t>
            </w:r>
          </w:p>
        </w:tc>
        <w:tc>
          <w:tcPr>
            <w:tcW w:w="678"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52</w:t>
            </w:r>
          </w:p>
        </w:tc>
        <w:tc>
          <w:tcPr>
            <w:tcW w:w="664"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acquisitions and dispositions occur in the future, amortization and operations expense may vary from these estimates.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G: Long-term Debt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10, 2011, we entered into a new senior secured credit agreement with a syndicate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our $17.5 million outstanding debt. The new credit facility increases our available credit and provides greater flexibility to make investments and acquisitions both domestically and internationally.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credit agreement, we may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pay a commitment fee of 37.5 to 50 basis points depending on our leverage ratio calculated at the end of each quarter. From the closing date to approximately October 31, 2011, we will pay a minimum interest rate of LIBOR plus 250 basis points or the banks base rate plus 150 basis points, at our option, and a commitment fee of 50 basis points on the unused portion of the credit line. Terms of the credit agreement require, among other things, that we meet certain financial covenants. We expect the recorded value of our debt to approximate its fair value as it is all variable rate debt and carries no pre-payment penalty.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June 30, 2011, $26.5 million was outstanding under our revolving credit agreement. We also issued $5.0 million of bank letters of credit, leaving $143.5 million available on our revolving credit facility. The outstanding bank letters of credit secure our obligations under letters of credit we issue to unaffiliated lenders as part of our credit service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credit agreement we expensed $0.1 million of unamortized deferred financing costs related to our former credit agreement and recorded approximately $2.3 million deferred financing costs related to our new facility. These costs are included in other assets, net in our June 30, 2011 balance sheet, and are being amortized to interest expense over their four-year estimated useful life.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H: Stock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net income includes the following compensation costs related to our stock compensation arrangements (in thousands): </w:t>
      </w:r>
    </w:p>
    <w:tbl>
      <w:tblPr>
        <w:tblW w:w="5000" w:type="pct"/>
        <w:jc w:val="center"/>
        <w:tblInd w:w="0" w:type="dxa"/>
        <w:tblCellMar>
          <w:top w:w="0" w:type="dxa"/>
          <w:left w:w="0" w:type="dxa"/>
          <w:bottom w:w="0" w:type="dxa"/>
          <w:right w:w="0" w:type="dxa"/>
        </w:tblCellMar>
      </w:tblPr>
      <w:tblGrid>
        <w:gridCol w:w="4231"/>
        <w:gridCol w:w="377"/>
        <w:gridCol w:w="183"/>
        <w:gridCol w:w="802"/>
        <w:gridCol w:w="146"/>
        <w:gridCol w:w="389"/>
        <w:gridCol w:w="183"/>
        <w:gridCol w:w="804"/>
        <w:gridCol w:w="127"/>
        <w:gridCol w:w="377"/>
        <w:gridCol w:w="165"/>
        <w:gridCol w:w="816"/>
        <w:gridCol w:w="134"/>
        <w:gridCol w:w="381"/>
        <w:gridCol w:w="165"/>
        <w:gridCol w:w="787"/>
        <w:gridCol w:w="138"/>
      </w:tblGrid>
      <w:tr>
        <w:trPr/>
        <w:tc>
          <w:tcPr>
            <w:tcW w:w="4231"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231"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507" w:type="dxa"/>
            <w:gridSpan w:val="6"/>
            <w:tcBorders/>
            <w:shd w:fill="auto" w:val="clear"/>
            <w:vAlign w:val="bottom"/>
          </w:tcPr>
          <w:p>
            <w:pPr>
              <w:pStyle w:val="TableContents"/>
              <w:spacing w:before="0" w:after="283"/>
              <w:jc w:val="center"/>
              <w:rPr/>
            </w:pPr>
            <w:r>
              <w:rPr/>
              <w:t>Three Months Ended</w:t>
            </w:r>
          </w:p>
        </w:tc>
        <w:tc>
          <w:tcPr>
            <w:tcW w:w="127"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448" w:type="dxa"/>
            <w:gridSpan w:val="6"/>
            <w:tcBorders/>
            <w:shd w:fill="auto" w:val="clear"/>
            <w:vAlign w:val="bottom"/>
          </w:tcPr>
          <w:p>
            <w:pPr>
              <w:pStyle w:val="TableContents"/>
              <w:spacing w:before="0" w:after="283"/>
              <w:jc w:val="center"/>
              <w:rPr/>
            </w:pPr>
            <w:r>
              <w:rPr/>
              <w:t>Nine Months Ended</w:t>
            </w:r>
          </w:p>
        </w:tc>
        <w:tc>
          <w:tcPr>
            <w:tcW w:w="138" w:type="dxa"/>
            <w:tcBorders/>
            <w:shd w:fill="auto" w:val="clear"/>
            <w:vAlign w:val="bottom"/>
          </w:tcPr>
          <w:p>
            <w:pPr>
              <w:pStyle w:val="TableContents"/>
              <w:spacing w:before="0" w:after="283"/>
              <w:rPr/>
            </w:pPr>
            <w:r>
              <w:rPr/>
              <w:t> </w:t>
            </w:r>
          </w:p>
        </w:tc>
      </w:tr>
      <w:tr>
        <w:trPr/>
        <w:tc>
          <w:tcPr>
            <w:tcW w:w="4231"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507"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27"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448"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38" w:type="dxa"/>
            <w:tcBorders/>
            <w:shd w:fill="auto" w:val="clear"/>
            <w:vAlign w:val="bottom"/>
          </w:tcPr>
          <w:p>
            <w:pPr>
              <w:pStyle w:val="TableContents"/>
              <w:spacing w:before="0" w:after="283"/>
              <w:rPr/>
            </w:pPr>
            <w:r>
              <w:rPr/>
              <w:t> </w:t>
            </w:r>
          </w:p>
        </w:tc>
      </w:tr>
      <w:tr>
        <w:trPr/>
        <w:tc>
          <w:tcPr>
            <w:tcW w:w="4231"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6"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98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7"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98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4"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95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8" w:type="dxa"/>
            <w:tcBorders/>
            <w:shd w:fill="auto" w:val="clear"/>
            <w:vAlign w:val="bottom"/>
          </w:tcPr>
          <w:p>
            <w:pPr>
              <w:pStyle w:val="TableContents"/>
              <w:spacing w:before="0" w:after="283"/>
              <w:rPr/>
            </w:pPr>
            <w:r>
              <w:rPr/>
              <w:t> </w:t>
            </w:r>
          </w:p>
        </w:tc>
      </w:tr>
      <w:tr>
        <w:trPr/>
        <w:tc>
          <w:tcPr>
            <w:tcW w:w="4231" w:type="dxa"/>
            <w:tcBorders/>
            <w:shd w:fill="CCEEFF" w:val="clear"/>
            <w:vAlign w:val="bottom"/>
          </w:tcPr>
          <w:p>
            <w:pPr>
              <w:pStyle w:val="TableContents"/>
              <w:spacing w:before="0" w:after="0"/>
              <w:ind w:left="225" w:right="0" w:hanging="225"/>
              <w:rPr/>
            </w:pPr>
            <w:r>
              <w:rPr/>
              <w:t>Gross compensation cost</w:t>
            </w:r>
          </w:p>
        </w:tc>
        <w:tc>
          <w:tcPr>
            <w:tcW w:w="377"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802" w:type="dxa"/>
            <w:tcBorders/>
            <w:shd w:fill="CCEEFF" w:val="clear"/>
            <w:vAlign w:val="bottom"/>
          </w:tcPr>
          <w:p>
            <w:pPr>
              <w:pStyle w:val="TableContents"/>
              <w:spacing w:before="0" w:after="283"/>
              <w:jc w:val="right"/>
              <w:rPr/>
            </w:pPr>
            <w:r>
              <w:rPr/>
              <w:t>1,508</w:t>
            </w:r>
          </w:p>
        </w:tc>
        <w:tc>
          <w:tcPr>
            <w:tcW w:w="146"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804" w:type="dxa"/>
            <w:tcBorders/>
            <w:shd w:fill="CCEEFF" w:val="clear"/>
            <w:vAlign w:val="bottom"/>
          </w:tcPr>
          <w:p>
            <w:pPr>
              <w:pStyle w:val="TableContents"/>
              <w:spacing w:before="0" w:after="283"/>
              <w:jc w:val="right"/>
              <w:rPr/>
            </w:pPr>
            <w:r>
              <w:rPr/>
              <w:t>1,113</w:t>
            </w:r>
          </w:p>
        </w:tc>
        <w:tc>
          <w:tcPr>
            <w:tcW w:w="127"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11,536</w:t>
            </w:r>
          </w:p>
        </w:tc>
        <w:tc>
          <w:tcPr>
            <w:tcW w:w="134"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3,457</w:t>
            </w:r>
          </w:p>
        </w:tc>
        <w:tc>
          <w:tcPr>
            <w:tcW w:w="138" w:type="dxa"/>
            <w:tcBorders/>
            <w:shd w:fill="CCEEFF" w:val="clear"/>
            <w:vAlign w:val="bottom"/>
          </w:tcPr>
          <w:p>
            <w:pPr>
              <w:pStyle w:val="TableContents"/>
              <w:spacing w:before="0" w:after="283"/>
              <w:rPr/>
            </w:pPr>
            <w:r>
              <w:rPr/>
              <w:t> </w:t>
            </w:r>
          </w:p>
        </w:tc>
      </w:tr>
      <w:tr>
        <w:trPr/>
        <w:tc>
          <w:tcPr>
            <w:tcW w:w="4231" w:type="dxa"/>
            <w:tcBorders/>
            <w:shd w:fill="auto" w:val="clear"/>
            <w:vAlign w:val="bottom"/>
          </w:tcPr>
          <w:p>
            <w:pPr>
              <w:pStyle w:val="TableContents"/>
              <w:spacing w:before="0" w:after="0"/>
              <w:ind w:left="225" w:right="0" w:hanging="225"/>
              <w:rPr/>
            </w:pPr>
            <w:r>
              <w:rPr/>
              <w:t>Income tax benefits</w:t>
            </w:r>
          </w:p>
        </w:tc>
        <w:tc>
          <w:tcPr>
            <w:tcW w:w="37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802" w:type="dxa"/>
            <w:tcBorders/>
            <w:shd w:fill="auto" w:val="clear"/>
            <w:vAlign w:val="bottom"/>
          </w:tcPr>
          <w:p>
            <w:pPr>
              <w:pStyle w:val="TableContents"/>
              <w:spacing w:before="0" w:after="283"/>
              <w:jc w:val="right"/>
              <w:rPr/>
            </w:pPr>
            <w:r>
              <w:rPr/>
              <w:t>(499</w:t>
            </w:r>
          </w:p>
        </w:tc>
        <w:tc>
          <w:tcPr>
            <w:tcW w:w="146" w:type="dxa"/>
            <w:tcBorders/>
            <w:shd w:fill="auto" w:val="clear"/>
            <w:vAlign w:val="bottom"/>
          </w:tcPr>
          <w:p>
            <w:pPr>
              <w:pStyle w:val="TableContents"/>
              <w:spacing w:before="0" w:after="283"/>
              <w:rPr/>
            </w:pPr>
            <w:r>
              <w:rPr/>
              <w:t>)</w:t>
            </w:r>
          </w:p>
        </w:tc>
        <w:tc>
          <w:tcPr>
            <w:tcW w:w="389"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(385</w:t>
            </w:r>
          </w:p>
        </w:tc>
        <w:tc>
          <w:tcPr>
            <w:tcW w:w="127" w:type="dxa"/>
            <w:tcBorders/>
            <w:shd w:fill="auto" w:val="clear"/>
            <w:vAlign w:val="bottom"/>
          </w:tcPr>
          <w:p>
            <w:pPr>
              <w:pStyle w:val="TableContents"/>
              <w:spacing w:before="0" w:after="283"/>
              <w:rPr/>
            </w:pPr>
            <w:r>
              <w:rPr/>
              <w:t>)</w:t>
            </w:r>
          </w:p>
        </w:tc>
        <w:tc>
          <w:tcPr>
            <w:tcW w:w="37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(3,952</w:t>
            </w:r>
          </w:p>
        </w:tc>
        <w:tc>
          <w:tcPr>
            <w:tcW w:w="134" w:type="dxa"/>
            <w:tcBorders/>
            <w:shd w:fill="auto" w:val="clear"/>
            <w:vAlign w:val="bottom"/>
          </w:tcPr>
          <w:p>
            <w:pPr>
              <w:pStyle w:val="TableContents"/>
              <w:spacing w:before="0" w:after="283"/>
              <w:rPr/>
            </w:pPr>
            <w:r>
              <w:rPr/>
              <w:t>)</w:t>
            </w:r>
          </w:p>
        </w:tc>
        <w:tc>
          <w:tcPr>
            <w:tcW w:w="38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283"/>
              <w:jc w:val="right"/>
              <w:rPr/>
            </w:pPr>
            <w:r>
              <w:rPr/>
              <w:t>(1,216</w:t>
            </w:r>
          </w:p>
        </w:tc>
        <w:tc>
          <w:tcPr>
            <w:tcW w:w="138" w:type="dxa"/>
            <w:tcBorders/>
            <w:shd w:fill="auto" w:val="clear"/>
            <w:vAlign w:val="bottom"/>
          </w:tcPr>
          <w:p>
            <w:pPr>
              <w:pStyle w:val="TableContents"/>
              <w:spacing w:before="0" w:after="283"/>
              <w:rPr/>
            </w:pPr>
            <w:r>
              <w:rPr/>
              <w:t>)</w:t>
            </w:r>
          </w:p>
        </w:tc>
      </w:tr>
      <w:tr>
        <w:trPr/>
        <w:tc>
          <w:tcPr>
            <w:tcW w:w="4231"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9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231" w:type="dxa"/>
            <w:tcBorders/>
            <w:shd w:fill="CCEEFF" w:val="clear"/>
            <w:vAlign w:val="bottom"/>
          </w:tcPr>
          <w:p>
            <w:pPr>
              <w:pStyle w:val="TableContents"/>
              <w:spacing w:before="0" w:after="0"/>
              <w:ind w:left="225" w:right="0" w:hanging="225"/>
              <w:rPr/>
            </w:pPr>
            <w:r>
              <w:rPr/>
              <w:t>Stock compensation cost, net of tax benefit</w:t>
            </w:r>
          </w:p>
        </w:tc>
        <w:tc>
          <w:tcPr>
            <w:tcW w:w="377"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802" w:type="dxa"/>
            <w:tcBorders/>
            <w:shd w:fill="CCEEFF" w:val="clear"/>
            <w:vAlign w:val="bottom"/>
          </w:tcPr>
          <w:p>
            <w:pPr>
              <w:pStyle w:val="TableContents"/>
              <w:spacing w:before="0" w:after="283"/>
              <w:jc w:val="right"/>
              <w:rPr/>
            </w:pPr>
            <w:r>
              <w:rPr/>
              <w:t>1,009</w:t>
            </w:r>
          </w:p>
        </w:tc>
        <w:tc>
          <w:tcPr>
            <w:tcW w:w="146"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804" w:type="dxa"/>
            <w:tcBorders/>
            <w:shd w:fill="CCEEFF" w:val="clear"/>
            <w:vAlign w:val="bottom"/>
          </w:tcPr>
          <w:p>
            <w:pPr>
              <w:pStyle w:val="TableContents"/>
              <w:spacing w:before="0" w:after="283"/>
              <w:jc w:val="right"/>
              <w:rPr/>
            </w:pPr>
            <w:r>
              <w:rPr/>
              <w:t>728</w:t>
            </w:r>
          </w:p>
        </w:tc>
        <w:tc>
          <w:tcPr>
            <w:tcW w:w="127"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7,584</w:t>
            </w:r>
          </w:p>
        </w:tc>
        <w:tc>
          <w:tcPr>
            <w:tcW w:w="134"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2,241</w:t>
            </w:r>
          </w:p>
        </w:tc>
        <w:tc>
          <w:tcPr>
            <w:tcW w:w="138" w:type="dxa"/>
            <w:tcBorders/>
            <w:shd w:fill="CCEEFF" w:val="clear"/>
            <w:vAlign w:val="bottom"/>
          </w:tcPr>
          <w:p>
            <w:pPr>
              <w:pStyle w:val="TableContents"/>
              <w:spacing w:before="0" w:after="283"/>
              <w:rPr/>
            </w:pPr>
            <w:r>
              <w:rPr/>
              <w:t> </w:t>
            </w:r>
          </w:p>
        </w:tc>
      </w:tr>
      <w:tr>
        <w:trPr/>
        <w:tc>
          <w:tcPr>
            <w:tcW w:w="4231"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9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9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the compensation cost for the nine months ended June 30, 2011 is $7.3 million for the accelerated vesting of restricted stock upon the retirement of our former Chief Executive Officer on October 31, 2010, and a related $2.5 million income tax benefit. In the three months ended June 30, 2011, stock option exercises resulted in the issuance of 17,000 shares of our Class A Non-voting Common Stock for total proceeds of $0.2 million. In the nine months ended June 30, 2011, stock option exercises resulted in the issuance of 40,800 shares of our Class A Non-voting Common Stock for total proceeds of $0.4 million. All options and restricted stock relate to our Class A Non-voting Common Stock.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I: Income Taxes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effective tax rate is 34.7% of pretax income compared to 36.9% for the prior year quarter. For the current year-to-date period, the effective tax rate is 35.2% compared to 36.0% in the prior year-to-date period. The decrease in effective tax rates is primarily due to an increase in both domestic tax credits and the foreign tax credit on overseas earnings, partially offset by the valuation allowance established for operating losses in our Canada operations during their start-up period.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J: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K: Comprehensive Income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Comprehensive income includes net income and other revenues, expenses, gains and losses that are excluded from net income but are included as a component of total stockholders equity. Comprehensive income for the fiscal quarter and year-to-date period ended June 30, 2011 was $28.7 million and $97.2 million. For the comparable 2010 periods, comprehensive income was $19.4 million and $68.9 million. The difference between comprehensive income and net income results primarily from the effect of foreign currency translation adjustments and the unrealized gain or loss on available for sale securities. At June 30, 2011, the accumulated balance of net foreign currency and unrealized gain activity excluded from net income was $7.9 million, net of applicable tax of $2.9 million. The net $5.0 million is presented as Accumulated other comprehensive income (loss) in the balance sheet at June 30, 2011.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L: Operating Segment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and internal reporting as three reportable segments with operating results reported separately for each segment. </w:t>
      </w:r>
    </w:p>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The U.S. Pawn Operations segment offers pawn related activities in our 426 U.S. pawn stores, offers signature loans in 43 pawn stores and six EZMONEY stores and offers auto title loans in 44 pawn stores.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The Empeño Fácil segment offers pawn related activities in 155 Mexico pawn stores.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The EZMONEY Operations segment offers signature loans in 436 U.S. and 60 Canadian financial services stores. The segment also offers auto title loans in 365 of its U.S. stores and buys and sells second-hand goods in three of its Canadian stores.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no inter-segment revenues, and the amounts below were determined in accordance with the same accounting principles used in our consolidated financial statements. The following tables present operating segment information (in thousands): </w:t>
      </w:r>
    </w:p>
    <w:tbl>
      <w:tblPr>
        <w:tblW w:w="5000" w:type="pct"/>
        <w:jc w:val="center"/>
        <w:tblInd w:w="0" w:type="dxa"/>
        <w:tblCellMar>
          <w:top w:w="0" w:type="dxa"/>
          <w:left w:w="0" w:type="dxa"/>
          <w:bottom w:w="0" w:type="dxa"/>
          <w:right w:w="0" w:type="dxa"/>
        </w:tblCellMar>
      </w:tblPr>
      <w:tblGrid>
        <w:gridCol w:w="2068"/>
        <w:gridCol w:w="278"/>
        <w:gridCol w:w="153"/>
        <w:gridCol w:w="844"/>
        <w:gridCol w:w="91"/>
        <w:gridCol w:w="278"/>
        <w:gridCol w:w="153"/>
        <w:gridCol w:w="845"/>
        <w:gridCol w:w="91"/>
        <w:gridCol w:w="278"/>
        <w:gridCol w:w="151"/>
        <w:gridCol w:w="745"/>
        <w:gridCol w:w="91"/>
        <w:gridCol w:w="278"/>
        <w:gridCol w:w="151"/>
        <w:gridCol w:w="653"/>
        <w:gridCol w:w="91"/>
        <w:gridCol w:w="278"/>
        <w:gridCol w:w="184"/>
        <w:gridCol w:w="905"/>
        <w:gridCol w:w="105"/>
        <w:gridCol w:w="292"/>
        <w:gridCol w:w="184"/>
        <w:gridCol w:w="908"/>
        <w:gridCol w:w="110"/>
      </w:tblGrid>
      <w:tr>
        <w:trPr/>
        <w:tc>
          <w:tcPr>
            <w:tcW w:w="2068"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7749" w:type="dxa"/>
            <w:gridSpan w:val="22"/>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June 30,</w:t>
            </w:r>
          </w:p>
        </w:tc>
        <w:tc>
          <w:tcPr>
            <w:tcW w:w="110" w:type="dxa"/>
            <w:tcBorders/>
            <w:shd w:fill="auto"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4" w:type="dxa"/>
            <w:gridSpan w:val="6"/>
            <w:tcBorders>
              <w:bottom w:val="single" w:sz="2" w:space="0" w:color="000000"/>
            </w:tcBorders>
            <w:shd w:fill="auto" w:val="clear"/>
            <w:tcMar>
              <w:bottom w:w="28" w:type="dxa"/>
            </w:tcMar>
            <w:vAlign w:val="bottom"/>
          </w:tcPr>
          <w:p>
            <w:pPr>
              <w:pStyle w:val="TableContents"/>
              <w:spacing w:before="0" w:after="283"/>
              <w:jc w:val="center"/>
              <w:rPr/>
            </w:pPr>
            <w:r>
              <w:rPr/>
              <w:t>US Pawn Operations</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069" w:type="dxa"/>
            <w:gridSpan w:val="6"/>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578" w:type="dxa"/>
            <w:gridSpan w:val="6"/>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110" w:type="dxa"/>
            <w:tcBorders/>
            <w:shd w:fill="auto"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89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0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09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0" w:type="dxa"/>
            <w:tcBorders/>
            <w:shd w:fill="auto" w:val="clear"/>
            <w:vAlign w:val="bottom"/>
          </w:tcPr>
          <w:p>
            <w:pPr>
              <w:pStyle w:val="TableContents"/>
              <w:spacing w:before="0" w:after="283"/>
              <w:rPr/>
            </w:pPr>
            <w:r>
              <w:rPr/>
              <w:t> </w:t>
            </w:r>
          </w:p>
        </w:tc>
      </w:tr>
      <w:tr>
        <w:trPr/>
        <w:tc>
          <w:tcPr>
            <w:tcW w:w="2068" w:type="dxa"/>
            <w:tcBorders/>
            <w:shd w:fill="CCEEFF" w:val="clear"/>
            <w:vAlign w:val="bottom"/>
          </w:tcPr>
          <w:p>
            <w:pPr>
              <w:pStyle w:val="TableContents"/>
              <w:spacing w:before="0" w:after="0"/>
              <w:ind w:left="225" w:right="0" w:hanging="225"/>
              <w:rPr/>
            </w:pPr>
            <w:r>
              <w:rPr/>
              <w:t>Revenues:</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0"/>
              <w:ind w:left="450" w:right="0" w:hanging="225"/>
              <w:rPr/>
            </w:pPr>
            <w:r>
              <w:rPr/>
              <w:t>Merchandise sales</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58,168</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49,749</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745" w:type="dxa"/>
            <w:tcBorders/>
            <w:shd w:fill="auto" w:val="clear"/>
            <w:vAlign w:val="bottom"/>
          </w:tcPr>
          <w:p>
            <w:pPr>
              <w:pStyle w:val="TableContents"/>
              <w:spacing w:before="0" w:after="283"/>
              <w:jc w:val="right"/>
              <w:rPr/>
            </w:pPr>
            <w:r>
              <w:rPr/>
              <w:t>6,401</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653" w:type="dxa"/>
            <w:tcBorders/>
            <w:shd w:fill="auto" w:val="clear"/>
            <w:vAlign w:val="bottom"/>
          </w:tcPr>
          <w:p>
            <w:pPr>
              <w:pStyle w:val="TableContents"/>
              <w:spacing w:before="0" w:after="283"/>
              <w:jc w:val="right"/>
              <w:rPr/>
            </w:pPr>
            <w:r>
              <w:rPr/>
              <w:t>3,529</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905" w:type="dxa"/>
            <w:tcBorders/>
            <w:shd w:fill="auto" w:val="clear"/>
            <w:vAlign w:val="bottom"/>
          </w:tcPr>
          <w:p>
            <w:pPr>
              <w:pStyle w:val="TableContents"/>
              <w:spacing w:before="0" w:after="283"/>
              <w:jc w:val="right"/>
              <w:rPr/>
            </w:pPr>
            <w:r>
              <w:rPr/>
              <w:t>5</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908"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r>
      <w:tr>
        <w:trPr/>
        <w:tc>
          <w:tcPr>
            <w:tcW w:w="2068" w:type="dxa"/>
            <w:tcBorders/>
            <w:shd w:fill="CCEEFF" w:val="clear"/>
            <w:vAlign w:val="bottom"/>
          </w:tcPr>
          <w:p>
            <w:pPr>
              <w:pStyle w:val="TableContents"/>
              <w:spacing w:before="0" w:after="0"/>
              <w:ind w:left="450" w:right="0" w:hanging="225"/>
              <w:rPr/>
            </w:pPr>
            <w:r>
              <w:rPr/>
              <w:t>Jewelry scrapping sales</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46,157</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41,423</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4,257</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pPr>
            <w:r>
              <w:rPr/>
              <w:t>2,181</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357</w:t>
            </w:r>
          </w:p>
        </w:tc>
        <w:tc>
          <w:tcPr>
            <w:tcW w:w="10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169</w:t>
            </w:r>
          </w:p>
        </w:tc>
        <w:tc>
          <w:tcPr>
            <w:tcW w:w="110" w:type="dxa"/>
            <w:tcBorders/>
            <w:shd w:fill="CCEEFF"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0"/>
              <w:ind w:left="450" w:right="0" w:hanging="225"/>
              <w:rPr/>
            </w:pPr>
            <w:r>
              <w:rPr/>
              <w:t>Pawn service charges</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43,846</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37,014</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4,519</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pPr>
            <w:r>
              <w:rPr/>
              <w:t>2,410</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r>
      <w:tr>
        <w:trPr/>
        <w:tc>
          <w:tcPr>
            <w:tcW w:w="2068" w:type="dxa"/>
            <w:tcBorders/>
            <w:shd w:fill="CCEEFF" w:val="clear"/>
            <w:vAlign w:val="bottom"/>
          </w:tcPr>
          <w:p>
            <w:pPr>
              <w:pStyle w:val="TableContents"/>
              <w:spacing w:before="0" w:after="0"/>
              <w:ind w:left="450" w:right="0" w:hanging="225"/>
              <w:rPr/>
            </w:pPr>
            <w:r>
              <w:rPr/>
              <w:t>Signature loan fees</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691</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455</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33,504</w:t>
            </w:r>
          </w:p>
        </w:tc>
        <w:tc>
          <w:tcPr>
            <w:tcW w:w="10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31,841</w:t>
            </w:r>
          </w:p>
        </w:tc>
        <w:tc>
          <w:tcPr>
            <w:tcW w:w="110" w:type="dxa"/>
            <w:tcBorders/>
            <w:shd w:fill="CCEEFF"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0"/>
              <w:ind w:left="450" w:right="0" w:hanging="225"/>
              <w:rPr/>
            </w:pPr>
            <w:r>
              <w:rPr/>
              <w:t>Auto title loan fees</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352</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359</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4,323</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4,299</w:t>
            </w:r>
          </w:p>
        </w:tc>
        <w:tc>
          <w:tcPr>
            <w:tcW w:w="110" w:type="dxa"/>
            <w:tcBorders/>
            <w:shd w:fill="auto" w:val="clear"/>
            <w:vAlign w:val="bottom"/>
          </w:tcPr>
          <w:p>
            <w:pPr>
              <w:pStyle w:val="TableContents"/>
              <w:spacing w:before="0" w:after="283"/>
              <w:rPr/>
            </w:pPr>
            <w:r>
              <w:rPr/>
              <w:t> </w:t>
            </w:r>
          </w:p>
        </w:tc>
      </w:tr>
      <w:tr>
        <w:trPr/>
        <w:tc>
          <w:tcPr>
            <w:tcW w:w="2068" w:type="dxa"/>
            <w:tcBorders/>
            <w:shd w:fill="CCEEFF" w:val="clear"/>
            <w:vAlign w:val="bottom"/>
          </w:tcPr>
          <w:p>
            <w:pPr>
              <w:pStyle w:val="TableContents"/>
              <w:spacing w:before="0" w:after="0"/>
              <w:ind w:left="450" w:right="0" w:hanging="225"/>
              <w:rPr/>
            </w:pPr>
            <w:r>
              <w:rPr/>
              <w:t>Other</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161</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105</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6</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405</w:t>
            </w:r>
          </w:p>
        </w:tc>
        <w:tc>
          <w:tcPr>
            <w:tcW w:w="10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8</w:t>
            </w:r>
          </w:p>
        </w:tc>
        <w:tc>
          <w:tcPr>
            <w:tcW w:w="110" w:type="dxa"/>
            <w:tcBorders/>
            <w:shd w:fill="CCEEFF" w:val="clear"/>
            <w:vAlign w:val="bottom"/>
          </w:tcPr>
          <w:p>
            <w:pPr>
              <w:pStyle w:val="TableContents"/>
              <w:spacing w:before="0" w:after="283"/>
              <w:rPr/>
            </w:pPr>
            <w:r>
              <w:rPr/>
              <w:t> </w:t>
            </w:r>
          </w:p>
        </w:tc>
      </w:tr>
      <w:tr>
        <w:trPr/>
        <w:tc>
          <w:tcPr>
            <w:tcW w:w="2068" w:type="dxa"/>
            <w:tcBorders/>
            <w:shd w:fill="auto" w:val="clear"/>
            <w:vAlign w:val="center"/>
          </w:tcPr>
          <w:p>
            <w:pPr>
              <w:pStyle w:val="TableContents"/>
              <w:spacing w:before="0" w:after="0"/>
              <w:ind w:left="225" w:right="0" w:hanging="225"/>
              <w:rPr/>
            </w:pPr>
            <w:r>
              <w:rPr/>
              <w:t> </w:t>
            </w:r>
          </w:p>
        </w:tc>
        <w:tc>
          <w:tcPr>
            <w:tcW w:w="278"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8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8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2068" w:type="dxa"/>
            <w:tcBorders/>
            <w:shd w:fill="auto" w:val="clear"/>
            <w:vAlign w:val="bottom"/>
          </w:tcPr>
          <w:p>
            <w:pPr>
              <w:pStyle w:val="TableContents"/>
              <w:spacing w:before="0" w:after="0"/>
              <w:ind w:left="675" w:right="0" w:hanging="225"/>
              <w:rPr/>
            </w:pPr>
            <w:r>
              <w:rPr/>
              <w:t>Total revenues</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149,375</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129,105</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15,183</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pPr>
            <w:r>
              <w:rPr/>
              <w:t>8,120</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38,594</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36,317</w:t>
            </w:r>
          </w:p>
        </w:tc>
        <w:tc>
          <w:tcPr>
            <w:tcW w:w="110" w:type="dxa"/>
            <w:tcBorders/>
            <w:shd w:fill="auto"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0"/>
              <w:ind w:left="225" w:right="0" w:hanging="225"/>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068" w:type="dxa"/>
            <w:tcBorders/>
            <w:shd w:fill="CCEEFF" w:val="clear"/>
            <w:vAlign w:val="bottom"/>
          </w:tcPr>
          <w:p>
            <w:pPr>
              <w:pStyle w:val="TableContents"/>
              <w:spacing w:before="0" w:after="0"/>
              <w:ind w:left="225" w:right="0" w:hanging="225"/>
              <w:rPr/>
            </w:pPr>
            <w:r>
              <w:rPr/>
              <w:t>Merchandise cost of goods sold</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32,911</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27,749</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3,767</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pPr>
            <w:r>
              <w:rPr/>
              <w:t>1,961</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13</w:t>
            </w:r>
          </w:p>
        </w:tc>
        <w:tc>
          <w:tcPr>
            <w:tcW w:w="10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0"/>
              <w:ind w:left="225" w:right="0" w:hanging="225"/>
              <w:rPr/>
            </w:pPr>
            <w:r>
              <w:rPr/>
              <w:t>Jewelry scrapping cost of goods sold</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28,754</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27,328</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3,486</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pPr>
            <w:r>
              <w:rPr/>
              <w:t>1,862</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197</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85</w:t>
            </w:r>
          </w:p>
        </w:tc>
        <w:tc>
          <w:tcPr>
            <w:tcW w:w="110" w:type="dxa"/>
            <w:tcBorders/>
            <w:shd w:fill="auto" w:val="clear"/>
            <w:vAlign w:val="bottom"/>
          </w:tcPr>
          <w:p>
            <w:pPr>
              <w:pStyle w:val="TableContents"/>
              <w:spacing w:before="0" w:after="283"/>
              <w:rPr/>
            </w:pPr>
            <w:r>
              <w:rPr/>
              <w:t> </w:t>
            </w:r>
          </w:p>
        </w:tc>
      </w:tr>
      <w:tr>
        <w:trPr/>
        <w:tc>
          <w:tcPr>
            <w:tcW w:w="2068" w:type="dxa"/>
            <w:tcBorders/>
            <w:shd w:fill="CCEEFF" w:val="clear"/>
            <w:vAlign w:val="bottom"/>
          </w:tcPr>
          <w:p>
            <w:pPr>
              <w:pStyle w:val="TableContents"/>
              <w:spacing w:before="0" w:after="0"/>
              <w:ind w:left="225" w:right="0" w:hanging="225"/>
              <w:rPr/>
            </w:pPr>
            <w:r>
              <w:rPr/>
              <w:t>Signature loan bad debt</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325</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159</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10,166</w:t>
            </w:r>
          </w:p>
        </w:tc>
        <w:tc>
          <w:tcPr>
            <w:tcW w:w="10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8,758</w:t>
            </w:r>
          </w:p>
        </w:tc>
        <w:tc>
          <w:tcPr>
            <w:tcW w:w="110" w:type="dxa"/>
            <w:tcBorders/>
            <w:shd w:fill="CCEEFF"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0"/>
              <w:ind w:left="225" w:right="0" w:hanging="225"/>
              <w:rPr/>
            </w:pPr>
            <w:r>
              <w:rPr/>
              <w:t>Auto title loan bad debt</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69</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44</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467</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792</w:t>
            </w:r>
          </w:p>
        </w:tc>
        <w:tc>
          <w:tcPr>
            <w:tcW w:w="110" w:type="dxa"/>
            <w:tcBorders/>
            <w:shd w:fill="auto" w:val="clear"/>
            <w:vAlign w:val="bottom"/>
          </w:tcPr>
          <w:p>
            <w:pPr>
              <w:pStyle w:val="TableContents"/>
              <w:spacing w:before="0" w:after="283"/>
              <w:rPr/>
            </w:pPr>
            <w:r>
              <w:rPr/>
              <w:t> </w:t>
            </w:r>
          </w:p>
        </w:tc>
      </w:tr>
      <w:tr>
        <w:trPr/>
        <w:tc>
          <w:tcPr>
            <w:tcW w:w="2068" w:type="dxa"/>
            <w:tcBorders/>
            <w:shd w:fill="auto" w:val="clear"/>
            <w:vAlign w:val="center"/>
          </w:tcPr>
          <w:p>
            <w:pPr>
              <w:pStyle w:val="TableContents"/>
              <w:spacing w:before="0" w:after="0"/>
              <w:ind w:left="225" w:right="0" w:hanging="225"/>
              <w:rPr/>
            </w:pPr>
            <w:r>
              <w:rPr/>
              <w:t> </w:t>
            </w:r>
          </w:p>
        </w:tc>
        <w:tc>
          <w:tcPr>
            <w:tcW w:w="278"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8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8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2068" w:type="dxa"/>
            <w:tcBorders/>
            <w:shd w:fill="CCEEFF" w:val="clear"/>
            <w:vAlign w:val="bottom"/>
          </w:tcPr>
          <w:p>
            <w:pPr>
              <w:pStyle w:val="TableContents"/>
              <w:spacing w:before="0" w:after="0"/>
              <w:ind w:left="450" w:right="0" w:hanging="225"/>
              <w:rPr/>
            </w:pPr>
            <w:r>
              <w:rPr/>
              <w:t>Net revenues</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87,316</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73,825</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7,930</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pPr>
            <w:r>
              <w:rPr/>
              <w:t>4,297</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27,751</w:t>
            </w:r>
          </w:p>
        </w:tc>
        <w:tc>
          <w:tcPr>
            <w:tcW w:w="10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26,682</w:t>
            </w:r>
          </w:p>
        </w:tc>
        <w:tc>
          <w:tcPr>
            <w:tcW w:w="110" w:type="dxa"/>
            <w:tcBorders/>
            <w:shd w:fill="CCEEFF"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0"/>
              <w:ind w:left="225" w:right="0" w:hanging="225"/>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068" w:type="dxa"/>
            <w:tcBorders/>
            <w:shd w:fill="auto" w:val="clear"/>
            <w:vAlign w:val="bottom"/>
          </w:tcPr>
          <w:p>
            <w:pPr>
              <w:pStyle w:val="TableContents"/>
              <w:spacing w:before="0" w:after="0"/>
              <w:ind w:left="225" w:right="0" w:hanging="225"/>
              <w:rPr/>
            </w:pPr>
            <w:r>
              <w:rPr/>
              <w:t>Operations expense</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44,280</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39,148</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5,406</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pPr>
            <w:r>
              <w:rPr/>
              <w:t>2,999</w:t>
            </w:r>
          </w:p>
        </w:tc>
        <w:tc>
          <w:tcPr>
            <w:tcW w:w="9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17,067</w:t>
            </w:r>
          </w:p>
        </w:tc>
        <w:tc>
          <w:tcPr>
            <w:tcW w:w="10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15,805</w:t>
            </w:r>
          </w:p>
        </w:tc>
        <w:tc>
          <w:tcPr>
            <w:tcW w:w="110" w:type="dxa"/>
            <w:tcBorders/>
            <w:shd w:fill="auto" w:val="clear"/>
            <w:vAlign w:val="bottom"/>
          </w:tcPr>
          <w:p>
            <w:pPr>
              <w:pStyle w:val="TableContents"/>
              <w:spacing w:before="0" w:after="283"/>
              <w:rPr/>
            </w:pPr>
            <w:r>
              <w:rPr/>
              <w:t> </w:t>
            </w:r>
          </w:p>
        </w:tc>
      </w:tr>
      <w:tr>
        <w:trPr/>
        <w:tc>
          <w:tcPr>
            <w:tcW w:w="2068" w:type="dxa"/>
            <w:tcBorders/>
            <w:shd w:fill="auto" w:val="clear"/>
            <w:vAlign w:val="center"/>
          </w:tcPr>
          <w:p>
            <w:pPr>
              <w:pStyle w:val="TableContents"/>
              <w:spacing w:before="0" w:after="0"/>
              <w:ind w:left="225" w:right="0" w:hanging="225"/>
              <w:rPr/>
            </w:pPr>
            <w:r>
              <w:rPr/>
              <w:t> </w:t>
            </w:r>
          </w:p>
        </w:tc>
        <w:tc>
          <w:tcPr>
            <w:tcW w:w="278"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8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8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2068" w:type="dxa"/>
            <w:tcBorders/>
            <w:shd w:fill="CCEEFF" w:val="clear"/>
            <w:vAlign w:val="bottom"/>
          </w:tcPr>
          <w:p>
            <w:pPr>
              <w:pStyle w:val="TableContents"/>
              <w:spacing w:before="0" w:after="0"/>
              <w:ind w:left="450" w:right="0" w:hanging="225"/>
              <w:rPr/>
            </w:pPr>
            <w:r>
              <w:rPr/>
              <w:t>Store operating income</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43,036</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45" w:type="dxa"/>
            <w:tcBorders/>
            <w:shd w:fill="CCEEFF" w:val="clear"/>
            <w:vAlign w:val="bottom"/>
          </w:tcPr>
          <w:p>
            <w:pPr>
              <w:pStyle w:val="TableContents"/>
              <w:spacing w:before="0" w:after="283"/>
              <w:jc w:val="right"/>
              <w:rPr/>
            </w:pPr>
            <w:r>
              <w:rPr/>
              <w:t>34,677</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745" w:type="dxa"/>
            <w:tcBorders/>
            <w:shd w:fill="CCEEFF" w:val="clear"/>
            <w:vAlign w:val="bottom"/>
          </w:tcPr>
          <w:p>
            <w:pPr>
              <w:pStyle w:val="TableContents"/>
              <w:spacing w:before="0" w:after="283"/>
              <w:jc w:val="right"/>
              <w:rPr/>
            </w:pPr>
            <w:r>
              <w:rPr/>
              <w:t>2,524</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653" w:type="dxa"/>
            <w:tcBorders/>
            <w:shd w:fill="CCEEFF" w:val="clear"/>
            <w:vAlign w:val="bottom"/>
          </w:tcPr>
          <w:p>
            <w:pPr>
              <w:pStyle w:val="TableContents"/>
              <w:spacing w:before="0" w:after="283"/>
              <w:jc w:val="right"/>
              <w:rPr/>
            </w:pPr>
            <w:r>
              <w:rPr/>
              <w:t>1,298</w:t>
            </w:r>
          </w:p>
        </w:tc>
        <w:tc>
          <w:tcPr>
            <w:tcW w:w="9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905" w:type="dxa"/>
            <w:tcBorders/>
            <w:shd w:fill="CCEEFF" w:val="clear"/>
            <w:vAlign w:val="bottom"/>
          </w:tcPr>
          <w:p>
            <w:pPr>
              <w:pStyle w:val="TableContents"/>
              <w:spacing w:before="0" w:after="283"/>
              <w:jc w:val="right"/>
              <w:rPr/>
            </w:pPr>
            <w:r>
              <w:rPr/>
              <w:t>10,684</w:t>
            </w:r>
          </w:p>
        </w:tc>
        <w:tc>
          <w:tcPr>
            <w:tcW w:w="10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908" w:type="dxa"/>
            <w:tcBorders/>
            <w:shd w:fill="CCEEFF" w:val="clear"/>
            <w:vAlign w:val="bottom"/>
          </w:tcPr>
          <w:p>
            <w:pPr>
              <w:pStyle w:val="TableContents"/>
              <w:spacing w:before="0" w:after="283"/>
              <w:jc w:val="right"/>
              <w:rPr/>
            </w:pPr>
            <w:r>
              <w:rPr/>
              <w:t>10,877</w:t>
            </w:r>
          </w:p>
        </w:tc>
        <w:tc>
          <w:tcPr>
            <w:tcW w:w="110" w:type="dxa"/>
            <w:tcBorders/>
            <w:shd w:fill="CCEEFF" w:val="clear"/>
            <w:vAlign w:val="bottom"/>
          </w:tcPr>
          <w:p>
            <w:pPr>
              <w:pStyle w:val="TableContents"/>
              <w:spacing w:before="0" w:after="283"/>
              <w:rPr/>
            </w:pPr>
            <w:r>
              <w:rPr/>
              <w:t> </w:t>
            </w:r>
          </w:p>
        </w:tc>
      </w:tr>
      <w:tr>
        <w:trPr/>
        <w:tc>
          <w:tcPr>
            <w:tcW w:w="2068" w:type="dxa"/>
            <w:tcBorders/>
            <w:shd w:fill="auto" w:val="clear"/>
            <w:vAlign w:val="center"/>
          </w:tcPr>
          <w:p>
            <w:pPr>
              <w:pStyle w:val="TableContents"/>
              <w:spacing w:before="0" w:after="0"/>
              <w:ind w:left="225" w:right="0" w:hanging="225"/>
              <w:rPr/>
            </w:pPr>
            <w:r>
              <w:rPr/>
              <w:t> </w:t>
            </w:r>
          </w:p>
        </w:tc>
        <w:tc>
          <w:tcPr>
            <w:tcW w:w="278"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9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8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8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10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038"/>
        <w:gridCol w:w="273"/>
        <w:gridCol w:w="152"/>
        <w:gridCol w:w="841"/>
        <w:gridCol w:w="90"/>
        <w:gridCol w:w="273"/>
        <w:gridCol w:w="152"/>
        <w:gridCol w:w="843"/>
        <w:gridCol w:w="90"/>
        <w:gridCol w:w="273"/>
        <w:gridCol w:w="151"/>
        <w:gridCol w:w="741"/>
        <w:gridCol w:w="89"/>
        <w:gridCol w:w="273"/>
        <w:gridCol w:w="151"/>
        <w:gridCol w:w="741"/>
        <w:gridCol w:w="90"/>
        <w:gridCol w:w="273"/>
        <w:gridCol w:w="167"/>
        <w:gridCol w:w="927"/>
        <w:gridCol w:w="97"/>
        <w:gridCol w:w="279"/>
        <w:gridCol w:w="167"/>
        <w:gridCol w:w="928"/>
        <w:gridCol w:w="106"/>
      </w:tblGrid>
      <w:tr>
        <w:trPr/>
        <w:tc>
          <w:tcPr>
            <w:tcW w:w="203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7788" w:type="dxa"/>
            <w:gridSpan w:val="22"/>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June 30,</w:t>
            </w:r>
          </w:p>
        </w:tc>
        <w:tc>
          <w:tcPr>
            <w:tcW w:w="106"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351" w:type="dxa"/>
            <w:gridSpan w:val="6"/>
            <w:tcBorders>
              <w:bottom w:val="single" w:sz="2" w:space="0" w:color="000000"/>
            </w:tcBorders>
            <w:shd w:fill="auto" w:val="clear"/>
            <w:tcMar>
              <w:bottom w:w="28" w:type="dxa"/>
            </w:tcMar>
            <w:vAlign w:val="bottom"/>
          </w:tcPr>
          <w:p>
            <w:pPr>
              <w:pStyle w:val="TableContents"/>
              <w:spacing w:before="0" w:after="283"/>
              <w:jc w:val="center"/>
              <w:rPr/>
            </w:pPr>
            <w:r>
              <w:rPr/>
              <w:t>US Pawn Operations</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146" w:type="dxa"/>
            <w:gridSpan w:val="6"/>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565" w:type="dxa"/>
            <w:gridSpan w:val="6"/>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106"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99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89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89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0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09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6"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225" w:right="0" w:hanging="225"/>
              <w:rPr/>
            </w:pPr>
            <w:r>
              <w:rPr/>
              <w:t>Revenues:</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450" w:right="0" w:hanging="225"/>
              <w:rPr/>
            </w:pPr>
            <w:r>
              <w:rPr/>
              <w:t>Merchandise sales</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196,893</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43" w:type="dxa"/>
            <w:tcBorders/>
            <w:shd w:fill="auto" w:val="clear"/>
            <w:vAlign w:val="bottom"/>
          </w:tcPr>
          <w:p>
            <w:pPr>
              <w:pStyle w:val="TableContents"/>
              <w:spacing w:before="0" w:after="283"/>
              <w:jc w:val="right"/>
              <w:rPr/>
            </w:pPr>
            <w:r>
              <w:rPr/>
              <w:t>174,060</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741" w:type="dxa"/>
            <w:tcBorders/>
            <w:shd w:fill="auto" w:val="clear"/>
            <w:vAlign w:val="bottom"/>
          </w:tcPr>
          <w:p>
            <w:pPr>
              <w:pStyle w:val="TableContents"/>
              <w:spacing w:before="0" w:after="283"/>
              <w:jc w:val="right"/>
              <w:rPr/>
            </w:pPr>
            <w:r>
              <w:rPr/>
              <w:t>17,329</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741" w:type="dxa"/>
            <w:tcBorders/>
            <w:shd w:fill="auto" w:val="clear"/>
            <w:vAlign w:val="bottom"/>
          </w:tcPr>
          <w:p>
            <w:pPr>
              <w:pStyle w:val="TableContents"/>
              <w:spacing w:before="0" w:after="283"/>
              <w:jc w:val="right"/>
              <w:rPr/>
            </w:pPr>
            <w:r>
              <w:rPr/>
              <w:t>10,142</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27" w:type="dxa"/>
            <w:tcBorders/>
            <w:shd w:fill="auto" w:val="clear"/>
            <w:vAlign w:val="bottom"/>
          </w:tcPr>
          <w:p>
            <w:pPr>
              <w:pStyle w:val="TableContents"/>
              <w:spacing w:before="0" w:after="283"/>
              <w:jc w:val="right"/>
              <w:rPr/>
            </w:pPr>
            <w:r>
              <w:rPr/>
              <w:t>5</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450" w:right="0" w:hanging="225"/>
              <w:rPr/>
            </w:pPr>
            <w:r>
              <w:rPr/>
              <w:t>Jewelry scrapping sales</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137,221</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112,660</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11,363</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4,550</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847</w:t>
            </w:r>
          </w:p>
        </w:tc>
        <w:tc>
          <w:tcPr>
            <w:tcW w:w="97"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233</w:t>
            </w:r>
          </w:p>
        </w:tc>
        <w:tc>
          <w:tcPr>
            <w:tcW w:w="106"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450" w:right="0" w:hanging="225"/>
              <w:rPr/>
            </w:pPr>
            <w:r>
              <w:rPr/>
              <w:t>Pawn service charges</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133,355</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112,211</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11,589</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6,316</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450" w:right="0" w:hanging="225"/>
              <w:rPr/>
            </w:pPr>
            <w:r>
              <w:rPr/>
              <w:t>Signature loan fees</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1,607</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1,442</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107,757</w:t>
            </w:r>
          </w:p>
        </w:tc>
        <w:tc>
          <w:tcPr>
            <w:tcW w:w="97"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101,174</w:t>
            </w:r>
          </w:p>
        </w:tc>
        <w:tc>
          <w:tcPr>
            <w:tcW w:w="106"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450" w:right="0" w:hanging="225"/>
              <w:rPr/>
            </w:pPr>
            <w:r>
              <w:rPr/>
              <w:t>Auto title loan fees</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1,092</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1,261</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15,196</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10,455</w:t>
            </w:r>
          </w:p>
        </w:tc>
        <w:tc>
          <w:tcPr>
            <w:tcW w:w="106"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450" w:right="0" w:hanging="225"/>
              <w:rPr/>
            </w:pPr>
            <w:r>
              <w:rPr/>
              <w:t>Other</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420</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365</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34</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524</w:t>
            </w:r>
          </w:p>
        </w:tc>
        <w:tc>
          <w:tcPr>
            <w:tcW w:w="97"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8</w:t>
            </w:r>
          </w:p>
        </w:tc>
        <w:tc>
          <w:tcPr>
            <w:tcW w:w="106" w:type="dxa"/>
            <w:tcBorders/>
            <w:shd w:fill="CCEEFF" w:val="clear"/>
            <w:vAlign w:val="bottom"/>
          </w:tcPr>
          <w:p>
            <w:pPr>
              <w:pStyle w:val="TableContents"/>
              <w:spacing w:before="0" w:after="283"/>
              <w:rPr/>
            </w:pPr>
            <w:r>
              <w:rPr/>
              <w:t> </w:t>
            </w:r>
          </w:p>
        </w:tc>
      </w:tr>
      <w:tr>
        <w:trPr/>
        <w:tc>
          <w:tcPr>
            <w:tcW w:w="2038" w:type="dxa"/>
            <w:tcBorders/>
            <w:shd w:fill="auto" w:val="clear"/>
            <w:vAlign w:val="center"/>
          </w:tcPr>
          <w:p>
            <w:pPr>
              <w:pStyle w:val="TableContents"/>
              <w:spacing w:before="0" w:after="0"/>
              <w:ind w:left="225" w:right="0" w:hanging="225"/>
              <w:rPr/>
            </w:pPr>
            <w:r>
              <w:rPr/>
              <w:t> </w:t>
            </w:r>
          </w:p>
        </w:tc>
        <w:tc>
          <w:tcPr>
            <w:tcW w:w="273"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0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038" w:type="dxa"/>
            <w:tcBorders/>
            <w:shd w:fill="auto" w:val="clear"/>
            <w:vAlign w:val="bottom"/>
          </w:tcPr>
          <w:p>
            <w:pPr>
              <w:pStyle w:val="TableContents"/>
              <w:spacing w:before="0" w:after="0"/>
              <w:ind w:left="675" w:right="0" w:hanging="225"/>
              <w:rPr/>
            </w:pPr>
            <w:r>
              <w:rPr/>
              <w:t>Total revenues</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470,588</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401,999</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40,315</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21,008</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124,329</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111,870</w:t>
            </w:r>
          </w:p>
        </w:tc>
        <w:tc>
          <w:tcPr>
            <w:tcW w:w="106"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225" w:right="0" w:hanging="225"/>
              <w:rPr/>
            </w:pPr>
            <w:r>
              <w:rPr/>
              <w:t>Merchandise cost of goods sold</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112,592</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101,713</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10,036</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6,342</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13</w:t>
            </w:r>
          </w:p>
        </w:tc>
        <w:tc>
          <w:tcPr>
            <w:tcW w:w="97"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Jewelry scrapping cost of goods sold</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86,979</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71,635</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9,201</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3,911</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437</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116</w:t>
            </w:r>
          </w:p>
        </w:tc>
        <w:tc>
          <w:tcPr>
            <w:tcW w:w="106"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225" w:right="0" w:hanging="225"/>
              <w:rPr/>
            </w:pPr>
            <w:r>
              <w:rPr/>
              <w:t>Signature loan bad debt</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583</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446</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25,392</w:t>
            </w:r>
          </w:p>
        </w:tc>
        <w:tc>
          <w:tcPr>
            <w:tcW w:w="97"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21,658</w:t>
            </w:r>
          </w:p>
        </w:tc>
        <w:tc>
          <w:tcPr>
            <w:tcW w:w="106"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Auto title loan bad debt</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110</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166</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1,710</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1,450</w:t>
            </w:r>
          </w:p>
        </w:tc>
        <w:tc>
          <w:tcPr>
            <w:tcW w:w="106" w:type="dxa"/>
            <w:tcBorders/>
            <w:shd w:fill="auto" w:val="clear"/>
            <w:vAlign w:val="bottom"/>
          </w:tcPr>
          <w:p>
            <w:pPr>
              <w:pStyle w:val="TableContents"/>
              <w:spacing w:before="0" w:after="283"/>
              <w:rPr/>
            </w:pPr>
            <w:r>
              <w:rPr/>
              <w:t> </w:t>
            </w:r>
          </w:p>
        </w:tc>
      </w:tr>
      <w:tr>
        <w:trPr/>
        <w:tc>
          <w:tcPr>
            <w:tcW w:w="2038" w:type="dxa"/>
            <w:tcBorders/>
            <w:shd w:fill="auto" w:val="clear"/>
            <w:vAlign w:val="center"/>
          </w:tcPr>
          <w:p>
            <w:pPr>
              <w:pStyle w:val="TableContents"/>
              <w:spacing w:before="0" w:after="0"/>
              <w:ind w:left="225" w:right="0" w:hanging="225"/>
              <w:rPr/>
            </w:pPr>
            <w:r>
              <w:rPr/>
              <w:t> </w:t>
            </w:r>
          </w:p>
        </w:tc>
        <w:tc>
          <w:tcPr>
            <w:tcW w:w="273"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0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450" w:right="0" w:hanging="225"/>
              <w:rPr/>
            </w:pPr>
            <w:r>
              <w:rPr/>
              <w:t>Net revenues</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270,324</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228,039</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21,078</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10,755</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96,777</w:t>
            </w:r>
          </w:p>
        </w:tc>
        <w:tc>
          <w:tcPr>
            <w:tcW w:w="97"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88,646</w:t>
            </w:r>
          </w:p>
        </w:tc>
        <w:tc>
          <w:tcPr>
            <w:tcW w:w="106"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Operations expense</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131,293</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119,259</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14,533</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7,736</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51,476</w:t>
            </w:r>
          </w:p>
        </w:tc>
        <w:tc>
          <w:tcPr>
            <w:tcW w:w="9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47,343</w:t>
            </w:r>
          </w:p>
        </w:tc>
        <w:tc>
          <w:tcPr>
            <w:tcW w:w="106" w:type="dxa"/>
            <w:tcBorders/>
            <w:shd w:fill="auto" w:val="clear"/>
            <w:vAlign w:val="bottom"/>
          </w:tcPr>
          <w:p>
            <w:pPr>
              <w:pStyle w:val="TableContents"/>
              <w:spacing w:before="0" w:after="283"/>
              <w:rPr/>
            </w:pPr>
            <w:r>
              <w:rPr/>
              <w:t> </w:t>
            </w:r>
          </w:p>
        </w:tc>
      </w:tr>
      <w:tr>
        <w:trPr/>
        <w:tc>
          <w:tcPr>
            <w:tcW w:w="2038" w:type="dxa"/>
            <w:tcBorders/>
            <w:shd w:fill="auto" w:val="clear"/>
            <w:vAlign w:val="center"/>
          </w:tcPr>
          <w:p>
            <w:pPr>
              <w:pStyle w:val="TableContents"/>
              <w:spacing w:before="0" w:after="0"/>
              <w:ind w:left="225" w:right="0" w:hanging="225"/>
              <w:rPr/>
            </w:pPr>
            <w:r>
              <w:rPr/>
              <w:t> </w:t>
            </w:r>
          </w:p>
        </w:tc>
        <w:tc>
          <w:tcPr>
            <w:tcW w:w="273"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0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450" w:right="0" w:hanging="225"/>
              <w:rPr/>
            </w:pPr>
            <w:r>
              <w:rPr/>
              <w:t>Store operating income</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41" w:type="dxa"/>
            <w:tcBorders/>
            <w:shd w:fill="CCEEFF" w:val="clear"/>
            <w:vAlign w:val="bottom"/>
          </w:tcPr>
          <w:p>
            <w:pPr>
              <w:pStyle w:val="TableContents"/>
              <w:spacing w:before="0" w:after="283"/>
              <w:jc w:val="right"/>
              <w:rPr/>
            </w:pPr>
            <w:r>
              <w:rPr/>
              <w:t>139,031</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43" w:type="dxa"/>
            <w:tcBorders/>
            <w:shd w:fill="CCEEFF" w:val="clear"/>
            <w:vAlign w:val="bottom"/>
          </w:tcPr>
          <w:p>
            <w:pPr>
              <w:pStyle w:val="TableContents"/>
              <w:spacing w:before="0" w:after="283"/>
              <w:jc w:val="right"/>
              <w:rPr/>
            </w:pPr>
            <w:r>
              <w:rPr/>
              <w:t>108,780</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741" w:type="dxa"/>
            <w:tcBorders/>
            <w:shd w:fill="CCEEFF" w:val="clear"/>
            <w:vAlign w:val="bottom"/>
          </w:tcPr>
          <w:p>
            <w:pPr>
              <w:pStyle w:val="TableContents"/>
              <w:spacing w:before="0" w:after="283"/>
              <w:jc w:val="right"/>
              <w:rPr/>
            </w:pPr>
            <w:r>
              <w:rPr/>
              <w:t>6,545</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741" w:type="dxa"/>
            <w:tcBorders/>
            <w:shd w:fill="CCEEFF" w:val="clear"/>
            <w:vAlign w:val="bottom"/>
          </w:tcPr>
          <w:p>
            <w:pPr>
              <w:pStyle w:val="TableContents"/>
              <w:spacing w:before="0" w:after="283"/>
              <w:jc w:val="right"/>
              <w:rPr/>
            </w:pPr>
            <w:r>
              <w:rPr/>
              <w:t>3,019</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27" w:type="dxa"/>
            <w:tcBorders/>
            <w:shd w:fill="CCEEFF" w:val="clear"/>
            <w:vAlign w:val="bottom"/>
          </w:tcPr>
          <w:p>
            <w:pPr>
              <w:pStyle w:val="TableContents"/>
              <w:spacing w:before="0" w:after="283"/>
              <w:jc w:val="right"/>
              <w:rPr/>
            </w:pPr>
            <w:r>
              <w:rPr/>
              <w:t>45,301</w:t>
            </w:r>
          </w:p>
        </w:tc>
        <w:tc>
          <w:tcPr>
            <w:tcW w:w="97"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28" w:type="dxa"/>
            <w:tcBorders/>
            <w:shd w:fill="CCEEFF" w:val="clear"/>
            <w:vAlign w:val="bottom"/>
          </w:tcPr>
          <w:p>
            <w:pPr>
              <w:pStyle w:val="TableContents"/>
              <w:spacing w:before="0" w:after="283"/>
              <w:jc w:val="right"/>
              <w:rPr/>
            </w:pPr>
            <w:r>
              <w:rPr/>
              <w:t>41,303</w:t>
            </w:r>
          </w:p>
        </w:tc>
        <w:tc>
          <w:tcPr>
            <w:tcW w:w="106" w:type="dxa"/>
            <w:tcBorders/>
            <w:shd w:fill="CCEEFF" w:val="clear"/>
            <w:vAlign w:val="bottom"/>
          </w:tcPr>
          <w:p>
            <w:pPr>
              <w:pStyle w:val="TableContents"/>
              <w:spacing w:before="0" w:after="283"/>
              <w:rPr/>
            </w:pPr>
            <w:r>
              <w:rPr/>
              <w:t> </w:t>
            </w:r>
          </w:p>
        </w:tc>
      </w:tr>
      <w:tr>
        <w:trPr/>
        <w:tc>
          <w:tcPr>
            <w:tcW w:w="2038" w:type="dxa"/>
            <w:tcBorders/>
            <w:shd w:fill="auto" w:val="clear"/>
            <w:vAlign w:val="center"/>
          </w:tcPr>
          <w:p>
            <w:pPr>
              <w:pStyle w:val="TableContents"/>
              <w:spacing w:before="0" w:after="0"/>
              <w:ind w:left="225" w:right="0" w:hanging="225"/>
              <w:rPr/>
            </w:pPr>
            <w:r>
              <w:rPr/>
              <w:t> </w:t>
            </w:r>
          </w:p>
        </w:tc>
        <w:tc>
          <w:tcPr>
            <w:tcW w:w="273"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0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0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store operating income as shown above, to our consolidated income before income taxes (in thousands): </w:t>
      </w:r>
    </w:p>
    <w:tbl>
      <w:tblPr>
        <w:tblW w:w="5000" w:type="pct"/>
        <w:jc w:val="center"/>
        <w:tblInd w:w="0" w:type="dxa"/>
        <w:tblCellMar>
          <w:top w:w="0" w:type="dxa"/>
          <w:left w:w="0" w:type="dxa"/>
          <w:bottom w:w="0" w:type="dxa"/>
          <w:right w:w="0" w:type="dxa"/>
        </w:tblCellMar>
      </w:tblPr>
      <w:tblGrid>
        <w:gridCol w:w="3271"/>
        <w:gridCol w:w="268"/>
        <w:gridCol w:w="225"/>
        <w:gridCol w:w="1098"/>
        <w:gridCol w:w="166"/>
        <w:gridCol w:w="297"/>
        <w:gridCol w:w="225"/>
        <w:gridCol w:w="1101"/>
        <w:gridCol w:w="120"/>
        <w:gridCol w:w="268"/>
        <w:gridCol w:w="198"/>
        <w:gridCol w:w="1103"/>
        <w:gridCol w:w="148"/>
        <w:gridCol w:w="286"/>
        <w:gridCol w:w="198"/>
        <w:gridCol w:w="1104"/>
        <w:gridCol w:w="129"/>
      </w:tblGrid>
      <w:tr>
        <w:trPr/>
        <w:tc>
          <w:tcPr>
            <w:tcW w:w="3271"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3271"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3112"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June 30,</w:t>
            </w:r>
          </w:p>
        </w:tc>
        <w:tc>
          <w:tcPr>
            <w:tcW w:w="1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3037" w:type="dxa"/>
            <w:gridSpan w:val="6"/>
            <w:tcBorders>
              <w:bottom w:val="single" w:sz="2" w:space="0" w:color="000000"/>
            </w:tcBorders>
            <w:shd w:fill="auto" w:val="clear"/>
            <w:tcMar>
              <w:bottom w:w="28" w:type="dxa"/>
            </w:tcMar>
            <w:vAlign w:val="bottom"/>
          </w:tcPr>
          <w:p>
            <w:pPr>
              <w:pStyle w:val="TableContents"/>
              <w:spacing w:before="0" w:after="283"/>
              <w:jc w:val="center"/>
              <w:rPr/>
            </w:pPr>
            <w:r>
              <w:rPr/>
              <w:t>Nine Months Ended June 30,</w:t>
            </w:r>
          </w:p>
        </w:tc>
        <w:tc>
          <w:tcPr>
            <w:tcW w:w="129" w:type="dxa"/>
            <w:tcBorders/>
            <w:shd w:fill="auto" w:val="clear"/>
            <w:vAlign w:val="bottom"/>
          </w:tcPr>
          <w:p>
            <w:pPr>
              <w:pStyle w:val="TableContents"/>
              <w:spacing w:before="0" w:after="283"/>
              <w:rPr/>
            </w:pPr>
            <w:r>
              <w:rPr/>
              <w:t> </w:t>
            </w:r>
          </w:p>
        </w:tc>
      </w:tr>
      <w:tr>
        <w:trPr/>
        <w:tc>
          <w:tcPr>
            <w:tcW w:w="3271"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2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66"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32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3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9" w:type="dxa"/>
            <w:tcBorders/>
            <w:shd w:fill="auto" w:val="clear"/>
            <w:vAlign w:val="bottom"/>
          </w:tcPr>
          <w:p>
            <w:pPr>
              <w:pStyle w:val="TableContents"/>
              <w:spacing w:before="0" w:after="283"/>
              <w:rPr/>
            </w:pPr>
            <w:r>
              <w:rPr/>
              <w:t> </w:t>
            </w:r>
          </w:p>
        </w:tc>
      </w:tr>
      <w:tr>
        <w:trPr/>
        <w:tc>
          <w:tcPr>
            <w:tcW w:w="3271" w:type="dxa"/>
            <w:tcBorders/>
            <w:shd w:fill="CCEEFF" w:val="clear"/>
            <w:vAlign w:val="bottom"/>
          </w:tcPr>
          <w:p>
            <w:pPr>
              <w:pStyle w:val="TableContents"/>
              <w:spacing w:before="0" w:after="0"/>
              <w:ind w:left="225" w:right="0" w:hanging="225"/>
              <w:rPr/>
            </w:pPr>
            <w:r>
              <w:rPr/>
              <w:t>U.S. Pawn Operations store operating income</w:t>
            </w:r>
          </w:p>
        </w:tc>
        <w:tc>
          <w:tcPr>
            <w:tcW w:w="268"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1098" w:type="dxa"/>
            <w:tcBorders/>
            <w:shd w:fill="CCEEFF" w:val="clear"/>
            <w:vAlign w:val="bottom"/>
          </w:tcPr>
          <w:p>
            <w:pPr>
              <w:pStyle w:val="TableContents"/>
              <w:spacing w:before="0" w:after="283"/>
              <w:jc w:val="right"/>
              <w:rPr/>
            </w:pPr>
            <w:r>
              <w:rPr/>
              <w:t>43,036</w:t>
            </w:r>
          </w:p>
        </w:tc>
        <w:tc>
          <w:tcPr>
            <w:tcW w:w="166"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1101" w:type="dxa"/>
            <w:tcBorders/>
            <w:shd w:fill="CCEEFF" w:val="clear"/>
            <w:vAlign w:val="bottom"/>
          </w:tcPr>
          <w:p>
            <w:pPr>
              <w:pStyle w:val="TableContents"/>
              <w:spacing w:before="0" w:after="283"/>
              <w:jc w:val="right"/>
              <w:rPr/>
            </w:pPr>
            <w:r>
              <w:rPr/>
              <w:t>34,677</w:t>
            </w:r>
          </w:p>
        </w:tc>
        <w:tc>
          <w:tcPr>
            <w:tcW w:w="1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103" w:type="dxa"/>
            <w:tcBorders/>
            <w:shd w:fill="CCEEFF" w:val="clear"/>
            <w:vAlign w:val="bottom"/>
          </w:tcPr>
          <w:p>
            <w:pPr>
              <w:pStyle w:val="TableContents"/>
              <w:spacing w:before="0" w:after="283"/>
              <w:jc w:val="right"/>
              <w:rPr/>
            </w:pPr>
            <w:r>
              <w:rPr/>
              <w:t>139,031</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104" w:type="dxa"/>
            <w:tcBorders/>
            <w:shd w:fill="CCEEFF" w:val="clear"/>
            <w:vAlign w:val="bottom"/>
          </w:tcPr>
          <w:p>
            <w:pPr>
              <w:pStyle w:val="TableContents"/>
              <w:spacing w:before="0" w:after="283"/>
              <w:jc w:val="right"/>
              <w:rPr/>
            </w:pPr>
            <w:r>
              <w:rPr/>
              <w:t>108,780</w:t>
            </w:r>
          </w:p>
        </w:tc>
        <w:tc>
          <w:tcPr>
            <w:tcW w:w="129" w:type="dxa"/>
            <w:tcBorders/>
            <w:shd w:fill="CCEEFF" w:val="clear"/>
            <w:vAlign w:val="bottom"/>
          </w:tcPr>
          <w:p>
            <w:pPr>
              <w:pStyle w:val="TableContents"/>
              <w:spacing w:before="0" w:after="283"/>
              <w:rPr/>
            </w:pPr>
            <w:r>
              <w:rPr/>
              <w:t> </w:t>
            </w:r>
          </w:p>
        </w:tc>
      </w:tr>
      <w:tr>
        <w:trPr/>
        <w:tc>
          <w:tcPr>
            <w:tcW w:w="3271" w:type="dxa"/>
            <w:tcBorders/>
            <w:shd w:fill="auto" w:val="clear"/>
            <w:vAlign w:val="bottom"/>
          </w:tcPr>
          <w:p>
            <w:pPr>
              <w:pStyle w:val="TableContents"/>
              <w:spacing w:before="0" w:after="0"/>
              <w:ind w:left="225" w:right="0" w:hanging="225"/>
              <w:rPr/>
            </w:pPr>
            <w:r>
              <w:rPr/>
              <w:t>Empeño Fácil store operating income</w:t>
            </w:r>
          </w:p>
        </w:tc>
        <w:tc>
          <w:tcPr>
            <w:tcW w:w="26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2,524</w:t>
            </w:r>
          </w:p>
        </w:tc>
        <w:tc>
          <w:tcPr>
            <w:tcW w:w="166"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1,298</w:t>
            </w:r>
          </w:p>
        </w:tc>
        <w:tc>
          <w:tcPr>
            <w:tcW w:w="1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6,545</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3,019</w:t>
            </w:r>
          </w:p>
        </w:tc>
        <w:tc>
          <w:tcPr>
            <w:tcW w:w="129" w:type="dxa"/>
            <w:tcBorders/>
            <w:shd w:fill="auto" w:val="clear"/>
            <w:vAlign w:val="bottom"/>
          </w:tcPr>
          <w:p>
            <w:pPr>
              <w:pStyle w:val="TableContents"/>
              <w:spacing w:before="0" w:after="283"/>
              <w:rPr/>
            </w:pPr>
            <w:r>
              <w:rPr/>
              <w:t> </w:t>
            </w:r>
          </w:p>
        </w:tc>
      </w:tr>
      <w:tr>
        <w:trPr/>
        <w:tc>
          <w:tcPr>
            <w:tcW w:w="3271" w:type="dxa"/>
            <w:tcBorders/>
            <w:shd w:fill="CCEEFF" w:val="clear"/>
            <w:vAlign w:val="bottom"/>
          </w:tcPr>
          <w:p>
            <w:pPr>
              <w:pStyle w:val="TableContents"/>
              <w:spacing w:before="0" w:after="0"/>
              <w:ind w:left="225" w:right="0" w:hanging="225"/>
              <w:rPr/>
            </w:pPr>
            <w:r>
              <w:rPr/>
              <w:t>EZMONEY Operations store operating income</w:t>
            </w:r>
          </w:p>
        </w:tc>
        <w:tc>
          <w:tcPr>
            <w:tcW w:w="268"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10,684</w:t>
            </w:r>
          </w:p>
        </w:tc>
        <w:tc>
          <w:tcPr>
            <w:tcW w:w="166"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10,877</w:t>
            </w:r>
          </w:p>
        </w:tc>
        <w:tc>
          <w:tcPr>
            <w:tcW w:w="1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45,301</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41,303</w:t>
            </w:r>
          </w:p>
        </w:tc>
        <w:tc>
          <w:tcPr>
            <w:tcW w:w="129" w:type="dxa"/>
            <w:tcBorders/>
            <w:shd w:fill="CCEEFF" w:val="clear"/>
            <w:vAlign w:val="bottom"/>
          </w:tcPr>
          <w:p>
            <w:pPr>
              <w:pStyle w:val="TableContents"/>
              <w:spacing w:before="0" w:after="283"/>
              <w:rPr/>
            </w:pPr>
            <w:r>
              <w:rPr/>
              <w:t> </w:t>
            </w:r>
          </w:p>
        </w:tc>
      </w:tr>
      <w:tr>
        <w:trPr/>
        <w:tc>
          <w:tcPr>
            <w:tcW w:w="3271" w:type="dxa"/>
            <w:tcBorders/>
            <w:shd w:fill="auto" w:val="clear"/>
            <w:vAlign w:val="center"/>
          </w:tcPr>
          <w:p>
            <w:pPr>
              <w:pStyle w:val="TableContents"/>
              <w:spacing w:before="0" w:after="0"/>
              <w:ind w:left="225" w:right="0" w:hanging="225"/>
              <w:rPr/>
            </w:pPr>
            <w:r>
              <w:rPr/>
              <w:t> </w:t>
            </w:r>
          </w:p>
        </w:tc>
        <w:tc>
          <w:tcPr>
            <w:tcW w:w="268" w:type="dxa"/>
            <w:tcBorders/>
            <w:shd w:fill="auto" w:val="clear"/>
            <w:vAlign w:val="center"/>
          </w:tcPr>
          <w:p>
            <w:pPr>
              <w:pStyle w:val="TableContents"/>
              <w:spacing w:before="0" w:after="283"/>
              <w:rPr/>
            </w:pPr>
            <w:r>
              <w:rPr/>
              <w:t> </w:t>
            </w:r>
          </w:p>
        </w:tc>
        <w:tc>
          <w:tcPr>
            <w:tcW w:w="13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3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3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3271" w:type="dxa"/>
            <w:tcBorders/>
            <w:shd w:fill="auto" w:val="clear"/>
            <w:vAlign w:val="bottom"/>
          </w:tcPr>
          <w:p>
            <w:pPr>
              <w:pStyle w:val="TableContents"/>
              <w:spacing w:before="0" w:after="0"/>
              <w:ind w:left="450" w:right="0" w:hanging="225"/>
              <w:rPr/>
            </w:pPr>
            <w:r>
              <w:rPr/>
              <w:t>Consolidated store operating income</w:t>
            </w:r>
          </w:p>
        </w:tc>
        <w:tc>
          <w:tcPr>
            <w:tcW w:w="26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56,244</w:t>
            </w:r>
          </w:p>
        </w:tc>
        <w:tc>
          <w:tcPr>
            <w:tcW w:w="166"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46,852</w:t>
            </w:r>
          </w:p>
        </w:tc>
        <w:tc>
          <w:tcPr>
            <w:tcW w:w="1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190,877</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153,102</w:t>
            </w:r>
          </w:p>
        </w:tc>
        <w:tc>
          <w:tcPr>
            <w:tcW w:w="129" w:type="dxa"/>
            <w:tcBorders/>
            <w:shd w:fill="auto" w:val="clear"/>
            <w:vAlign w:val="bottom"/>
          </w:tcPr>
          <w:p>
            <w:pPr>
              <w:pStyle w:val="TableContents"/>
              <w:spacing w:before="0" w:after="283"/>
              <w:rPr/>
            </w:pPr>
            <w:r>
              <w:rPr/>
              <w:t> </w:t>
            </w:r>
          </w:p>
        </w:tc>
      </w:tr>
      <w:tr>
        <w:trPr/>
        <w:tc>
          <w:tcPr>
            <w:tcW w:w="3271" w:type="dxa"/>
            <w:tcBorders/>
            <w:shd w:fill="CCEEFF" w:val="clear"/>
            <w:vAlign w:val="bottom"/>
          </w:tcPr>
          <w:p>
            <w:pPr>
              <w:pStyle w:val="TableContents"/>
              <w:spacing w:before="0" w:after="0"/>
              <w:ind w:left="225" w:right="0" w:hanging="225"/>
              <w:rPr/>
            </w:pPr>
            <w:r>
              <w:rPr/>
              <w:t>Administrative expenses</w:t>
            </w:r>
          </w:p>
        </w:tc>
        <w:tc>
          <w:tcPr>
            <w:tcW w:w="268"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14,379</w:t>
            </w:r>
          </w:p>
        </w:tc>
        <w:tc>
          <w:tcPr>
            <w:tcW w:w="166"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13,576</w:t>
            </w:r>
          </w:p>
        </w:tc>
        <w:tc>
          <w:tcPr>
            <w:tcW w:w="1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56,250</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39,356</w:t>
            </w:r>
          </w:p>
        </w:tc>
        <w:tc>
          <w:tcPr>
            <w:tcW w:w="129" w:type="dxa"/>
            <w:tcBorders/>
            <w:shd w:fill="CCEEFF" w:val="clear"/>
            <w:vAlign w:val="bottom"/>
          </w:tcPr>
          <w:p>
            <w:pPr>
              <w:pStyle w:val="TableContents"/>
              <w:spacing w:before="0" w:after="283"/>
              <w:rPr/>
            </w:pPr>
            <w:r>
              <w:rPr/>
              <w:t> </w:t>
            </w:r>
          </w:p>
        </w:tc>
      </w:tr>
      <w:tr>
        <w:trPr/>
        <w:tc>
          <w:tcPr>
            <w:tcW w:w="3271" w:type="dxa"/>
            <w:tcBorders/>
            <w:shd w:fill="auto" w:val="clear"/>
            <w:vAlign w:val="bottom"/>
          </w:tcPr>
          <w:p>
            <w:pPr>
              <w:pStyle w:val="TableContents"/>
              <w:spacing w:before="0" w:after="0"/>
              <w:ind w:left="225" w:right="0" w:hanging="225"/>
              <w:rPr/>
            </w:pPr>
            <w:r>
              <w:rPr/>
              <w:t>Depreciation and amortization</w:t>
            </w:r>
          </w:p>
        </w:tc>
        <w:tc>
          <w:tcPr>
            <w:tcW w:w="26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4,679</w:t>
            </w:r>
          </w:p>
        </w:tc>
        <w:tc>
          <w:tcPr>
            <w:tcW w:w="166"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3,759</w:t>
            </w:r>
          </w:p>
        </w:tc>
        <w:tc>
          <w:tcPr>
            <w:tcW w:w="1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13,324</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10,688</w:t>
            </w:r>
          </w:p>
        </w:tc>
        <w:tc>
          <w:tcPr>
            <w:tcW w:w="129" w:type="dxa"/>
            <w:tcBorders/>
            <w:shd w:fill="auto" w:val="clear"/>
            <w:vAlign w:val="bottom"/>
          </w:tcPr>
          <w:p>
            <w:pPr>
              <w:pStyle w:val="TableContents"/>
              <w:spacing w:before="0" w:after="283"/>
              <w:rPr/>
            </w:pPr>
            <w:r>
              <w:rPr/>
              <w:t> </w:t>
            </w:r>
          </w:p>
        </w:tc>
      </w:tr>
      <w:tr>
        <w:trPr/>
        <w:tc>
          <w:tcPr>
            <w:tcW w:w="3271" w:type="dxa"/>
            <w:tcBorders/>
            <w:shd w:fill="CCEEFF" w:val="clear"/>
            <w:vAlign w:val="bottom"/>
          </w:tcPr>
          <w:p>
            <w:pPr>
              <w:pStyle w:val="TableContents"/>
              <w:spacing w:before="0" w:after="0"/>
              <w:ind w:left="225" w:right="0" w:hanging="225"/>
              <w:rPr/>
            </w:pPr>
            <w:r>
              <w:rPr/>
              <w:t>(Gain) / loss on sale or disposal of assets</w:t>
            </w:r>
          </w:p>
        </w:tc>
        <w:tc>
          <w:tcPr>
            <w:tcW w:w="268"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169</w:t>
            </w:r>
          </w:p>
        </w:tc>
        <w:tc>
          <w:tcPr>
            <w:tcW w:w="166"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734</w:t>
            </w:r>
          </w:p>
        </w:tc>
        <w:tc>
          <w:tcPr>
            <w:tcW w:w="1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(2</w:t>
            </w:r>
          </w:p>
        </w:tc>
        <w:tc>
          <w:tcPr>
            <w:tcW w:w="148" w:type="dxa"/>
            <w:tcBorders/>
            <w:shd w:fill="CCEEFF" w:val="clear"/>
            <w:vAlign w:val="bottom"/>
          </w:tcPr>
          <w:p>
            <w:pPr>
              <w:pStyle w:val="TableContents"/>
              <w:spacing w:before="0" w:after="283"/>
              <w:rPr/>
            </w:pPr>
            <w:r>
              <w:rPr/>
              <w:t>)</w:t>
            </w:r>
          </w:p>
        </w:tc>
        <w:tc>
          <w:tcPr>
            <w:tcW w:w="28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1,301</w:t>
            </w:r>
          </w:p>
        </w:tc>
        <w:tc>
          <w:tcPr>
            <w:tcW w:w="129" w:type="dxa"/>
            <w:tcBorders/>
            <w:shd w:fill="CCEEFF" w:val="clear"/>
            <w:vAlign w:val="bottom"/>
          </w:tcPr>
          <w:p>
            <w:pPr>
              <w:pStyle w:val="TableContents"/>
              <w:spacing w:before="0" w:after="283"/>
              <w:rPr/>
            </w:pPr>
            <w:r>
              <w:rPr/>
              <w:t> </w:t>
            </w:r>
          </w:p>
        </w:tc>
      </w:tr>
      <w:tr>
        <w:trPr/>
        <w:tc>
          <w:tcPr>
            <w:tcW w:w="3271" w:type="dxa"/>
            <w:tcBorders/>
            <w:shd w:fill="auto" w:val="clear"/>
            <w:vAlign w:val="bottom"/>
          </w:tcPr>
          <w:p>
            <w:pPr>
              <w:pStyle w:val="TableContents"/>
              <w:spacing w:before="0" w:after="0"/>
              <w:ind w:left="225" w:right="0" w:hanging="225"/>
              <w:rPr/>
            </w:pPr>
            <w:r>
              <w:rPr/>
              <w:t>Interest income</w:t>
            </w:r>
          </w:p>
        </w:tc>
        <w:tc>
          <w:tcPr>
            <w:tcW w:w="26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 </w:t>
            </w:r>
          </w:p>
        </w:tc>
        <w:tc>
          <w:tcPr>
            <w:tcW w:w="1098" w:type="dxa"/>
            <w:tcBorders/>
            <w:shd w:fill="auto" w:val="clear"/>
            <w:vAlign w:val="bottom"/>
          </w:tcPr>
          <w:p>
            <w:pPr>
              <w:pStyle w:val="TableContents"/>
              <w:spacing w:before="0" w:after="283"/>
              <w:jc w:val="right"/>
              <w:rPr/>
            </w:pPr>
            <w:r>
              <w:rPr/>
              <w:t>(21</w:t>
            </w:r>
          </w:p>
        </w:tc>
        <w:tc>
          <w:tcPr>
            <w:tcW w:w="166" w:type="dxa"/>
            <w:tcBorders/>
            <w:shd w:fill="auto" w:val="clear"/>
            <w:vAlign w:val="bottom"/>
          </w:tcPr>
          <w:p>
            <w:pPr>
              <w:pStyle w:val="TableContents"/>
              <w:spacing w:before="0" w:after="283"/>
              <w:rPr/>
            </w:pPr>
            <w:r>
              <w:rPr/>
              <w:t>)</w:t>
            </w:r>
          </w:p>
        </w:tc>
        <w:tc>
          <w:tcPr>
            <w:tcW w:w="29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 </w:t>
            </w:r>
          </w:p>
        </w:tc>
        <w:tc>
          <w:tcPr>
            <w:tcW w:w="1101" w:type="dxa"/>
            <w:tcBorders/>
            <w:shd w:fill="auto" w:val="clear"/>
            <w:vAlign w:val="bottom"/>
          </w:tcPr>
          <w:p>
            <w:pPr>
              <w:pStyle w:val="TableContents"/>
              <w:spacing w:before="0" w:after="283"/>
              <w:jc w:val="right"/>
              <w:rPr/>
            </w:pPr>
            <w:r>
              <w:rPr/>
              <w:t>(135</w:t>
            </w:r>
          </w:p>
        </w:tc>
        <w:tc>
          <w:tcPr>
            <w:tcW w:w="120" w:type="dxa"/>
            <w:tcBorders/>
            <w:shd w:fill="auto" w:val="clear"/>
            <w:vAlign w:val="bottom"/>
          </w:tcPr>
          <w:p>
            <w:pPr>
              <w:pStyle w:val="TableContents"/>
              <w:spacing w:before="0" w:after="283"/>
              <w:rPr/>
            </w:pPr>
            <w:r>
              <w:rPr/>
              <w:t>)</w:t>
            </w:r>
          </w:p>
        </w:tc>
        <w:tc>
          <w:tcPr>
            <w:tcW w:w="26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103" w:type="dxa"/>
            <w:tcBorders/>
            <w:shd w:fill="auto" w:val="clear"/>
            <w:vAlign w:val="bottom"/>
          </w:tcPr>
          <w:p>
            <w:pPr>
              <w:pStyle w:val="TableContents"/>
              <w:spacing w:before="0" w:after="283"/>
              <w:jc w:val="right"/>
              <w:rPr/>
            </w:pPr>
            <w:r>
              <w:rPr/>
              <w:t>(35</w:t>
            </w:r>
          </w:p>
        </w:tc>
        <w:tc>
          <w:tcPr>
            <w:tcW w:w="148" w:type="dxa"/>
            <w:tcBorders/>
            <w:shd w:fill="auto" w:val="clear"/>
            <w:vAlign w:val="bottom"/>
          </w:tcPr>
          <w:p>
            <w:pPr>
              <w:pStyle w:val="TableContents"/>
              <w:spacing w:before="0" w:after="283"/>
              <w:rPr/>
            </w:pPr>
            <w:r>
              <w:rPr/>
              <w:t>)</w:t>
            </w:r>
          </w:p>
        </w:tc>
        <w:tc>
          <w:tcPr>
            <w:tcW w:w="28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104" w:type="dxa"/>
            <w:tcBorders/>
            <w:shd w:fill="auto" w:val="clear"/>
            <w:vAlign w:val="bottom"/>
          </w:tcPr>
          <w:p>
            <w:pPr>
              <w:pStyle w:val="TableContents"/>
              <w:spacing w:before="0" w:after="283"/>
              <w:jc w:val="right"/>
              <w:rPr/>
            </w:pPr>
            <w:r>
              <w:rPr/>
              <w:t>(151</w:t>
            </w:r>
          </w:p>
        </w:tc>
        <w:tc>
          <w:tcPr>
            <w:tcW w:w="129" w:type="dxa"/>
            <w:tcBorders/>
            <w:shd w:fill="auto" w:val="clear"/>
            <w:vAlign w:val="bottom"/>
          </w:tcPr>
          <w:p>
            <w:pPr>
              <w:pStyle w:val="TableContents"/>
              <w:spacing w:before="0" w:after="283"/>
              <w:rPr/>
            </w:pPr>
            <w:r>
              <w:rPr/>
              <w:t>)</w:t>
            </w:r>
          </w:p>
        </w:tc>
      </w:tr>
      <w:tr>
        <w:trPr/>
        <w:tc>
          <w:tcPr>
            <w:tcW w:w="3271" w:type="dxa"/>
            <w:tcBorders/>
            <w:shd w:fill="CCEEFF" w:val="clear"/>
            <w:vAlign w:val="bottom"/>
          </w:tcPr>
          <w:p>
            <w:pPr>
              <w:pStyle w:val="TableContents"/>
              <w:spacing w:before="0" w:after="0"/>
              <w:ind w:left="225" w:right="0" w:hanging="225"/>
              <w:rPr/>
            </w:pPr>
            <w:r>
              <w:rPr/>
              <w:t>Interest expense</w:t>
            </w:r>
          </w:p>
        </w:tc>
        <w:tc>
          <w:tcPr>
            <w:tcW w:w="268"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586</w:t>
            </w:r>
          </w:p>
        </w:tc>
        <w:tc>
          <w:tcPr>
            <w:tcW w:w="166"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311</w:t>
            </w:r>
          </w:p>
        </w:tc>
        <w:tc>
          <w:tcPr>
            <w:tcW w:w="1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1,186</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1,071</w:t>
            </w:r>
          </w:p>
        </w:tc>
        <w:tc>
          <w:tcPr>
            <w:tcW w:w="129" w:type="dxa"/>
            <w:tcBorders/>
            <w:shd w:fill="CCEEFF" w:val="clear"/>
            <w:vAlign w:val="bottom"/>
          </w:tcPr>
          <w:p>
            <w:pPr>
              <w:pStyle w:val="TableContents"/>
              <w:spacing w:before="0" w:after="283"/>
              <w:rPr/>
            </w:pPr>
            <w:r>
              <w:rPr/>
              <w:t> </w:t>
            </w:r>
          </w:p>
        </w:tc>
      </w:tr>
      <w:tr>
        <w:trPr/>
        <w:tc>
          <w:tcPr>
            <w:tcW w:w="3271" w:type="dxa"/>
            <w:tcBorders/>
            <w:shd w:fill="auto" w:val="clear"/>
            <w:vAlign w:val="bottom"/>
          </w:tcPr>
          <w:p>
            <w:pPr>
              <w:pStyle w:val="TableContents"/>
              <w:spacing w:before="0" w:after="0"/>
              <w:ind w:left="225" w:right="0" w:hanging="225"/>
              <w:rPr/>
            </w:pPr>
            <w:r>
              <w:rPr/>
              <w:t>Equity in net income of unconsolidated affiliates</w:t>
            </w:r>
          </w:p>
        </w:tc>
        <w:tc>
          <w:tcPr>
            <w:tcW w:w="26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 </w:t>
            </w:r>
          </w:p>
        </w:tc>
        <w:tc>
          <w:tcPr>
            <w:tcW w:w="1098" w:type="dxa"/>
            <w:tcBorders/>
            <w:shd w:fill="auto" w:val="clear"/>
            <w:vAlign w:val="bottom"/>
          </w:tcPr>
          <w:p>
            <w:pPr>
              <w:pStyle w:val="TableContents"/>
              <w:spacing w:before="0" w:after="283"/>
              <w:jc w:val="right"/>
              <w:rPr/>
            </w:pPr>
            <w:r>
              <w:rPr/>
              <w:t>(4,099</w:t>
            </w:r>
          </w:p>
        </w:tc>
        <w:tc>
          <w:tcPr>
            <w:tcW w:w="166" w:type="dxa"/>
            <w:tcBorders/>
            <w:shd w:fill="auto" w:val="clear"/>
            <w:vAlign w:val="bottom"/>
          </w:tcPr>
          <w:p>
            <w:pPr>
              <w:pStyle w:val="TableContents"/>
              <w:spacing w:before="0" w:after="283"/>
              <w:rPr/>
            </w:pPr>
            <w:r>
              <w:rPr/>
              <w:t>)</w:t>
            </w:r>
          </w:p>
        </w:tc>
        <w:tc>
          <w:tcPr>
            <w:tcW w:w="29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 </w:t>
            </w:r>
          </w:p>
        </w:tc>
        <w:tc>
          <w:tcPr>
            <w:tcW w:w="1101" w:type="dxa"/>
            <w:tcBorders/>
            <w:shd w:fill="auto" w:val="clear"/>
            <w:vAlign w:val="bottom"/>
          </w:tcPr>
          <w:p>
            <w:pPr>
              <w:pStyle w:val="TableContents"/>
              <w:spacing w:before="0" w:after="283"/>
              <w:jc w:val="right"/>
              <w:rPr/>
            </w:pPr>
            <w:r>
              <w:rPr/>
              <w:t>(2,930</w:t>
            </w:r>
          </w:p>
        </w:tc>
        <w:tc>
          <w:tcPr>
            <w:tcW w:w="120" w:type="dxa"/>
            <w:tcBorders/>
            <w:shd w:fill="auto" w:val="clear"/>
            <w:vAlign w:val="bottom"/>
          </w:tcPr>
          <w:p>
            <w:pPr>
              <w:pStyle w:val="TableContents"/>
              <w:spacing w:before="0" w:after="283"/>
              <w:rPr/>
            </w:pPr>
            <w:r>
              <w:rPr/>
              <w:t>)</w:t>
            </w:r>
          </w:p>
        </w:tc>
        <w:tc>
          <w:tcPr>
            <w:tcW w:w="26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103" w:type="dxa"/>
            <w:tcBorders/>
            <w:shd w:fill="auto" w:val="clear"/>
            <w:vAlign w:val="bottom"/>
          </w:tcPr>
          <w:p>
            <w:pPr>
              <w:pStyle w:val="TableContents"/>
              <w:spacing w:before="0" w:after="283"/>
              <w:jc w:val="right"/>
              <w:rPr/>
            </w:pPr>
            <w:r>
              <w:rPr/>
              <w:t>(12,157</w:t>
            </w:r>
          </w:p>
        </w:tc>
        <w:tc>
          <w:tcPr>
            <w:tcW w:w="148" w:type="dxa"/>
            <w:tcBorders/>
            <w:shd w:fill="auto" w:val="clear"/>
            <w:vAlign w:val="bottom"/>
          </w:tcPr>
          <w:p>
            <w:pPr>
              <w:pStyle w:val="TableContents"/>
              <w:spacing w:before="0" w:after="283"/>
              <w:rPr/>
            </w:pPr>
            <w:r>
              <w:rPr/>
              <w:t>)</w:t>
            </w:r>
          </w:p>
        </w:tc>
        <w:tc>
          <w:tcPr>
            <w:tcW w:w="28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104" w:type="dxa"/>
            <w:tcBorders/>
            <w:shd w:fill="auto" w:val="clear"/>
            <w:vAlign w:val="bottom"/>
          </w:tcPr>
          <w:p>
            <w:pPr>
              <w:pStyle w:val="TableContents"/>
              <w:spacing w:before="0" w:after="283"/>
              <w:jc w:val="right"/>
              <w:rPr/>
            </w:pPr>
            <w:r>
              <w:rPr/>
              <w:t>(7,519</w:t>
            </w:r>
          </w:p>
        </w:tc>
        <w:tc>
          <w:tcPr>
            <w:tcW w:w="129" w:type="dxa"/>
            <w:tcBorders/>
            <w:shd w:fill="auto" w:val="clear"/>
            <w:vAlign w:val="bottom"/>
          </w:tcPr>
          <w:p>
            <w:pPr>
              <w:pStyle w:val="TableContents"/>
              <w:spacing w:before="0" w:after="283"/>
              <w:rPr/>
            </w:pPr>
            <w:r>
              <w:rPr/>
              <w:t>)</w:t>
            </w:r>
          </w:p>
        </w:tc>
      </w:tr>
      <w:tr>
        <w:trPr/>
        <w:tc>
          <w:tcPr>
            <w:tcW w:w="3271" w:type="dxa"/>
            <w:tcBorders/>
            <w:shd w:fill="CCEEFF" w:val="clear"/>
            <w:vAlign w:val="bottom"/>
          </w:tcPr>
          <w:p>
            <w:pPr>
              <w:pStyle w:val="TableContents"/>
              <w:spacing w:before="0" w:after="0"/>
              <w:ind w:left="225" w:right="0" w:hanging="225"/>
              <w:rPr/>
            </w:pPr>
            <w:r>
              <w:rPr/>
              <w:t>Other</w:t>
            </w:r>
          </w:p>
        </w:tc>
        <w:tc>
          <w:tcPr>
            <w:tcW w:w="268"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(103</w:t>
            </w:r>
          </w:p>
        </w:tc>
        <w:tc>
          <w:tcPr>
            <w:tcW w:w="166" w:type="dxa"/>
            <w:tcBorders/>
            <w:shd w:fill="CCEEFF" w:val="clear"/>
            <w:vAlign w:val="bottom"/>
          </w:tcPr>
          <w:p>
            <w:pPr>
              <w:pStyle w:val="TableContents"/>
              <w:spacing w:before="0" w:after="283"/>
              <w:rPr/>
            </w:pPr>
            <w:r>
              <w:rPr/>
              <w:t>)</w:t>
            </w:r>
          </w:p>
        </w:tc>
        <w:tc>
          <w:tcPr>
            <w:tcW w:w="29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 </w:t>
            </w:r>
          </w:p>
        </w:tc>
        <w:tc>
          <w:tcPr>
            <w:tcW w:w="1101" w:type="dxa"/>
            <w:tcBorders/>
            <w:shd w:fill="CCEEFF" w:val="clear"/>
            <w:vAlign w:val="bottom"/>
          </w:tcPr>
          <w:p>
            <w:pPr>
              <w:pStyle w:val="TableContents"/>
              <w:spacing w:before="0" w:after="283"/>
              <w:jc w:val="right"/>
              <w:rPr/>
            </w:pPr>
            <w:r>
              <w:rPr/>
              <w:t>(100</w:t>
            </w:r>
          </w:p>
        </w:tc>
        <w:tc>
          <w:tcPr>
            <w:tcW w:w="120" w:type="dxa"/>
            <w:tcBorders/>
            <w:shd w:fill="CCEEFF" w:val="clear"/>
            <w:vAlign w:val="bottom"/>
          </w:tcPr>
          <w:p>
            <w:pPr>
              <w:pStyle w:val="TableContents"/>
              <w:spacing w:before="0" w:after="283"/>
              <w:rPr/>
            </w:pPr>
            <w:r>
              <w:rPr/>
              <w:t>)</w:t>
            </w:r>
          </w:p>
        </w:tc>
        <w:tc>
          <w:tcPr>
            <w:tcW w:w="26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(160</w:t>
            </w:r>
          </w:p>
        </w:tc>
        <w:tc>
          <w:tcPr>
            <w:tcW w:w="148" w:type="dxa"/>
            <w:tcBorders/>
            <w:shd w:fill="CCEEFF" w:val="clear"/>
            <w:vAlign w:val="bottom"/>
          </w:tcPr>
          <w:p>
            <w:pPr>
              <w:pStyle w:val="TableContents"/>
              <w:spacing w:before="0" w:after="283"/>
              <w:rPr/>
            </w:pPr>
            <w:r>
              <w:rPr/>
              <w:t>)</w:t>
            </w:r>
          </w:p>
        </w:tc>
        <w:tc>
          <w:tcPr>
            <w:tcW w:w="28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pPr>
            <w:r>
              <w:rPr/>
              <w:t>(103</w:t>
            </w:r>
          </w:p>
        </w:tc>
        <w:tc>
          <w:tcPr>
            <w:tcW w:w="129" w:type="dxa"/>
            <w:tcBorders/>
            <w:shd w:fill="CCEEFF" w:val="clear"/>
            <w:vAlign w:val="bottom"/>
          </w:tcPr>
          <w:p>
            <w:pPr>
              <w:pStyle w:val="TableContents"/>
              <w:spacing w:before="0" w:after="283"/>
              <w:rPr/>
            </w:pPr>
            <w:r>
              <w:rPr/>
              <w:t>)</w:t>
            </w:r>
          </w:p>
        </w:tc>
      </w:tr>
      <w:tr>
        <w:trPr/>
        <w:tc>
          <w:tcPr>
            <w:tcW w:w="3271" w:type="dxa"/>
            <w:tcBorders/>
            <w:shd w:fill="auto" w:val="clear"/>
            <w:vAlign w:val="center"/>
          </w:tcPr>
          <w:p>
            <w:pPr>
              <w:pStyle w:val="TableContents"/>
              <w:spacing w:before="0" w:after="0"/>
              <w:ind w:left="225" w:right="0" w:hanging="225"/>
              <w:rPr/>
            </w:pPr>
            <w:r>
              <w:rPr/>
              <w:t> </w:t>
            </w:r>
          </w:p>
        </w:tc>
        <w:tc>
          <w:tcPr>
            <w:tcW w:w="268" w:type="dxa"/>
            <w:tcBorders/>
            <w:shd w:fill="auto" w:val="clear"/>
            <w:vAlign w:val="center"/>
          </w:tcPr>
          <w:p>
            <w:pPr>
              <w:pStyle w:val="TableContents"/>
              <w:spacing w:before="0" w:after="283"/>
              <w:rPr/>
            </w:pPr>
            <w:r>
              <w:rPr/>
              <w:t> </w:t>
            </w:r>
          </w:p>
        </w:tc>
        <w:tc>
          <w:tcPr>
            <w:tcW w:w="13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3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3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3271" w:type="dxa"/>
            <w:tcBorders/>
            <w:shd w:fill="auto" w:val="clear"/>
            <w:vAlign w:val="bottom"/>
          </w:tcPr>
          <w:p>
            <w:pPr>
              <w:pStyle w:val="TableContents"/>
              <w:spacing w:before="0" w:after="0"/>
              <w:ind w:left="450" w:right="0" w:hanging="225"/>
              <w:rPr/>
            </w:pPr>
            <w:r>
              <w:rPr/>
              <w:t>Consolidated income before income taxes</w:t>
            </w:r>
          </w:p>
        </w:tc>
        <w:tc>
          <w:tcPr>
            <w:tcW w:w="26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1098" w:type="dxa"/>
            <w:tcBorders/>
            <w:shd w:fill="auto" w:val="clear"/>
            <w:vAlign w:val="bottom"/>
          </w:tcPr>
          <w:p>
            <w:pPr>
              <w:pStyle w:val="TableContents"/>
              <w:spacing w:before="0" w:after="283"/>
              <w:jc w:val="right"/>
              <w:rPr/>
            </w:pPr>
            <w:r>
              <w:rPr/>
              <w:t>40,654</w:t>
            </w:r>
          </w:p>
        </w:tc>
        <w:tc>
          <w:tcPr>
            <w:tcW w:w="166"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1101" w:type="dxa"/>
            <w:tcBorders/>
            <w:shd w:fill="auto" w:val="clear"/>
            <w:vAlign w:val="bottom"/>
          </w:tcPr>
          <w:p>
            <w:pPr>
              <w:pStyle w:val="TableContents"/>
              <w:spacing w:before="0" w:after="283"/>
              <w:jc w:val="right"/>
              <w:rPr/>
            </w:pPr>
            <w:r>
              <w:rPr/>
              <w:t>31,637</w:t>
            </w:r>
          </w:p>
        </w:tc>
        <w:tc>
          <w:tcPr>
            <w:tcW w:w="1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103" w:type="dxa"/>
            <w:tcBorders/>
            <w:shd w:fill="auto" w:val="clear"/>
            <w:vAlign w:val="bottom"/>
          </w:tcPr>
          <w:p>
            <w:pPr>
              <w:pStyle w:val="TableContents"/>
              <w:spacing w:before="0" w:after="283"/>
              <w:jc w:val="right"/>
              <w:rPr/>
            </w:pPr>
            <w:r>
              <w:rPr/>
              <w:t>132,471</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104" w:type="dxa"/>
            <w:tcBorders/>
            <w:shd w:fill="auto" w:val="clear"/>
            <w:vAlign w:val="bottom"/>
          </w:tcPr>
          <w:p>
            <w:pPr>
              <w:pStyle w:val="TableContents"/>
              <w:spacing w:before="0" w:after="283"/>
              <w:jc w:val="right"/>
              <w:rPr/>
            </w:pPr>
            <w:r>
              <w:rPr/>
              <w:t>108,459</w:t>
            </w:r>
          </w:p>
        </w:tc>
        <w:tc>
          <w:tcPr>
            <w:tcW w:w="129" w:type="dxa"/>
            <w:tcBorders/>
            <w:shd w:fill="auto" w:val="clear"/>
            <w:vAlign w:val="bottom"/>
          </w:tcPr>
          <w:p>
            <w:pPr>
              <w:pStyle w:val="TableContents"/>
              <w:spacing w:before="0" w:after="283"/>
              <w:rPr/>
            </w:pPr>
            <w:r>
              <w:rPr/>
              <w:t> </w:t>
            </w:r>
          </w:p>
        </w:tc>
      </w:tr>
      <w:tr>
        <w:trPr/>
        <w:tc>
          <w:tcPr>
            <w:tcW w:w="3271" w:type="dxa"/>
            <w:tcBorders/>
            <w:shd w:fill="auto" w:val="clear"/>
            <w:vAlign w:val="center"/>
          </w:tcPr>
          <w:p>
            <w:pPr>
              <w:pStyle w:val="TableContents"/>
              <w:spacing w:before="0" w:after="0"/>
              <w:ind w:left="225" w:right="0" w:hanging="225"/>
              <w:rPr/>
            </w:pPr>
            <w:r>
              <w:rPr/>
              <w:t> </w:t>
            </w:r>
          </w:p>
        </w:tc>
        <w:tc>
          <w:tcPr>
            <w:tcW w:w="268" w:type="dxa"/>
            <w:tcBorders/>
            <w:shd w:fill="auto" w:val="clear"/>
            <w:vAlign w:val="center"/>
          </w:tcPr>
          <w:p>
            <w:pPr>
              <w:pStyle w:val="TableContents"/>
              <w:spacing w:before="0" w:after="283"/>
              <w:rPr/>
            </w:pPr>
            <w:r>
              <w:rPr/>
              <w:t> </w:t>
            </w:r>
          </w:p>
        </w:tc>
        <w:tc>
          <w:tcPr>
            <w:tcW w:w="13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3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3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separately identified segment assets (in thousands): </w:t>
      </w:r>
    </w:p>
    <w:tbl>
      <w:tblPr>
        <w:tblW w:w="5000" w:type="pct"/>
        <w:jc w:val="center"/>
        <w:tblInd w:w="0" w:type="dxa"/>
        <w:tblCellMar>
          <w:top w:w="0" w:type="dxa"/>
          <w:left w:w="0" w:type="dxa"/>
          <w:bottom w:w="0" w:type="dxa"/>
          <w:right w:w="0" w:type="dxa"/>
        </w:tblCellMar>
      </w:tblPr>
      <w:tblGrid>
        <w:gridCol w:w="3893"/>
        <w:gridCol w:w="330"/>
        <w:gridCol w:w="172"/>
        <w:gridCol w:w="948"/>
        <w:gridCol w:w="101"/>
        <w:gridCol w:w="330"/>
        <w:gridCol w:w="160"/>
        <w:gridCol w:w="787"/>
        <w:gridCol w:w="101"/>
        <w:gridCol w:w="330"/>
        <w:gridCol w:w="210"/>
        <w:gridCol w:w="1030"/>
        <w:gridCol w:w="101"/>
        <w:gridCol w:w="330"/>
        <w:gridCol w:w="195"/>
        <w:gridCol w:w="1079"/>
        <w:gridCol w:w="108"/>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08"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20"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0"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June 30, 2011:</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8" w:type="dxa"/>
            <w:tcBorders/>
            <w:shd w:fill="auto" w:val="clear"/>
            <w:vAlign w:val="bottom"/>
          </w:tcPr>
          <w:p>
            <w:pPr>
              <w:pStyle w:val="TableContents"/>
              <w:spacing w:before="0" w:after="283"/>
              <w:jc w:val="right"/>
              <w:rPr/>
            </w:pPr>
            <w:r>
              <w:rPr/>
              <w:t>124,810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9,823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134,633</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1,174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10,915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12,089</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757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1,591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2,348</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23,169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1,524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6,563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31,256</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70,320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8,400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311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79,031</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159,572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7,445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167,017</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8" w:type="dxa"/>
            <w:tcBorders/>
            <w:shd w:fill="auto" w:val="clear"/>
            <w:vAlign w:val="bottom"/>
          </w:tcPr>
          <w:p>
            <w:pPr>
              <w:pStyle w:val="TableContents"/>
              <w:spacing w:before="0" w:after="283"/>
              <w:jc w:val="right"/>
              <w:rPr/>
            </w:pPr>
            <w:r>
              <w:rPr/>
              <w:t>379,802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27,192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19,380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426,374</w:t>
            </w:r>
          </w:p>
        </w:tc>
        <w:tc>
          <w:tcPr>
            <w:tcW w:w="108"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8" w:type="dxa"/>
            <w:tcBorders/>
            <w:shd w:fill="CCEEFF" w:val="clear"/>
            <w:vAlign w:val="bottom"/>
          </w:tcPr>
          <w:p>
            <w:pPr>
              <w:pStyle w:val="TableContents"/>
              <w:spacing w:before="0" w:after="283"/>
              <w:jc w:val="right"/>
              <w:rPr/>
            </w:pPr>
            <w:r>
              <w:rPr/>
              <w:t>168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20,571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20,739</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8" w:type="dxa"/>
            <w:tcBorders/>
            <w:shd w:fill="auto" w:val="clear"/>
            <w:vAlign w:val="bottom"/>
          </w:tcPr>
          <w:p>
            <w:pPr>
              <w:pStyle w:val="TableContents"/>
              <w:spacing w:before="0" w:after="283"/>
              <w:jc w:val="right"/>
              <w:rPr/>
            </w:pPr>
            <w:r>
              <w:rPr/>
              <w:t>152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5,408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5,560</w:t>
            </w:r>
          </w:p>
        </w:tc>
        <w:tc>
          <w:tcPr>
            <w:tcW w:w="108"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June 30, 2010:</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8" w:type="dxa"/>
            <w:tcBorders/>
            <w:shd w:fill="auto" w:val="clear"/>
            <w:vAlign w:val="bottom"/>
          </w:tcPr>
          <w:p>
            <w:pPr>
              <w:pStyle w:val="TableContents"/>
              <w:spacing w:before="0" w:after="283"/>
              <w:jc w:val="right"/>
              <w:rPr/>
            </w:pPr>
            <w:r>
              <w:rPr/>
              <w:t>107,419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5,388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112,807</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425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8,490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8,915</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638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2,164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2,802</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19,322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813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6,571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26,706</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57,176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3,819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32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61,027</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108,606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6,964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115,570</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8" w:type="dxa"/>
            <w:tcBorders/>
            <w:shd w:fill="auto" w:val="clear"/>
            <w:vAlign w:val="bottom"/>
          </w:tcPr>
          <w:p>
            <w:pPr>
              <w:pStyle w:val="TableContents"/>
              <w:spacing w:before="0" w:after="283"/>
              <w:jc w:val="right"/>
              <w:rPr/>
            </w:pPr>
            <w:r>
              <w:rPr/>
              <w:t>293,586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16,984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17,257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327,827</w:t>
            </w:r>
          </w:p>
        </w:tc>
        <w:tc>
          <w:tcPr>
            <w:tcW w:w="108"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8" w:type="dxa"/>
            <w:tcBorders/>
            <w:shd w:fill="CCEEFF" w:val="clear"/>
            <w:vAlign w:val="bottom"/>
          </w:tcPr>
          <w:p>
            <w:pPr>
              <w:pStyle w:val="TableContents"/>
              <w:spacing w:before="0" w:after="283"/>
              <w:jc w:val="right"/>
              <w:rPr/>
            </w:pPr>
            <w:r>
              <w:rPr/>
              <w:t>228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21,442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21,670</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8" w:type="dxa"/>
            <w:tcBorders/>
            <w:shd w:fill="auto" w:val="clear"/>
            <w:vAlign w:val="bottom"/>
          </w:tcPr>
          <w:p>
            <w:pPr>
              <w:pStyle w:val="TableContents"/>
              <w:spacing w:before="0" w:after="283"/>
              <w:jc w:val="right"/>
              <w:rPr/>
            </w:pPr>
            <w:r>
              <w:rPr/>
              <w:t>210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5,557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5,767</w:t>
            </w:r>
          </w:p>
        </w:tc>
        <w:tc>
          <w:tcPr>
            <w:tcW w:w="108"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2010:</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8" w:type="dxa"/>
            <w:tcBorders/>
            <w:shd w:fill="auto" w:val="clear"/>
            <w:vAlign w:val="bottom"/>
          </w:tcPr>
          <w:p>
            <w:pPr>
              <w:pStyle w:val="TableContents"/>
              <w:spacing w:before="0" w:after="283"/>
              <w:jc w:val="right"/>
              <w:rPr/>
            </w:pPr>
            <w:r>
              <w:rPr/>
              <w:t>113,944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7,257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121,201</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456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10,319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10,775</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651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2,494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3,145</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20,830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1,053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7,177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29,060</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66,542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4,935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71,502</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110,255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7,050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117,305</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8" w:type="dxa"/>
            <w:tcBorders/>
            <w:shd w:fill="auto" w:val="clear"/>
            <w:vAlign w:val="bottom"/>
          </w:tcPr>
          <w:p>
            <w:pPr>
              <w:pStyle w:val="TableContents"/>
              <w:spacing w:before="0" w:after="283"/>
              <w:jc w:val="right"/>
              <w:rPr/>
            </w:pPr>
            <w:r>
              <w:rPr/>
              <w:t>312,678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20,295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20,015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352,988</w:t>
            </w:r>
          </w:p>
        </w:tc>
        <w:tc>
          <w:tcPr>
            <w:tcW w:w="108"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8" w:type="dxa"/>
            <w:tcBorders/>
            <w:shd w:fill="CCEEFF" w:val="clear"/>
            <w:vAlign w:val="bottom"/>
          </w:tcPr>
          <w:p>
            <w:pPr>
              <w:pStyle w:val="TableContents"/>
              <w:spacing w:before="0" w:after="283"/>
              <w:jc w:val="right"/>
              <w:rPr/>
            </w:pPr>
            <w:r>
              <w:rPr/>
              <w:t>231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22,709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22,940</w:t>
            </w:r>
          </w:p>
        </w:tc>
        <w:tc>
          <w:tcPr>
            <w:tcW w:w="108"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8" w:type="dxa"/>
            <w:tcBorders/>
            <w:shd w:fill="auto" w:val="clear"/>
            <w:vAlign w:val="bottom"/>
          </w:tcPr>
          <w:p>
            <w:pPr>
              <w:pStyle w:val="TableContents"/>
              <w:spacing w:before="0" w:after="283"/>
              <w:jc w:val="right"/>
              <w:rPr/>
            </w:pPr>
            <w:r>
              <w:rPr/>
              <w:t>236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6,589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6,825</w:t>
            </w:r>
          </w:p>
        </w:tc>
        <w:tc>
          <w:tcPr>
            <w:tcW w:w="108"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Brokered loans are not recorded as an asset on our balance sheets, as we do not own a participation in the loans made by independent lenders. We monitor the principal balance of these loans, as our credit service fees and bad debt are directly related to their volume due to the letters of credit we issue on these loans. The brokered loan balances shown above are the gross principal balances of the loans outstanding at the specified dates.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M: Allowance for Losses and Credit Quality of Financing Receivables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offer a variety of loan products and credit services to customers who do not have cash resources or access to credit to meet their short-term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described in Note B, Significant Accounting Policies, we consider a signature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Accrued fees related to defaulted loans reduce fee revenue upon loan default, and increase fee revenue upon collection. Based on historical collection experience, the age of past-due loans and amounts we expect to receive through the sale of repossessed vehicles, we provide an allowance for losses on auto title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changes in the allowance for credit losses as well as the recorded investment in our financing receivables by portfolio segment for the periods presented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273"/>
        <w:gridCol w:w="205"/>
        <w:gridCol w:w="194"/>
        <w:gridCol w:w="820"/>
        <w:gridCol w:w="106"/>
        <w:gridCol w:w="205"/>
        <w:gridCol w:w="168"/>
        <w:gridCol w:w="897"/>
        <w:gridCol w:w="128"/>
        <w:gridCol w:w="204"/>
        <w:gridCol w:w="197"/>
        <w:gridCol w:w="829"/>
        <w:gridCol w:w="107"/>
        <w:gridCol w:w="205"/>
        <w:gridCol w:w="174"/>
        <w:gridCol w:w="740"/>
        <w:gridCol w:w="98"/>
        <w:gridCol w:w="205"/>
        <w:gridCol w:w="194"/>
        <w:gridCol w:w="820"/>
        <w:gridCol w:w="106"/>
        <w:gridCol w:w="205"/>
        <w:gridCol w:w="174"/>
        <w:gridCol w:w="858"/>
        <w:gridCol w:w="93"/>
      </w:tblGrid>
      <w:tr>
        <w:trPr/>
        <w:tc>
          <w:tcPr>
            <w:tcW w:w="22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2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pPr>
            <w:r>
              <w:rPr/>
              <w:t>Allowance</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pPr>
            <w:r>
              <w:rPr/>
              <w:t>Allowance</w:t>
            </w:r>
          </w:p>
        </w:tc>
        <w:tc>
          <w:tcPr>
            <w:tcW w:w="205" w:type="dxa"/>
            <w:tcBorders/>
            <w:shd w:fill="auto" w:val="clear"/>
            <w:vAlign w:val="bottom"/>
          </w:tcPr>
          <w:p>
            <w:pPr>
              <w:pStyle w:val="TableContents"/>
              <w:spacing w:before="0" w:after="283"/>
              <w:rPr/>
            </w:pPr>
            <w:r>
              <w:rPr/>
              <w:t> </w:t>
            </w:r>
          </w:p>
        </w:tc>
        <w:tc>
          <w:tcPr>
            <w:tcW w:w="1125" w:type="dxa"/>
            <w:gridSpan w:val="3"/>
            <w:tcBorders/>
            <w:shd w:fill="auto" w:val="clear"/>
            <w:vAlign w:val="bottom"/>
          </w:tcPr>
          <w:p>
            <w:pPr>
              <w:pStyle w:val="TableContents"/>
              <w:spacing w:before="0" w:after="283"/>
              <w:jc w:val="center"/>
              <w:rPr/>
            </w:pPr>
            <w:r>
              <w:rPr/>
              <w:t>Financing</w:t>
            </w:r>
          </w:p>
        </w:tc>
      </w:tr>
      <w:tr>
        <w:trPr/>
        <w:tc>
          <w:tcPr>
            <w:tcW w:w="22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pPr>
            <w:r>
              <w:rPr/>
              <w:t>Balance at</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pPr>
            <w:r>
              <w:rPr/>
              <w:t>Balance at</w:t>
            </w:r>
          </w:p>
        </w:tc>
        <w:tc>
          <w:tcPr>
            <w:tcW w:w="205" w:type="dxa"/>
            <w:tcBorders/>
            <w:shd w:fill="auto" w:val="clear"/>
            <w:vAlign w:val="bottom"/>
          </w:tcPr>
          <w:p>
            <w:pPr>
              <w:pStyle w:val="TableContents"/>
              <w:spacing w:before="0" w:after="283"/>
              <w:rPr/>
            </w:pPr>
            <w:r>
              <w:rPr/>
              <w:t> </w:t>
            </w:r>
          </w:p>
        </w:tc>
        <w:tc>
          <w:tcPr>
            <w:tcW w:w="1125" w:type="dxa"/>
            <w:gridSpan w:val="3"/>
            <w:tcBorders/>
            <w:shd w:fill="auto" w:val="clear"/>
            <w:vAlign w:val="bottom"/>
          </w:tcPr>
          <w:p>
            <w:pPr>
              <w:pStyle w:val="TableContents"/>
              <w:spacing w:before="0" w:after="283"/>
              <w:jc w:val="center"/>
              <w:rPr/>
            </w:pPr>
            <w:r>
              <w:rPr/>
              <w:t>Receivable</w:t>
            </w:r>
          </w:p>
        </w:tc>
      </w:tr>
      <w:tr>
        <w:trPr/>
        <w:tc>
          <w:tcPr>
            <w:tcW w:w="22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pPr>
            <w:r>
              <w:rPr/>
              <w:t>Beginning</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pPr>
            <w:r>
              <w:rPr/>
              <w:t>End of</w:t>
            </w:r>
          </w:p>
        </w:tc>
        <w:tc>
          <w:tcPr>
            <w:tcW w:w="205" w:type="dxa"/>
            <w:tcBorders/>
            <w:shd w:fill="auto" w:val="clear"/>
            <w:vAlign w:val="bottom"/>
          </w:tcPr>
          <w:p>
            <w:pPr>
              <w:pStyle w:val="TableContents"/>
              <w:spacing w:before="0" w:after="283"/>
              <w:rPr/>
            </w:pPr>
            <w:r>
              <w:rPr/>
              <w:t> </w:t>
            </w:r>
          </w:p>
        </w:tc>
        <w:tc>
          <w:tcPr>
            <w:tcW w:w="1125" w:type="dxa"/>
            <w:gridSpan w:val="3"/>
            <w:tcBorders/>
            <w:shd w:fill="auto" w:val="clear"/>
            <w:vAlign w:val="bottom"/>
          </w:tcPr>
          <w:p>
            <w:pPr>
              <w:pStyle w:val="TableContents"/>
              <w:spacing w:before="0" w:after="283"/>
              <w:jc w:val="center"/>
              <w:rPr/>
            </w:pPr>
            <w:r>
              <w:rPr/>
              <w:t>at End of</w:t>
            </w:r>
          </w:p>
        </w:tc>
      </w:tr>
      <w:tr>
        <w:trPr/>
        <w:tc>
          <w:tcPr>
            <w:tcW w:w="2273" w:type="dxa"/>
            <w:tcBorders/>
            <w:shd w:fill="auto" w:val="clear"/>
            <w:vAlign w:val="bottom"/>
          </w:tcPr>
          <w:p>
            <w:pPr>
              <w:pStyle w:val="TableContents"/>
              <w:spacing w:before="0" w:after="283"/>
              <w:jc w:val="center"/>
              <w:rPr/>
            </w:pPr>
            <w:r>
              <w:rPr/>
              <w:t>Description</w:t>
            </w:r>
          </w:p>
        </w:tc>
        <w:tc>
          <w:tcPr>
            <w:tcW w:w="205"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pPr>
            <w:r>
              <w:rPr/>
              <w:t>of Period</w:t>
            </w:r>
          </w:p>
        </w:tc>
        <w:tc>
          <w:tcPr>
            <w:tcW w:w="205" w:type="dxa"/>
            <w:tcBorders/>
            <w:shd w:fill="auto" w:val="clear"/>
            <w:vAlign w:val="bottom"/>
          </w:tcPr>
          <w:p>
            <w:pPr>
              <w:pStyle w:val="TableContents"/>
              <w:spacing w:before="0" w:after="283"/>
              <w:rPr/>
            </w:pPr>
            <w:r>
              <w:rPr/>
              <w:t> </w:t>
            </w:r>
          </w:p>
        </w:tc>
        <w:tc>
          <w:tcPr>
            <w:tcW w:w="1193" w:type="dxa"/>
            <w:gridSpan w:val="3"/>
            <w:tcBorders/>
            <w:shd w:fill="auto" w:val="clear"/>
            <w:vAlign w:val="bottom"/>
          </w:tcPr>
          <w:p>
            <w:pPr>
              <w:pStyle w:val="TableContents"/>
              <w:spacing w:before="0" w:after="283"/>
              <w:jc w:val="center"/>
              <w:rPr/>
            </w:pPr>
            <w:r>
              <w:rPr/>
              <w:t>Charge-offs</w:t>
            </w:r>
          </w:p>
        </w:tc>
        <w:tc>
          <w:tcPr>
            <w:tcW w:w="204" w:type="dxa"/>
            <w:tcBorders/>
            <w:shd w:fill="auto" w:val="clear"/>
            <w:vAlign w:val="bottom"/>
          </w:tcPr>
          <w:p>
            <w:pPr>
              <w:pStyle w:val="TableContents"/>
              <w:spacing w:before="0" w:after="283"/>
              <w:rPr/>
            </w:pPr>
            <w:r>
              <w:rPr/>
              <w:t> </w:t>
            </w:r>
          </w:p>
        </w:tc>
        <w:tc>
          <w:tcPr>
            <w:tcW w:w="1133" w:type="dxa"/>
            <w:gridSpan w:val="3"/>
            <w:tcBorders/>
            <w:shd w:fill="auto" w:val="clear"/>
            <w:vAlign w:val="bottom"/>
          </w:tcPr>
          <w:p>
            <w:pPr>
              <w:pStyle w:val="TableContents"/>
              <w:spacing w:before="0" w:after="283"/>
              <w:jc w:val="center"/>
              <w:rPr/>
            </w:pPr>
            <w:r>
              <w:rPr/>
              <w:t>Recoveries</w:t>
            </w:r>
          </w:p>
        </w:tc>
        <w:tc>
          <w:tcPr>
            <w:tcW w:w="205" w:type="dxa"/>
            <w:tcBorders/>
            <w:shd w:fill="auto" w:val="clear"/>
            <w:vAlign w:val="bottom"/>
          </w:tcPr>
          <w:p>
            <w:pPr>
              <w:pStyle w:val="TableContents"/>
              <w:spacing w:before="0" w:after="283"/>
              <w:rPr/>
            </w:pPr>
            <w:r>
              <w:rPr/>
              <w:t> </w:t>
            </w:r>
          </w:p>
        </w:tc>
        <w:tc>
          <w:tcPr>
            <w:tcW w:w="1012" w:type="dxa"/>
            <w:gridSpan w:val="3"/>
            <w:tcBorders/>
            <w:shd w:fill="auto" w:val="clear"/>
            <w:vAlign w:val="bottom"/>
          </w:tcPr>
          <w:p>
            <w:pPr>
              <w:pStyle w:val="TableContents"/>
              <w:spacing w:before="0" w:after="283"/>
              <w:jc w:val="center"/>
              <w:rPr/>
            </w:pPr>
            <w:r>
              <w:rPr/>
              <w:t>Provision</w:t>
            </w:r>
          </w:p>
        </w:tc>
        <w:tc>
          <w:tcPr>
            <w:tcW w:w="205" w:type="dxa"/>
            <w:tcBorders/>
            <w:shd w:fill="auto" w:val="clear"/>
            <w:vAlign w:val="bottom"/>
          </w:tcPr>
          <w:p>
            <w:pPr>
              <w:pStyle w:val="TableContents"/>
              <w:spacing w:before="0" w:after="283"/>
              <w:rPr/>
            </w:pPr>
            <w:r>
              <w:rPr/>
              <w:t> </w:t>
            </w:r>
          </w:p>
        </w:tc>
        <w:tc>
          <w:tcPr>
            <w:tcW w:w="1120" w:type="dxa"/>
            <w:gridSpan w:val="3"/>
            <w:tcBorders/>
            <w:shd w:fill="auto" w:val="clear"/>
            <w:vAlign w:val="bottom"/>
          </w:tcPr>
          <w:p>
            <w:pPr>
              <w:pStyle w:val="TableContents"/>
              <w:spacing w:before="0" w:after="283"/>
              <w:jc w:val="center"/>
              <w:rPr/>
            </w:pPr>
            <w:r>
              <w:rPr/>
              <w:t>Period</w:t>
            </w:r>
          </w:p>
        </w:tc>
        <w:tc>
          <w:tcPr>
            <w:tcW w:w="205" w:type="dxa"/>
            <w:tcBorders/>
            <w:shd w:fill="auto" w:val="clear"/>
            <w:vAlign w:val="bottom"/>
          </w:tcPr>
          <w:p>
            <w:pPr>
              <w:pStyle w:val="TableContents"/>
              <w:spacing w:before="0" w:after="283"/>
              <w:rPr/>
            </w:pPr>
            <w:r>
              <w:rPr/>
              <w:t> </w:t>
            </w:r>
          </w:p>
        </w:tc>
        <w:tc>
          <w:tcPr>
            <w:tcW w:w="1125" w:type="dxa"/>
            <w:gridSpan w:val="3"/>
            <w:tcBorders/>
            <w:shd w:fill="auto" w:val="clear"/>
            <w:vAlign w:val="bottom"/>
          </w:tcPr>
          <w:p>
            <w:pPr>
              <w:pStyle w:val="TableContents"/>
              <w:spacing w:before="0" w:after="283"/>
              <w:jc w:val="center"/>
              <w:rPr/>
            </w:pPr>
            <w:r>
              <w:rPr/>
              <w:t>Period</w:t>
            </w:r>
          </w:p>
        </w:tc>
      </w:tr>
      <w:tr>
        <w:trPr/>
        <w:tc>
          <w:tcPr>
            <w:tcW w:w="10205" w:type="dxa"/>
            <w:gridSpan w:val="2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273" w:type="dxa"/>
            <w:tcBorders/>
            <w:shd w:fill="CCEEFF" w:val="clear"/>
            <w:vAlign w:val="bottom"/>
          </w:tcPr>
          <w:p>
            <w:pPr>
              <w:pStyle w:val="TableContents"/>
              <w:spacing w:before="0" w:after="0"/>
              <w:ind w:left="225" w:right="0" w:hanging="225"/>
              <w:rPr>
                <w:b/>
              </w:rPr>
            </w:pPr>
            <w:r>
              <w:rPr>
                <w:b/>
              </w:rPr>
              <w:t>Allowance for losses on signature loans:</w:t>
            </w:r>
          </w:p>
        </w:tc>
        <w:tc>
          <w:tcPr>
            <w:tcW w:w="2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r>
      <w:tr>
        <w:trPr/>
        <w:tc>
          <w:tcPr>
            <w:tcW w:w="2273" w:type="dxa"/>
            <w:tcBorders/>
            <w:shd w:fill="auto" w:val="clear"/>
            <w:vAlign w:val="bottom"/>
          </w:tcPr>
          <w:p>
            <w:pPr>
              <w:pStyle w:val="TableContents"/>
              <w:spacing w:before="0" w:after="0"/>
              <w:ind w:left="450" w:right="0" w:hanging="225"/>
              <w:rPr/>
            </w:pPr>
            <w:r>
              <w:rPr/>
              <w:t>Three-months ended June 30, 2011</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right"/>
              <w:rPr/>
            </w:pPr>
            <w:r>
              <w:rPr/>
              <w:t>$</w:t>
            </w:r>
          </w:p>
        </w:tc>
        <w:tc>
          <w:tcPr>
            <w:tcW w:w="820" w:type="dxa"/>
            <w:tcBorders/>
            <w:shd w:fill="auto" w:val="clear"/>
            <w:vAlign w:val="bottom"/>
          </w:tcPr>
          <w:p>
            <w:pPr>
              <w:pStyle w:val="TableContents"/>
              <w:spacing w:before="0" w:after="283"/>
              <w:jc w:val="right"/>
              <w:rPr/>
            </w:pPr>
            <w:r>
              <w:rPr/>
              <w:t>1,110</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right"/>
              <w:rPr/>
            </w:pPr>
            <w:r>
              <w:rPr/>
              <w:t>$</w:t>
            </w:r>
          </w:p>
        </w:tc>
        <w:tc>
          <w:tcPr>
            <w:tcW w:w="897" w:type="dxa"/>
            <w:tcBorders/>
            <w:shd w:fill="auto" w:val="clear"/>
            <w:vAlign w:val="bottom"/>
          </w:tcPr>
          <w:p>
            <w:pPr>
              <w:pStyle w:val="TableContents"/>
              <w:spacing w:before="0" w:after="283"/>
              <w:jc w:val="right"/>
              <w:rPr/>
            </w:pPr>
            <w:r>
              <w:rPr/>
              <w:t>(4,747</w:t>
            </w:r>
          </w:p>
        </w:tc>
        <w:tc>
          <w:tcPr>
            <w:tcW w:w="128"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829" w:type="dxa"/>
            <w:tcBorders/>
            <w:shd w:fill="auto" w:val="clear"/>
            <w:vAlign w:val="bottom"/>
          </w:tcPr>
          <w:p>
            <w:pPr>
              <w:pStyle w:val="TableContents"/>
              <w:spacing w:before="0" w:after="283"/>
              <w:jc w:val="right"/>
              <w:rPr/>
            </w:pPr>
            <w:r>
              <w:rPr/>
              <w:t>1,505</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right"/>
              <w:rPr/>
            </w:pPr>
            <w:r>
              <w:rPr/>
              <w:t>$</w:t>
            </w:r>
          </w:p>
        </w:tc>
        <w:tc>
          <w:tcPr>
            <w:tcW w:w="740" w:type="dxa"/>
            <w:tcBorders/>
            <w:shd w:fill="auto" w:val="clear"/>
            <w:vAlign w:val="bottom"/>
          </w:tcPr>
          <w:p>
            <w:pPr>
              <w:pStyle w:val="TableContents"/>
              <w:spacing w:before="0" w:after="283"/>
              <w:jc w:val="right"/>
              <w:rPr/>
            </w:pPr>
            <w:r>
              <w:rPr/>
              <w:t>3,796</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right"/>
              <w:rPr/>
            </w:pPr>
            <w:r>
              <w:rPr/>
              <w:t>$</w:t>
            </w:r>
          </w:p>
        </w:tc>
        <w:tc>
          <w:tcPr>
            <w:tcW w:w="820" w:type="dxa"/>
            <w:tcBorders/>
            <w:shd w:fill="auto" w:val="clear"/>
            <w:vAlign w:val="bottom"/>
          </w:tcPr>
          <w:p>
            <w:pPr>
              <w:pStyle w:val="TableContents"/>
              <w:spacing w:before="0" w:after="283"/>
              <w:jc w:val="right"/>
              <w:rPr/>
            </w:pPr>
            <w:r>
              <w:rPr/>
              <w:t>1,664</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right"/>
              <w:rPr/>
            </w:pPr>
            <w:r>
              <w:rPr/>
              <w:t>$</w:t>
            </w:r>
          </w:p>
        </w:tc>
        <w:tc>
          <w:tcPr>
            <w:tcW w:w="858" w:type="dxa"/>
            <w:tcBorders/>
            <w:shd w:fill="auto" w:val="clear"/>
            <w:vAlign w:val="bottom"/>
          </w:tcPr>
          <w:p>
            <w:pPr>
              <w:pStyle w:val="TableContents"/>
              <w:spacing w:before="0" w:after="283"/>
              <w:jc w:val="right"/>
              <w:rPr/>
            </w:pPr>
            <w:r>
              <w:rPr/>
              <w:t>13,753</w:t>
            </w:r>
          </w:p>
        </w:tc>
        <w:tc>
          <w:tcPr>
            <w:tcW w:w="93" w:type="dxa"/>
            <w:tcBorders/>
            <w:shd w:fill="auto" w:val="clear"/>
            <w:vAlign w:val="bottom"/>
          </w:tcPr>
          <w:p>
            <w:pPr>
              <w:pStyle w:val="TableContents"/>
              <w:spacing w:before="0" w:after="283"/>
              <w:rPr/>
            </w:pPr>
            <w:r>
              <w:rPr/>
              <w:t> </w:t>
            </w:r>
          </w:p>
        </w:tc>
      </w:tr>
      <w:tr>
        <w:trPr/>
        <w:tc>
          <w:tcPr>
            <w:tcW w:w="2273" w:type="dxa"/>
            <w:tcBorders/>
            <w:shd w:fill="CCEEFF" w:val="clear"/>
            <w:vAlign w:val="bottom"/>
          </w:tcPr>
          <w:p>
            <w:pPr>
              <w:pStyle w:val="TableContents"/>
              <w:spacing w:before="0" w:after="0"/>
              <w:ind w:left="450" w:right="0" w:hanging="225"/>
              <w:rPr/>
            </w:pPr>
            <w:r>
              <w:rPr/>
              <w:t>Three-months ended June 30, 2010</w:t>
            </w:r>
          </w:p>
        </w:tc>
        <w:tc>
          <w:tcPr>
            <w:tcW w:w="2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503</w:t>
            </w:r>
          </w:p>
        </w:tc>
        <w:tc>
          <w:tcPr>
            <w:tcW w:w="1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pPr>
            <w:r>
              <w:rPr/>
              <w:t> </w:t>
            </w:r>
          </w:p>
        </w:tc>
        <w:tc>
          <w:tcPr>
            <w:tcW w:w="897" w:type="dxa"/>
            <w:tcBorders/>
            <w:shd w:fill="CCEEFF" w:val="clear"/>
            <w:vAlign w:val="bottom"/>
          </w:tcPr>
          <w:p>
            <w:pPr>
              <w:pStyle w:val="TableContents"/>
              <w:spacing w:before="0" w:after="283"/>
              <w:jc w:val="right"/>
              <w:rPr/>
            </w:pPr>
            <w:r>
              <w:rPr/>
              <w:t>(3,733</w:t>
            </w:r>
          </w:p>
        </w:tc>
        <w:tc>
          <w:tcPr>
            <w:tcW w:w="128" w:type="dxa"/>
            <w:tcBorders/>
            <w:shd w:fill="CCEEFF" w:val="clear"/>
            <w:vAlign w:val="bottom"/>
          </w:tcPr>
          <w:p>
            <w:pPr>
              <w:pStyle w:val="TableContents"/>
              <w:spacing w:before="0" w:after="283"/>
              <w:rPr/>
            </w:pPr>
            <w:r>
              <w:rPr/>
              <w:t>)</w:t>
            </w:r>
          </w:p>
        </w:tc>
        <w:tc>
          <w:tcPr>
            <w:tcW w:w="20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jc w:val="right"/>
              <w:rPr/>
            </w:pPr>
            <w:r>
              <w:rPr/>
              <w:t>1,240</w:t>
            </w:r>
          </w:p>
        </w:tc>
        <w:tc>
          <w:tcPr>
            <w:tcW w:w="10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2,719</w:t>
            </w:r>
          </w:p>
        </w:tc>
        <w:tc>
          <w:tcPr>
            <w:tcW w:w="9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729</w:t>
            </w:r>
          </w:p>
        </w:tc>
        <w:tc>
          <w:tcPr>
            <w:tcW w:w="1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9,644</w:t>
            </w:r>
          </w:p>
        </w:tc>
        <w:tc>
          <w:tcPr>
            <w:tcW w:w="93" w:type="dxa"/>
            <w:tcBorders/>
            <w:shd w:fill="CCEEFF" w:val="clear"/>
            <w:vAlign w:val="bottom"/>
          </w:tcPr>
          <w:p>
            <w:pPr>
              <w:pStyle w:val="TableContents"/>
              <w:spacing w:before="0" w:after="283"/>
              <w:rPr/>
            </w:pPr>
            <w:r>
              <w:rPr/>
              <w:t> </w:t>
            </w:r>
          </w:p>
        </w:tc>
      </w:tr>
      <w:tr>
        <w:trPr/>
        <w:tc>
          <w:tcPr>
            <w:tcW w:w="2273" w:type="dxa"/>
            <w:tcBorders/>
            <w:shd w:fill="auto" w:val="clear"/>
            <w:vAlign w:val="bottom"/>
          </w:tcPr>
          <w:p>
            <w:pPr>
              <w:pStyle w:val="TableContents"/>
              <w:spacing w:before="0" w:after="0"/>
              <w:ind w:left="225" w:right="0" w:hanging="225"/>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273" w:type="dxa"/>
            <w:tcBorders/>
            <w:shd w:fill="auto" w:val="clear"/>
            <w:vAlign w:val="bottom"/>
          </w:tcPr>
          <w:p>
            <w:pPr>
              <w:pStyle w:val="TableContents"/>
              <w:spacing w:before="0" w:after="0"/>
              <w:ind w:left="450" w:right="0" w:hanging="225"/>
              <w:rPr/>
            </w:pPr>
            <w:r>
              <w:rPr/>
              <w:t>Nine-months ended June 30, 2011</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right"/>
              <w:rPr/>
            </w:pPr>
            <w:r>
              <w:rPr/>
              <w:t>$</w:t>
            </w:r>
          </w:p>
        </w:tc>
        <w:tc>
          <w:tcPr>
            <w:tcW w:w="820" w:type="dxa"/>
            <w:tcBorders/>
            <w:shd w:fill="auto" w:val="clear"/>
            <w:vAlign w:val="bottom"/>
          </w:tcPr>
          <w:p>
            <w:pPr>
              <w:pStyle w:val="TableContents"/>
              <w:spacing w:before="0" w:after="283"/>
              <w:jc w:val="right"/>
              <w:rPr/>
            </w:pPr>
            <w:r>
              <w:rPr/>
              <w:t>750</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right"/>
              <w:rPr/>
            </w:pPr>
            <w:r>
              <w:rPr/>
              <w:t>$</w:t>
            </w:r>
          </w:p>
        </w:tc>
        <w:tc>
          <w:tcPr>
            <w:tcW w:w="897" w:type="dxa"/>
            <w:tcBorders/>
            <w:shd w:fill="auto" w:val="clear"/>
            <w:vAlign w:val="bottom"/>
          </w:tcPr>
          <w:p>
            <w:pPr>
              <w:pStyle w:val="TableContents"/>
              <w:spacing w:before="0" w:after="283"/>
              <w:jc w:val="right"/>
              <w:rPr/>
            </w:pPr>
            <w:r>
              <w:rPr/>
              <w:t>(12,992</w:t>
            </w:r>
          </w:p>
        </w:tc>
        <w:tc>
          <w:tcPr>
            <w:tcW w:w="128"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829" w:type="dxa"/>
            <w:tcBorders/>
            <w:shd w:fill="auto" w:val="clear"/>
            <w:vAlign w:val="bottom"/>
          </w:tcPr>
          <w:p>
            <w:pPr>
              <w:pStyle w:val="TableContents"/>
              <w:spacing w:before="0" w:after="283"/>
              <w:jc w:val="right"/>
              <w:rPr/>
            </w:pPr>
            <w:r>
              <w:rPr/>
              <w:t>4,575</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right"/>
              <w:rPr/>
            </w:pPr>
            <w:r>
              <w:rPr/>
              <w:t>$</w:t>
            </w:r>
          </w:p>
        </w:tc>
        <w:tc>
          <w:tcPr>
            <w:tcW w:w="740" w:type="dxa"/>
            <w:tcBorders/>
            <w:shd w:fill="auto" w:val="clear"/>
            <w:vAlign w:val="bottom"/>
          </w:tcPr>
          <w:p>
            <w:pPr>
              <w:pStyle w:val="TableContents"/>
              <w:spacing w:before="0" w:after="283"/>
              <w:jc w:val="right"/>
              <w:rPr/>
            </w:pPr>
            <w:r>
              <w:rPr/>
              <w:t>9,331</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right"/>
              <w:rPr/>
            </w:pPr>
            <w:r>
              <w:rPr/>
              <w:t>$</w:t>
            </w:r>
          </w:p>
        </w:tc>
        <w:tc>
          <w:tcPr>
            <w:tcW w:w="820" w:type="dxa"/>
            <w:tcBorders/>
            <w:shd w:fill="auto" w:val="clear"/>
            <w:vAlign w:val="bottom"/>
          </w:tcPr>
          <w:p>
            <w:pPr>
              <w:pStyle w:val="TableContents"/>
              <w:spacing w:before="0" w:after="283"/>
              <w:jc w:val="right"/>
              <w:rPr/>
            </w:pPr>
            <w:r>
              <w:rPr/>
              <w:t>1,664</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right"/>
              <w:rPr/>
            </w:pPr>
            <w:r>
              <w:rPr/>
              <w:t>$</w:t>
            </w:r>
          </w:p>
        </w:tc>
        <w:tc>
          <w:tcPr>
            <w:tcW w:w="858" w:type="dxa"/>
            <w:tcBorders/>
            <w:shd w:fill="auto" w:val="clear"/>
            <w:vAlign w:val="bottom"/>
          </w:tcPr>
          <w:p>
            <w:pPr>
              <w:pStyle w:val="TableContents"/>
              <w:spacing w:before="0" w:after="283"/>
              <w:jc w:val="right"/>
              <w:rPr/>
            </w:pPr>
            <w:r>
              <w:rPr/>
              <w:t>13,753</w:t>
            </w:r>
          </w:p>
        </w:tc>
        <w:tc>
          <w:tcPr>
            <w:tcW w:w="93" w:type="dxa"/>
            <w:tcBorders/>
            <w:shd w:fill="auto" w:val="clear"/>
            <w:vAlign w:val="bottom"/>
          </w:tcPr>
          <w:p>
            <w:pPr>
              <w:pStyle w:val="TableContents"/>
              <w:spacing w:before="0" w:after="283"/>
              <w:rPr/>
            </w:pPr>
            <w:r>
              <w:rPr/>
              <w:t> </w:t>
            </w:r>
          </w:p>
        </w:tc>
      </w:tr>
      <w:tr>
        <w:trPr/>
        <w:tc>
          <w:tcPr>
            <w:tcW w:w="2273" w:type="dxa"/>
            <w:tcBorders/>
            <w:shd w:fill="CCEEFF" w:val="clear"/>
            <w:vAlign w:val="bottom"/>
          </w:tcPr>
          <w:p>
            <w:pPr>
              <w:pStyle w:val="TableContents"/>
              <w:spacing w:before="0" w:after="0"/>
              <w:ind w:left="450" w:right="0" w:hanging="225"/>
              <w:rPr/>
            </w:pPr>
            <w:r>
              <w:rPr/>
              <w:t>Nine-months ended June 30, 2010</w:t>
            </w:r>
          </w:p>
        </w:tc>
        <w:tc>
          <w:tcPr>
            <w:tcW w:w="2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532</w:t>
            </w:r>
          </w:p>
        </w:tc>
        <w:tc>
          <w:tcPr>
            <w:tcW w:w="1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pPr>
            <w:r>
              <w:rPr/>
              <w:t> </w:t>
            </w:r>
          </w:p>
        </w:tc>
        <w:tc>
          <w:tcPr>
            <w:tcW w:w="897" w:type="dxa"/>
            <w:tcBorders/>
            <w:shd w:fill="CCEEFF" w:val="clear"/>
            <w:vAlign w:val="bottom"/>
          </w:tcPr>
          <w:p>
            <w:pPr>
              <w:pStyle w:val="TableContents"/>
              <w:spacing w:before="0" w:after="283"/>
              <w:jc w:val="right"/>
              <w:rPr/>
            </w:pPr>
            <w:r>
              <w:rPr/>
              <w:t>(10,543</w:t>
            </w:r>
          </w:p>
        </w:tc>
        <w:tc>
          <w:tcPr>
            <w:tcW w:w="128" w:type="dxa"/>
            <w:tcBorders/>
            <w:shd w:fill="CCEEFF" w:val="clear"/>
            <w:vAlign w:val="bottom"/>
          </w:tcPr>
          <w:p>
            <w:pPr>
              <w:pStyle w:val="TableContents"/>
              <w:spacing w:before="0" w:after="283"/>
              <w:rPr/>
            </w:pPr>
            <w:r>
              <w:rPr/>
              <w:t>)</w:t>
            </w:r>
          </w:p>
        </w:tc>
        <w:tc>
          <w:tcPr>
            <w:tcW w:w="20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jc w:val="right"/>
              <w:rPr/>
            </w:pPr>
            <w:r>
              <w:rPr/>
              <w:t>4,174</w:t>
            </w:r>
          </w:p>
        </w:tc>
        <w:tc>
          <w:tcPr>
            <w:tcW w:w="10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6,566</w:t>
            </w:r>
          </w:p>
        </w:tc>
        <w:tc>
          <w:tcPr>
            <w:tcW w:w="9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729</w:t>
            </w:r>
          </w:p>
        </w:tc>
        <w:tc>
          <w:tcPr>
            <w:tcW w:w="1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9,644</w:t>
            </w:r>
          </w:p>
        </w:tc>
        <w:tc>
          <w:tcPr>
            <w:tcW w:w="93" w:type="dxa"/>
            <w:tcBorders/>
            <w:shd w:fill="CCEEFF" w:val="clear"/>
            <w:vAlign w:val="bottom"/>
          </w:tcPr>
          <w:p>
            <w:pPr>
              <w:pStyle w:val="TableContents"/>
              <w:spacing w:before="0" w:after="283"/>
              <w:rPr/>
            </w:pPr>
            <w:r>
              <w:rPr/>
              <w:t> </w:t>
            </w:r>
          </w:p>
        </w:tc>
      </w:tr>
      <w:tr>
        <w:trPr/>
        <w:tc>
          <w:tcPr>
            <w:tcW w:w="2273" w:type="dxa"/>
            <w:tcBorders/>
            <w:shd w:fill="auto" w:val="clear"/>
            <w:vAlign w:val="bottom"/>
          </w:tcPr>
          <w:p>
            <w:pPr>
              <w:pStyle w:val="TableContents"/>
              <w:spacing w:before="0" w:after="0"/>
              <w:ind w:left="225" w:right="0" w:hanging="225"/>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273" w:type="dxa"/>
            <w:tcBorders/>
            <w:shd w:fill="auto" w:val="clear"/>
            <w:vAlign w:val="bottom"/>
          </w:tcPr>
          <w:p>
            <w:pPr>
              <w:pStyle w:val="TableContents"/>
              <w:spacing w:before="0" w:after="0"/>
              <w:ind w:left="225" w:right="0" w:hanging="225"/>
              <w:rPr>
                <w:b/>
              </w:rPr>
            </w:pPr>
            <w:r>
              <w:rPr>
                <w:b/>
              </w:rPr>
              <w:t>Allowance for losses on auto title loans:</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273" w:type="dxa"/>
            <w:tcBorders/>
            <w:shd w:fill="CCEEFF" w:val="clear"/>
            <w:vAlign w:val="bottom"/>
          </w:tcPr>
          <w:p>
            <w:pPr>
              <w:pStyle w:val="TableContents"/>
              <w:spacing w:before="0" w:after="0"/>
              <w:ind w:left="450" w:right="0" w:hanging="225"/>
              <w:rPr/>
            </w:pPr>
            <w:r>
              <w:rPr/>
              <w:t>Three-months ended June 30, 2011</w:t>
            </w:r>
          </w:p>
        </w:tc>
        <w:tc>
          <w:tcPr>
            <w:tcW w:w="2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right"/>
              <w:rPr/>
            </w:pPr>
            <w:r>
              <w:rPr/>
              <w:t>$</w:t>
            </w:r>
          </w:p>
        </w:tc>
        <w:tc>
          <w:tcPr>
            <w:tcW w:w="820" w:type="dxa"/>
            <w:tcBorders/>
            <w:shd w:fill="CCEEFF" w:val="clear"/>
            <w:vAlign w:val="bottom"/>
          </w:tcPr>
          <w:p>
            <w:pPr>
              <w:pStyle w:val="TableContents"/>
              <w:spacing w:before="0" w:after="283"/>
              <w:jc w:val="right"/>
              <w:rPr/>
            </w:pPr>
            <w:r>
              <w:rPr/>
              <w:t>810</w:t>
            </w:r>
          </w:p>
        </w:tc>
        <w:tc>
          <w:tcPr>
            <w:tcW w:w="1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pPr>
            <w:r>
              <w:rPr/>
              <w:t>$</w:t>
            </w:r>
          </w:p>
        </w:tc>
        <w:tc>
          <w:tcPr>
            <w:tcW w:w="897" w:type="dxa"/>
            <w:tcBorders/>
            <w:shd w:fill="CCEEFF" w:val="clear"/>
            <w:vAlign w:val="bottom"/>
          </w:tcPr>
          <w:p>
            <w:pPr>
              <w:pStyle w:val="TableContents"/>
              <w:spacing w:before="0" w:after="283"/>
              <w:jc w:val="right"/>
              <w:rPr/>
            </w:pPr>
            <w:r>
              <w:rPr/>
              <w:t>(2,800</w:t>
            </w:r>
          </w:p>
        </w:tc>
        <w:tc>
          <w:tcPr>
            <w:tcW w:w="128" w:type="dxa"/>
            <w:tcBorders/>
            <w:shd w:fill="CCEEFF" w:val="clear"/>
            <w:vAlign w:val="bottom"/>
          </w:tcPr>
          <w:p>
            <w:pPr>
              <w:pStyle w:val="TableContents"/>
              <w:spacing w:before="0" w:after="283"/>
              <w:rPr/>
            </w:pPr>
            <w:r>
              <w:rPr/>
              <w:t>)</w:t>
            </w:r>
          </w:p>
        </w:tc>
        <w:tc>
          <w:tcPr>
            <w:tcW w:w="20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829" w:type="dxa"/>
            <w:tcBorders/>
            <w:shd w:fill="CCEEFF" w:val="clear"/>
            <w:vAlign w:val="bottom"/>
          </w:tcPr>
          <w:p>
            <w:pPr>
              <w:pStyle w:val="TableContents"/>
              <w:spacing w:before="0" w:after="283"/>
              <w:jc w:val="right"/>
              <w:rPr/>
            </w:pPr>
            <w:r>
              <w:rPr/>
              <w:t>2,074</w:t>
            </w:r>
          </w:p>
        </w:tc>
        <w:tc>
          <w:tcPr>
            <w:tcW w:w="10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right"/>
              <w:rPr/>
            </w:pPr>
            <w:r>
              <w:rPr/>
              <w:t>$</w:t>
            </w:r>
          </w:p>
        </w:tc>
        <w:tc>
          <w:tcPr>
            <w:tcW w:w="740" w:type="dxa"/>
            <w:tcBorders/>
            <w:shd w:fill="CCEEFF" w:val="clear"/>
            <w:vAlign w:val="bottom"/>
          </w:tcPr>
          <w:p>
            <w:pPr>
              <w:pStyle w:val="TableContents"/>
              <w:spacing w:before="0" w:after="283"/>
              <w:jc w:val="right"/>
              <w:rPr/>
            </w:pPr>
            <w:r>
              <w:rPr/>
              <w:t>489</w:t>
            </w:r>
          </w:p>
        </w:tc>
        <w:tc>
          <w:tcPr>
            <w:tcW w:w="9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right"/>
              <w:rPr/>
            </w:pPr>
            <w:r>
              <w:rPr/>
              <w:t>$</w:t>
            </w:r>
          </w:p>
        </w:tc>
        <w:tc>
          <w:tcPr>
            <w:tcW w:w="820" w:type="dxa"/>
            <w:tcBorders/>
            <w:shd w:fill="CCEEFF" w:val="clear"/>
            <w:vAlign w:val="bottom"/>
          </w:tcPr>
          <w:p>
            <w:pPr>
              <w:pStyle w:val="TableContents"/>
              <w:spacing w:before="0" w:after="283"/>
              <w:jc w:val="right"/>
              <w:rPr/>
            </w:pPr>
            <w:r>
              <w:rPr/>
              <w:t>573</w:t>
            </w:r>
          </w:p>
        </w:tc>
        <w:tc>
          <w:tcPr>
            <w:tcW w:w="1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right"/>
              <w:rPr/>
            </w:pPr>
            <w:r>
              <w:rPr/>
              <w:t>$</w:t>
            </w:r>
          </w:p>
        </w:tc>
        <w:tc>
          <w:tcPr>
            <w:tcW w:w="858" w:type="dxa"/>
            <w:tcBorders/>
            <w:shd w:fill="CCEEFF" w:val="clear"/>
            <w:vAlign w:val="bottom"/>
          </w:tcPr>
          <w:p>
            <w:pPr>
              <w:pStyle w:val="TableContents"/>
              <w:spacing w:before="0" w:after="283"/>
              <w:jc w:val="right"/>
              <w:rPr/>
            </w:pPr>
            <w:r>
              <w:rPr/>
              <w:t>2,921</w:t>
            </w:r>
          </w:p>
        </w:tc>
        <w:tc>
          <w:tcPr>
            <w:tcW w:w="93" w:type="dxa"/>
            <w:tcBorders/>
            <w:shd w:fill="CCEEFF" w:val="clear"/>
            <w:vAlign w:val="bottom"/>
          </w:tcPr>
          <w:p>
            <w:pPr>
              <w:pStyle w:val="TableContents"/>
              <w:spacing w:before="0" w:after="283"/>
              <w:rPr/>
            </w:pPr>
            <w:r>
              <w:rPr/>
              <w:t> </w:t>
            </w:r>
          </w:p>
        </w:tc>
      </w:tr>
      <w:tr>
        <w:trPr/>
        <w:tc>
          <w:tcPr>
            <w:tcW w:w="2273" w:type="dxa"/>
            <w:tcBorders/>
            <w:shd w:fill="auto" w:val="clear"/>
            <w:vAlign w:val="bottom"/>
          </w:tcPr>
          <w:p>
            <w:pPr>
              <w:pStyle w:val="TableContents"/>
              <w:spacing w:before="0" w:after="0"/>
              <w:ind w:left="450" w:right="0" w:hanging="225"/>
              <w:rPr/>
            </w:pPr>
            <w:r>
              <w:rPr/>
              <w:t>Three-months ended June 30, 2010</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811</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right"/>
              <w:rPr/>
            </w:pPr>
            <w:r>
              <w:rPr/>
              <w:t> </w:t>
            </w:r>
          </w:p>
        </w:tc>
        <w:tc>
          <w:tcPr>
            <w:tcW w:w="897" w:type="dxa"/>
            <w:tcBorders/>
            <w:shd w:fill="auto" w:val="clear"/>
            <w:vAlign w:val="bottom"/>
          </w:tcPr>
          <w:p>
            <w:pPr>
              <w:pStyle w:val="TableContents"/>
              <w:spacing w:before="0" w:after="283"/>
              <w:jc w:val="right"/>
              <w:rPr/>
            </w:pPr>
            <w:r>
              <w:rPr/>
              <w:t>(2,197</w:t>
            </w:r>
          </w:p>
        </w:tc>
        <w:tc>
          <w:tcPr>
            <w:tcW w:w="128"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jc w:val="right"/>
              <w:rPr/>
            </w:pPr>
            <w:r>
              <w:rPr/>
              <w:t>1,720</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902</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1,236</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4,038</w:t>
            </w:r>
          </w:p>
        </w:tc>
        <w:tc>
          <w:tcPr>
            <w:tcW w:w="93" w:type="dxa"/>
            <w:tcBorders/>
            <w:shd w:fill="auto" w:val="clear"/>
            <w:vAlign w:val="bottom"/>
          </w:tcPr>
          <w:p>
            <w:pPr>
              <w:pStyle w:val="TableContents"/>
              <w:spacing w:before="0" w:after="283"/>
              <w:rPr/>
            </w:pPr>
            <w:r>
              <w:rPr/>
              <w:t> </w:t>
            </w:r>
          </w:p>
        </w:tc>
      </w:tr>
      <w:tr>
        <w:trPr/>
        <w:tc>
          <w:tcPr>
            <w:tcW w:w="2273" w:type="dxa"/>
            <w:tcBorders/>
            <w:shd w:fill="auto" w:val="clear"/>
            <w:vAlign w:val="bottom"/>
          </w:tcPr>
          <w:p>
            <w:pPr>
              <w:pStyle w:val="TableContents"/>
              <w:spacing w:before="0" w:after="0"/>
              <w:ind w:left="225" w:right="0" w:hanging="225"/>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273" w:type="dxa"/>
            <w:tcBorders/>
            <w:shd w:fill="CCEEFF" w:val="clear"/>
            <w:vAlign w:val="bottom"/>
          </w:tcPr>
          <w:p>
            <w:pPr>
              <w:pStyle w:val="TableContents"/>
              <w:spacing w:before="0" w:after="0"/>
              <w:ind w:left="450" w:right="0" w:hanging="225"/>
              <w:rPr/>
            </w:pPr>
            <w:r>
              <w:rPr/>
              <w:t>Nine-months ended June 30, 2011</w:t>
            </w:r>
          </w:p>
        </w:tc>
        <w:tc>
          <w:tcPr>
            <w:tcW w:w="2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right"/>
              <w:rPr/>
            </w:pPr>
            <w:r>
              <w:rPr/>
              <w:t>$</w:t>
            </w:r>
          </w:p>
        </w:tc>
        <w:tc>
          <w:tcPr>
            <w:tcW w:w="820" w:type="dxa"/>
            <w:tcBorders/>
            <w:shd w:fill="CCEEFF" w:val="clear"/>
            <w:vAlign w:val="bottom"/>
          </w:tcPr>
          <w:p>
            <w:pPr>
              <w:pStyle w:val="TableContents"/>
              <w:spacing w:before="0" w:after="283"/>
              <w:jc w:val="right"/>
              <w:rPr/>
            </w:pPr>
            <w:r>
              <w:rPr/>
              <w:t>1,137</w:t>
            </w:r>
          </w:p>
        </w:tc>
        <w:tc>
          <w:tcPr>
            <w:tcW w:w="1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right"/>
              <w:rPr/>
            </w:pPr>
            <w:r>
              <w:rPr/>
              <w:t>$</w:t>
            </w:r>
          </w:p>
        </w:tc>
        <w:tc>
          <w:tcPr>
            <w:tcW w:w="897" w:type="dxa"/>
            <w:tcBorders/>
            <w:shd w:fill="CCEEFF" w:val="clear"/>
            <w:vAlign w:val="bottom"/>
          </w:tcPr>
          <w:p>
            <w:pPr>
              <w:pStyle w:val="TableContents"/>
              <w:spacing w:before="0" w:after="283"/>
              <w:jc w:val="right"/>
              <w:rPr/>
            </w:pPr>
            <w:r>
              <w:rPr/>
              <w:t>(9,682</w:t>
            </w:r>
          </w:p>
        </w:tc>
        <w:tc>
          <w:tcPr>
            <w:tcW w:w="128" w:type="dxa"/>
            <w:tcBorders/>
            <w:shd w:fill="CCEEFF" w:val="clear"/>
            <w:vAlign w:val="bottom"/>
          </w:tcPr>
          <w:p>
            <w:pPr>
              <w:pStyle w:val="TableContents"/>
              <w:spacing w:before="0" w:after="283"/>
              <w:rPr/>
            </w:pPr>
            <w:r>
              <w:rPr/>
              <w:t>)</w:t>
            </w:r>
          </w:p>
        </w:tc>
        <w:tc>
          <w:tcPr>
            <w:tcW w:w="20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829" w:type="dxa"/>
            <w:tcBorders/>
            <w:shd w:fill="CCEEFF" w:val="clear"/>
            <w:vAlign w:val="bottom"/>
          </w:tcPr>
          <w:p>
            <w:pPr>
              <w:pStyle w:val="TableContents"/>
              <w:spacing w:before="0" w:after="283"/>
              <w:jc w:val="right"/>
              <w:rPr/>
            </w:pPr>
            <w:r>
              <w:rPr/>
              <w:t>7,646</w:t>
            </w:r>
          </w:p>
        </w:tc>
        <w:tc>
          <w:tcPr>
            <w:tcW w:w="10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right"/>
              <w:rPr/>
            </w:pPr>
            <w:r>
              <w:rPr/>
              <w:t>$</w:t>
            </w:r>
          </w:p>
        </w:tc>
        <w:tc>
          <w:tcPr>
            <w:tcW w:w="740" w:type="dxa"/>
            <w:tcBorders/>
            <w:shd w:fill="CCEEFF" w:val="clear"/>
            <w:vAlign w:val="bottom"/>
          </w:tcPr>
          <w:p>
            <w:pPr>
              <w:pStyle w:val="TableContents"/>
              <w:spacing w:before="0" w:after="283"/>
              <w:jc w:val="right"/>
              <w:rPr/>
            </w:pPr>
            <w:r>
              <w:rPr/>
              <w:t>1,472</w:t>
            </w:r>
          </w:p>
        </w:tc>
        <w:tc>
          <w:tcPr>
            <w:tcW w:w="9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right"/>
              <w:rPr/>
            </w:pPr>
            <w:r>
              <w:rPr/>
              <w:t>$</w:t>
            </w:r>
          </w:p>
        </w:tc>
        <w:tc>
          <w:tcPr>
            <w:tcW w:w="820" w:type="dxa"/>
            <w:tcBorders/>
            <w:shd w:fill="CCEEFF" w:val="clear"/>
            <w:vAlign w:val="bottom"/>
          </w:tcPr>
          <w:p>
            <w:pPr>
              <w:pStyle w:val="TableContents"/>
              <w:spacing w:before="0" w:after="283"/>
              <w:jc w:val="right"/>
              <w:rPr/>
            </w:pPr>
            <w:r>
              <w:rPr/>
              <w:t>573</w:t>
            </w:r>
          </w:p>
        </w:tc>
        <w:tc>
          <w:tcPr>
            <w:tcW w:w="1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right"/>
              <w:rPr/>
            </w:pPr>
            <w:r>
              <w:rPr/>
              <w:t>$</w:t>
            </w:r>
          </w:p>
        </w:tc>
        <w:tc>
          <w:tcPr>
            <w:tcW w:w="858" w:type="dxa"/>
            <w:tcBorders/>
            <w:shd w:fill="CCEEFF" w:val="clear"/>
            <w:vAlign w:val="bottom"/>
          </w:tcPr>
          <w:p>
            <w:pPr>
              <w:pStyle w:val="TableContents"/>
              <w:spacing w:before="0" w:after="283"/>
              <w:jc w:val="right"/>
              <w:rPr/>
            </w:pPr>
            <w:r>
              <w:rPr/>
              <w:t>2,921</w:t>
            </w:r>
          </w:p>
        </w:tc>
        <w:tc>
          <w:tcPr>
            <w:tcW w:w="93" w:type="dxa"/>
            <w:tcBorders/>
            <w:shd w:fill="CCEEFF" w:val="clear"/>
            <w:vAlign w:val="bottom"/>
          </w:tcPr>
          <w:p>
            <w:pPr>
              <w:pStyle w:val="TableContents"/>
              <w:spacing w:before="0" w:after="283"/>
              <w:rPr/>
            </w:pPr>
            <w:r>
              <w:rPr/>
              <w:t> </w:t>
            </w:r>
          </w:p>
        </w:tc>
      </w:tr>
      <w:tr>
        <w:trPr/>
        <w:tc>
          <w:tcPr>
            <w:tcW w:w="2273" w:type="dxa"/>
            <w:tcBorders/>
            <w:shd w:fill="auto" w:val="clear"/>
            <w:vAlign w:val="bottom"/>
          </w:tcPr>
          <w:p>
            <w:pPr>
              <w:pStyle w:val="TableContents"/>
              <w:spacing w:before="0" w:after="0"/>
              <w:ind w:left="450" w:right="0" w:hanging="225"/>
              <w:rPr/>
            </w:pPr>
            <w:r>
              <w:rPr/>
              <w:t>Nine-months ended June 30, 2010</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291</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right"/>
              <w:rPr/>
            </w:pPr>
            <w:r>
              <w:rPr/>
              <w:t> </w:t>
            </w:r>
          </w:p>
        </w:tc>
        <w:tc>
          <w:tcPr>
            <w:tcW w:w="897" w:type="dxa"/>
            <w:tcBorders/>
            <w:shd w:fill="auto" w:val="clear"/>
            <w:vAlign w:val="bottom"/>
          </w:tcPr>
          <w:p>
            <w:pPr>
              <w:pStyle w:val="TableContents"/>
              <w:spacing w:before="0" w:after="283"/>
              <w:jc w:val="right"/>
              <w:rPr/>
            </w:pPr>
            <w:r>
              <w:rPr/>
              <w:t>(5,493</w:t>
            </w:r>
          </w:p>
        </w:tc>
        <w:tc>
          <w:tcPr>
            <w:tcW w:w="128"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jc w:val="right"/>
              <w:rPr/>
            </w:pPr>
            <w:r>
              <w:rPr/>
              <w:t>5,022</w:t>
            </w:r>
          </w:p>
        </w:tc>
        <w:tc>
          <w:tcPr>
            <w:tcW w:w="10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1,416</w:t>
            </w:r>
          </w:p>
        </w:tc>
        <w:tc>
          <w:tcPr>
            <w:tcW w:w="9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1,236</w:t>
            </w:r>
          </w:p>
        </w:tc>
        <w:tc>
          <w:tcPr>
            <w:tcW w:w="1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4,038</w:t>
            </w:r>
          </w:p>
        </w:tc>
        <w:tc>
          <w:tcPr>
            <w:tcW w:w="93"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provision presented in the table above includes only principal and excludes items such non-sufficient funds fees, late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 Expected losses on credit services are accrued and reported in Accounts payable and other accrued expenses on our balance sheets.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Auto title loans are our only loans that remain as recorded investments when in delinquent/nonaccrual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an aging analysis of past due financing receivables by portfolio segment for the periods presented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410"/>
        <w:gridCol w:w="85"/>
        <w:gridCol w:w="164"/>
        <w:gridCol w:w="385"/>
        <w:gridCol w:w="239"/>
        <w:gridCol w:w="85"/>
        <w:gridCol w:w="164"/>
        <w:gridCol w:w="385"/>
        <w:gridCol w:w="239"/>
        <w:gridCol w:w="85"/>
        <w:gridCol w:w="164"/>
        <w:gridCol w:w="385"/>
        <w:gridCol w:w="238"/>
        <w:gridCol w:w="85"/>
        <w:gridCol w:w="164"/>
        <w:gridCol w:w="385"/>
        <w:gridCol w:w="239"/>
        <w:gridCol w:w="85"/>
        <w:gridCol w:w="164"/>
        <w:gridCol w:w="563"/>
        <w:gridCol w:w="239"/>
        <w:gridCol w:w="85"/>
        <w:gridCol w:w="186"/>
        <w:gridCol w:w="656"/>
        <w:gridCol w:w="276"/>
        <w:gridCol w:w="85"/>
        <w:gridCol w:w="255"/>
        <w:gridCol w:w="930"/>
        <w:gridCol w:w="380"/>
        <w:gridCol w:w="85"/>
        <w:gridCol w:w="458"/>
        <w:gridCol w:w="626"/>
        <w:gridCol w:w="231"/>
      </w:tblGrid>
      <w:tr>
        <w:trPr/>
        <w:tc>
          <w:tcPr>
            <w:tcW w:w="141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141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315" w:type="dxa"/>
            <w:gridSpan w:val="3"/>
            <w:tcBorders/>
            <w:shd w:fill="auto" w:val="clear"/>
            <w:vAlign w:val="bottom"/>
          </w:tcPr>
          <w:p>
            <w:pPr>
              <w:pStyle w:val="TableContents"/>
              <w:spacing w:before="0" w:after="283"/>
              <w:jc w:val="center"/>
              <w:rPr/>
            </w:pPr>
            <w:r>
              <w:rPr/>
              <w:t>Recorded</w:t>
            </w:r>
          </w:p>
        </w:tc>
      </w:tr>
      <w:tr>
        <w:trPr/>
        <w:tc>
          <w:tcPr>
            <w:tcW w:w="141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315" w:type="dxa"/>
            <w:gridSpan w:val="3"/>
            <w:tcBorders/>
            <w:shd w:fill="auto" w:val="clear"/>
            <w:vAlign w:val="bottom"/>
          </w:tcPr>
          <w:p>
            <w:pPr>
              <w:pStyle w:val="TableContents"/>
              <w:spacing w:before="0" w:after="283"/>
              <w:jc w:val="center"/>
              <w:rPr/>
            </w:pPr>
            <w:r>
              <w:rPr/>
              <w:t>Investment &gt;</w:t>
            </w:r>
          </w:p>
        </w:tc>
      </w:tr>
      <w:tr>
        <w:trPr/>
        <w:tc>
          <w:tcPr>
            <w:tcW w:w="141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3406" w:type="dxa"/>
            <w:gridSpan w:val="15"/>
            <w:tcBorders>
              <w:bottom w:val="single" w:sz="2" w:space="0" w:color="000000"/>
            </w:tcBorders>
            <w:shd w:fill="auto" w:val="clear"/>
            <w:tcMar>
              <w:bottom w:w="28" w:type="dxa"/>
            </w:tcMar>
            <w:vAlign w:val="bottom"/>
          </w:tcPr>
          <w:p>
            <w:pPr>
              <w:pStyle w:val="TableContents"/>
              <w:spacing w:before="0" w:after="283"/>
              <w:jc w:val="center"/>
              <w:rPr/>
            </w:pPr>
            <w:r>
              <w:rPr/>
              <w:t>Days Past Due</w:t>
            </w:r>
          </w:p>
        </w:tc>
        <w:tc>
          <w:tcPr>
            <w:tcW w:w="85" w:type="dxa"/>
            <w:tcBorders/>
            <w:shd w:fill="auto" w:val="clear"/>
            <w:vAlign w:val="bottom"/>
          </w:tcPr>
          <w:p>
            <w:pPr>
              <w:pStyle w:val="TableContents"/>
              <w:spacing w:before="0" w:after="283"/>
              <w:rPr/>
            </w:pPr>
            <w:r>
              <w:rPr/>
              <w:t> </w:t>
            </w:r>
          </w:p>
        </w:tc>
        <w:tc>
          <w:tcPr>
            <w:tcW w:w="966" w:type="dxa"/>
            <w:gridSpan w:val="3"/>
            <w:tcBorders/>
            <w:shd w:fill="auto" w:val="clear"/>
            <w:vAlign w:val="bottom"/>
          </w:tcPr>
          <w:p>
            <w:pPr>
              <w:pStyle w:val="TableContents"/>
              <w:spacing w:before="0" w:after="283"/>
              <w:jc w:val="center"/>
              <w:rPr/>
            </w:pPr>
            <w:r>
              <w:rPr/>
              <w:t>Total</w:t>
            </w:r>
          </w:p>
        </w:tc>
        <w:tc>
          <w:tcPr>
            <w:tcW w:w="85" w:type="dxa"/>
            <w:tcBorders/>
            <w:shd w:fill="auto" w:val="clear"/>
            <w:vAlign w:val="bottom"/>
          </w:tcPr>
          <w:p>
            <w:pPr>
              <w:pStyle w:val="TableContents"/>
              <w:spacing w:before="0" w:after="283"/>
              <w:rPr/>
            </w:pPr>
            <w:r>
              <w:rPr/>
              <w:t> </w:t>
            </w:r>
          </w:p>
        </w:tc>
        <w:tc>
          <w:tcPr>
            <w:tcW w:w="1118" w:type="dxa"/>
            <w:gridSpan w:val="3"/>
            <w:tcBorders/>
            <w:shd w:fill="auto" w:val="clear"/>
            <w:vAlign w:val="bottom"/>
          </w:tcPr>
          <w:p>
            <w:pPr>
              <w:pStyle w:val="TableContents"/>
              <w:spacing w:before="0" w:after="283"/>
              <w:jc w:val="center"/>
              <w:rPr/>
            </w:pPr>
            <w:r>
              <w:rPr/>
              <w:t>Current</w:t>
            </w:r>
          </w:p>
        </w:tc>
        <w:tc>
          <w:tcPr>
            <w:tcW w:w="85" w:type="dxa"/>
            <w:tcBorders/>
            <w:shd w:fill="auto" w:val="clear"/>
            <w:vAlign w:val="bottom"/>
          </w:tcPr>
          <w:p>
            <w:pPr>
              <w:pStyle w:val="TableContents"/>
              <w:spacing w:before="0" w:after="283"/>
              <w:rPr/>
            </w:pPr>
            <w:r>
              <w:rPr/>
              <w:t> </w:t>
            </w:r>
          </w:p>
        </w:tc>
        <w:tc>
          <w:tcPr>
            <w:tcW w:w="1565" w:type="dxa"/>
            <w:gridSpan w:val="3"/>
            <w:tcBorders/>
            <w:shd w:fill="auto" w:val="clear"/>
            <w:vAlign w:val="bottom"/>
          </w:tcPr>
          <w:p>
            <w:pPr>
              <w:pStyle w:val="TableContents"/>
              <w:spacing w:before="0" w:after="283"/>
              <w:jc w:val="center"/>
              <w:rPr/>
            </w:pPr>
            <w:r>
              <w:rPr/>
              <w:t>Total Financing</w:t>
            </w:r>
          </w:p>
        </w:tc>
        <w:tc>
          <w:tcPr>
            <w:tcW w:w="85" w:type="dxa"/>
            <w:tcBorders/>
            <w:shd w:fill="auto" w:val="clear"/>
            <w:vAlign w:val="bottom"/>
          </w:tcPr>
          <w:p>
            <w:pPr>
              <w:pStyle w:val="TableContents"/>
              <w:spacing w:before="0" w:after="283"/>
              <w:rPr/>
            </w:pPr>
            <w:r>
              <w:rPr/>
              <w:t> </w:t>
            </w:r>
          </w:p>
        </w:tc>
        <w:tc>
          <w:tcPr>
            <w:tcW w:w="1315" w:type="dxa"/>
            <w:gridSpan w:val="3"/>
            <w:tcBorders/>
            <w:shd w:fill="auto" w:val="clear"/>
            <w:vAlign w:val="bottom"/>
          </w:tcPr>
          <w:p>
            <w:pPr>
              <w:pStyle w:val="TableContents"/>
              <w:spacing w:before="0" w:after="283"/>
              <w:jc w:val="center"/>
              <w:rPr/>
            </w:pPr>
            <w:r>
              <w:rPr/>
              <w:t>90 Days &amp;</w:t>
            </w:r>
          </w:p>
        </w:tc>
      </w:tr>
      <w:tr>
        <w:trPr/>
        <w:tc>
          <w:tcPr>
            <w:tcW w:w="141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88" w:type="dxa"/>
            <w:gridSpan w:val="3"/>
            <w:tcBorders/>
            <w:shd w:fill="auto" w:val="clear"/>
            <w:vAlign w:val="bottom"/>
          </w:tcPr>
          <w:p>
            <w:pPr>
              <w:pStyle w:val="TableContents"/>
              <w:spacing w:before="0" w:after="283"/>
              <w:jc w:val="center"/>
              <w:rPr/>
            </w:pPr>
            <w:r>
              <w:rPr/>
              <w:t>1-30</w:t>
            </w:r>
          </w:p>
        </w:tc>
        <w:tc>
          <w:tcPr>
            <w:tcW w:w="85" w:type="dxa"/>
            <w:tcBorders/>
            <w:shd w:fill="auto" w:val="clear"/>
            <w:vAlign w:val="bottom"/>
          </w:tcPr>
          <w:p>
            <w:pPr>
              <w:pStyle w:val="TableContents"/>
              <w:spacing w:before="0" w:after="283"/>
              <w:rPr/>
            </w:pPr>
            <w:r>
              <w:rPr/>
              <w:t> </w:t>
            </w:r>
          </w:p>
        </w:tc>
        <w:tc>
          <w:tcPr>
            <w:tcW w:w="788" w:type="dxa"/>
            <w:gridSpan w:val="3"/>
            <w:tcBorders/>
            <w:shd w:fill="auto" w:val="clear"/>
            <w:vAlign w:val="bottom"/>
          </w:tcPr>
          <w:p>
            <w:pPr>
              <w:pStyle w:val="TableContents"/>
              <w:spacing w:before="0" w:after="283"/>
              <w:jc w:val="center"/>
              <w:rPr/>
            </w:pPr>
            <w:r>
              <w:rPr/>
              <w:t>31-60</w:t>
            </w:r>
          </w:p>
        </w:tc>
        <w:tc>
          <w:tcPr>
            <w:tcW w:w="85" w:type="dxa"/>
            <w:tcBorders/>
            <w:shd w:fill="auto" w:val="clear"/>
            <w:vAlign w:val="bottom"/>
          </w:tcPr>
          <w:p>
            <w:pPr>
              <w:pStyle w:val="TableContents"/>
              <w:spacing w:before="0" w:after="283"/>
              <w:rPr/>
            </w:pPr>
            <w:r>
              <w:rPr/>
              <w:t> </w:t>
            </w:r>
          </w:p>
        </w:tc>
        <w:tc>
          <w:tcPr>
            <w:tcW w:w="787" w:type="dxa"/>
            <w:gridSpan w:val="3"/>
            <w:tcBorders/>
            <w:shd w:fill="auto" w:val="clear"/>
            <w:vAlign w:val="bottom"/>
          </w:tcPr>
          <w:p>
            <w:pPr>
              <w:pStyle w:val="TableContents"/>
              <w:spacing w:before="0" w:after="283"/>
              <w:jc w:val="center"/>
              <w:rPr/>
            </w:pPr>
            <w:r>
              <w:rPr/>
              <w:t>61-90</w:t>
            </w:r>
          </w:p>
        </w:tc>
        <w:tc>
          <w:tcPr>
            <w:tcW w:w="85" w:type="dxa"/>
            <w:tcBorders/>
            <w:shd w:fill="auto" w:val="clear"/>
            <w:vAlign w:val="bottom"/>
          </w:tcPr>
          <w:p>
            <w:pPr>
              <w:pStyle w:val="TableContents"/>
              <w:spacing w:before="0" w:after="283"/>
              <w:rPr/>
            </w:pPr>
            <w:r>
              <w:rPr/>
              <w:t> </w:t>
            </w:r>
          </w:p>
        </w:tc>
        <w:tc>
          <w:tcPr>
            <w:tcW w:w="788" w:type="dxa"/>
            <w:gridSpan w:val="3"/>
            <w:tcBorders/>
            <w:shd w:fill="auto" w:val="clear"/>
            <w:vAlign w:val="bottom"/>
          </w:tcPr>
          <w:p>
            <w:pPr>
              <w:pStyle w:val="TableContents"/>
              <w:spacing w:before="0" w:after="283"/>
              <w:jc w:val="center"/>
              <w:rPr/>
            </w:pPr>
            <w:r>
              <w:rPr/>
              <w:t>&gt;90</w:t>
            </w:r>
          </w:p>
        </w:tc>
        <w:tc>
          <w:tcPr>
            <w:tcW w:w="85" w:type="dxa"/>
            <w:tcBorders/>
            <w:shd w:fill="auto" w:val="clear"/>
            <w:vAlign w:val="bottom"/>
          </w:tcPr>
          <w:p>
            <w:pPr>
              <w:pStyle w:val="TableContents"/>
              <w:spacing w:before="0" w:after="283"/>
              <w:rPr/>
            </w:pPr>
            <w:r>
              <w:rPr/>
              <w:t> </w:t>
            </w:r>
          </w:p>
        </w:tc>
        <w:tc>
          <w:tcPr>
            <w:tcW w:w="966" w:type="dxa"/>
            <w:gridSpan w:val="3"/>
            <w:tcBorders/>
            <w:shd w:fill="auto" w:val="clear"/>
            <w:vAlign w:val="bottom"/>
          </w:tcPr>
          <w:p>
            <w:pPr>
              <w:pStyle w:val="TableContents"/>
              <w:spacing w:before="0" w:after="283"/>
              <w:jc w:val="center"/>
              <w:rPr/>
            </w:pPr>
            <w:r>
              <w:rPr/>
              <w:t>Past Due</w:t>
            </w:r>
          </w:p>
        </w:tc>
        <w:tc>
          <w:tcPr>
            <w:tcW w:w="85" w:type="dxa"/>
            <w:tcBorders/>
            <w:shd w:fill="auto" w:val="clear"/>
            <w:vAlign w:val="bottom"/>
          </w:tcPr>
          <w:p>
            <w:pPr>
              <w:pStyle w:val="TableContents"/>
              <w:spacing w:before="0" w:after="283"/>
              <w:rPr/>
            </w:pPr>
            <w:r>
              <w:rPr/>
              <w:t> </w:t>
            </w:r>
          </w:p>
        </w:tc>
        <w:tc>
          <w:tcPr>
            <w:tcW w:w="1118" w:type="dxa"/>
            <w:gridSpan w:val="3"/>
            <w:tcBorders/>
            <w:shd w:fill="auto" w:val="clear"/>
            <w:vAlign w:val="bottom"/>
          </w:tcPr>
          <w:p>
            <w:pPr>
              <w:pStyle w:val="TableContents"/>
              <w:spacing w:before="0" w:after="283"/>
              <w:jc w:val="center"/>
              <w:rPr/>
            </w:pPr>
            <w:r>
              <w:rPr/>
              <w:t>Receivable</w:t>
            </w:r>
          </w:p>
        </w:tc>
        <w:tc>
          <w:tcPr>
            <w:tcW w:w="85" w:type="dxa"/>
            <w:tcBorders/>
            <w:shd w:fill="auto" w:val="clear"/>
            <w:vAlign w:val="bottom"/>
          </w:tcPr>
          <w:p>
            <w:pPr>
              <w:pStyle w:val="TableContents"/>
              <w:spacing w:before="0" w:after="283"/>
              <w:rPr/>
            </w:pPr>
            <w:r>
              <w:rPr/>
              <w:t> </w:t>
            </w:r>
          </w:p>
        </w:tc>
        <w:tc>
          <w:tcPr>
            <w:tcW w:w="1565" w:type="dxa"/>
            <w:gridSpan w:val="3"/>
            <w:tcBorders/>
            <w:shd w:fill="auto" w:val="clear"/>
            <w:vAlign w:val="bottom"/>
          </w:tcPr>
          <w:p>
            <w:pPr>
              <w:pStyle w:val="TableContents"/>
              <w:spacing w:before="0" w:after="283"/>
              <w:jc w:val="center"/>
              <w:rPr/>
            </w:pPr>
            <w:r>
              <w:rPr/>
              <w:t>Receivable</w:t>
            </w:r>
          </w:p>
        </w:tc>
        <w:tc>
          <w:tcPr>
            <w:tcW w:w="85" w:type="dxa"/>
            <w:tcBorders/>
            <w:shd w:fill="auto" w:val="clear"/>
            <w:vAlign w:val="bottom"/>
          </w:tcPr>
          <w:p>
            <w:pPr>
              <w:pStyle w:val="TableContents"/>
              <w:spacing w:before="0" w:after="283"/>
              <w:rPr/>
            </w:pPr>
            <w:r>
              <w:rPr/>
              <w:t> </w:t>
            </w:r>
          </w:p>
        </w:tc>
        <w:tc>
          <w:tcPr>
            <w:tcW w:w="1315" w:type="dxa"/>
            <w:gridSpan w:val="3"/>
            <w:tcBorders/>
            <w:shd w:fill="auto" w:val="clear"/>
            <w:vAlign w:val="bottom"/>
          </w:tcPr>
          <w:p>
            <w:pPr>
              <w:pStyle w:val="TableContents"/>
              <w:spacing w:before="0" w:after="283"/>
              <w:jc w:val="center"/>
              <w:rPr/>
            </w:pPr>
            <w:r>
              <w:rPr/>
              <w:t>Accruing</w:t>
            </w:r>
          </w:p>
        </w:tc>
      </w:tr>
      <w:tr>
        <w:trPr/>
        <w:tc>
          <w:tcPr>
            <w:tcW w:w="141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8710" w:type="dxa"/>
            <w:gridSpan w:val="3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410" w:type="dxa"/>
            <w:tcBorders/>
            <w:shd w:fill="CCEEFF" w:val="clear"/>
            <w:vAlign w:val="bottom"/>
          </w:tcPr>
          <w:p>
            <w:pPr>
              <w:pStyle w:val="TableContents"/>
              <w:spacing w:before="0" w:after="0"/>
              <w:ind w:left="225" w:right="0" w:hanging="225"/>
              <w:rPr>
                <w:b/>
              </w:rPr>
            </w:pPr>
            <w:r>
              <w:rPr>
                <w:b/>
              </w:rPr>
              <w:t>June 30, 2011</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r>
      <w:tr>
        <w:trPr/>
        <w:tc>
          <w:tcPr>
            <w:tcW w:w="1410" w:type="dxa"/>
            <w:tcBorders/>
            <w:shd w:fill="auto" w:val="clear"/>
            <w:vAlign w:val="bottom"/>
          </w:tcPr>
          <w:p>
            <w:pPr>
              <w:pStyle w:val="TableContents"/>
              <w:spacing w:before="0" w:after="0"/>
              <w:ind w:left="450" w:right="0" w:hanging="225"/>
              <w:rPr/>
            </w:pPr>
            <w:r>
              <w:rPr/>
              <w:t>Auto title loans</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575</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382</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245</w:t>
            </w:r>
          </w:p>
        </w:tc>
        <w:tc>
          <w:tcPr>
            <w:tcW w:w="23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285</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1,487</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right"/>
              <w:rPr/>
            </w:pPr>
            <w:r>
              <w:rPr/>
              <w:t>$</w:t>
            </w:r>
          </w:p>
        </w:tc>
        <w:tc>
          <w:tcPr>
            <w:tcW w:w="656" w:type="dxa"/>
            <w:tcBorders/>
            <w:shd w:fill="auto" w:val="clear"/>
            <w:vAlign w:val="bottom"/>
          </w:tcPr>
          <w:p>
            <w:pPr>
              <w:pStyle w:val="TableContents"/>
              <w:spacing w:before="0" w:after="283"/>
              <w:jc w:val="right"/>
              <w:rPr/>
            </w:pPr>
            <w:r>
              <w:rPr/>
              <w:t>1,434</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right"/>
              <w:rPr/>
            </w:pPr>
            <w:r>
              <w:rPr/>
              <w:t>$</w:t>
            </w:r>
          </w:p>
        </w:tc>
        <w:tc>
          <w:tcPr>
            <w:tcW w:w="930" w:type="dxa"/>
            <w:tcBorders/>
            <w:shd w:fill="auto" w:val="clear"/>
            <w:vAlign w:val="bottom"/>
          </w:tcPr>
          <w:p>
            <w:pPr>
              <w:pStyle w:val="TableContents"/>
              <w:spacing w:before="0" w:after="283"/>
              <w:jc w:val="right"/>
              <w:rPr/>
            </w:pPr>
            <w:r>
              <w:rPr/>
              <w:t>2,921</w:t>
            </w:r>
          </w:p>
        </w:tc>
        <w:tc>
          <w:tcPr>
            <w:tcW w:w="38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pPr>
            <w:r>
              <w:rPr/>
              <w:t>$</w:t>
            </w:r>
          </w:p>
        </w:tc>
        <w:tc>
          <w:tcPr>
            <w:tcW w:w="626" w:type="dxa"/>
            <w:tcBorders/>
            <w:shd w:fill="auto" w:val="clear"/>
            <w:vAlign w:val="bottom"/>
          </w:tcPr>
          <w:p>
            <w:pPr>
              <w:pStyle w:val="TableContents"/>
              <w:spacing w:before="0" w:after="283"/>
              <w:jc w:val="right"/>
              <w:rPr/>
            </w:pPr>
            <w:r>
              <w:rPr/>
              <w:t></w:t>
            </w:r>
          </w:p>
        </w:tc>
        <w:tc>
          <w:tcPr>
            <w:tcW w:w="231" w:type="dxa"/>
            <w:tcBorders/>
            <w:shd w:fill="auto" w:val="clear"/>
            <w:vAlign w:val="bottom"/>
          </w:tcPr>
          <w:p>
            <w:pPr>
              <w:pStyle w:val="TableContents"/>
              <w:spacing w:before="0" w:after="283"/>
              <w:rPr/>
            </w:pPr>
            <w:r>
              <w:rPr/>
              <w:t> </w:t>
            </w:r>
          </w:p>
        </w:tc>
      </w:tr>
      <w:tr>
        <w:trPr/>
        <w:tc>
          <w:tcPr>
            <w:tcW w:w="1410" w:type="dxa"/>
            <w:tcBorders/>
            <w:shd w:fill="CCEEFF" w:val="clear"/>
            <w:vAlign w:val="bottom"/>
          </w:tcPr>
          <w:p>
            <w:pPr>
              <w:pStyle w:val="TableContents"/>
              <w:spacing w:before="0" w:after="0"/>
              <w:ind w:left="450" w:right="0" w:hanging="225"/>
              <w:rPr/>
            </w:pPr>
            <w:r>
              <w:rPr/>
              <w:t>Reserve</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93</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94</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84</w:t>
            </w:r>
          </w:p>
        </w:tc>
        <w:tc>
          <w:tcPr>
            <w:tcW w:w="238"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252</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563" w:type="dxa"/>
            <w:tcBorders/>
            <w:shd w:fill="CCEEFF" w:val="clear"/>
            <w:vAlign w:val="bottom"/>
          </w:tcPr>
          <w:p>
            <w:pPr>
              <w:pStyle w:val="TableContents"/>
              <w:spacing w:before="0" w:after="283"/>
              <w:jc w:val="right"/>
              <w:rPr/>
            </w:pPr>
            <w:r>
              <w:rPr/>
              <w:t>523</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right"/>
              <w:rPr/>
            </w:pPr>
            <w:r>
              <w:rPr/>
              <w:t>$</w:t>
            </w:r>
          </w:p>
        </w:tc>
        <w:tc>
          <w:tcPr>
            <w:tcW w:w="656" w:type="dxa"/>
            <w:tcBorders/>
            <w:shd w:fill="CCEEFF" w:val="clear"/>
            <w:vAlign w:val="bottom"/>
          </w:tcPr>
          <w:p>
            <w:pPr>
              <w:pStyle w:val="TableContents"/>
              <w:spacing w:before="0" w:after="283"/>
              <w:jc w:val="right"/>
              <w:rPr/>
            </w:pPr>
            <w:r>
              <w:rPr/>
              <w:t>50</w:t>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right"/>
              <w:rPr/>
            </w:pPr>
            <w:r>
              <w:rPr/>
              <w:t>$</w:t>
            </w:r>
          </w:p>
        </w:tc>
        <w:tc>
          <w:tcPr>
            <w:tcW w:w="930" w:type="dxa"/>
            <w:tcBorders/>
            <w:shd w:fill="CCEEFF" w:val="clear"/>
            <w:vAlign w:val="bottom"/>
          </w:tcPr>
          <w:p>
            <w:pPr>
              <w:pStyle w:val="TableContents"/>
              <w:spacing w:before="0" w:after="283"/>
              <w:jc w:val="right"/>
              <w:rPr/>
            </w:pPr>
            <w:r>
              <w:rPr/>
              <w:t>573</w:t>
            </w:r>
          </w:p>
        </w:tc>
        <w:tc>
          <w:tcPr>
            <w:tcW w:w="38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pPr>
            <w:r>
              <w:rPr/>
              <w:t>$</w:t>
            </w:r>
          </w:p>
        </w:tc>
        <w:tc>
          <w:tcPr>
            <w:tcW w:w="626" w:type="dxa"/>
            <w:tcBorders/>
            <w:shd w:fill="CCEEFF" w:val="clear"/>
            <w:vAlign w:val="bottom"/>
          </w:tcPr>
          <w:p>
            <w:pPr>
              <w:pStyle w:val="TableContents"/>
              <w:spacing w:before="0" w:after="283"/>
              <w:jc w:val="right"/>
              <w:rPr/>
            </w:pPr>
            <w:r>
              <w:rPr/>
              <w:t></w:t>
            </w:r>
          </w:p>
        </w:tc>
        <w:tc>
          <w:tcPr>
            <w:tcW w:w="231" w:type="dxa"/>
            <w:tcBorders/>
            <w:shd w:fill="CCEEFF" w:val="clear"/>
            <w:vAlign w:val="bottom"/>
          </w:tcPr>
          <w:p>
            <w:pPr>
              <w:pStyle w:val="TableContents"/>
              <w:spacing w:before="0" w:after="283"/>
              <w:rPr/>
            </w:pPr>
            <w:r>
              <w:rPr/>
              <w:t> </w:t>
            </w:r>
          </w:p>
        </w:tc>
      </w:tr>
      <w:tr>
        <w:trPr/>
        <w:tc>
          <w:tcPr>
            <w:tcW w:w="1410" w:type="dxa"/>
            <w:tcBorders/>
            <w:shd w:fill="auto" w:val="clear"/>
            <w:vAlign w:val="bottom"/>
          </w:tcPr>
          <w:p>
            <w:pPr>
              <w:pStyle w:val="TableContents"/>
              <w:spacing w:before="0" w:after="0"/>
              <w:ind w:left="450" w:right="0" w:hanging="225"/>
              <w:rPr/>
            </w:pPr>
            <w:r>
              <w:rPr/>
              <w:t>Reserve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16</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25</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34</w:t>
            </w:r>
          </w:p>
        </w:tc>
        <w:tc>
          <w:tcPr>
            <w:tcW w:w="238"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88</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563" w:type="dxa"/>
            <w:tcBorders/>
            <w:shd w:fill="auto" w:val="clear"/>
            <w:vAlign w:val="bottom"/>
          </w:tcPr>
          <w:p>
            <w:pPr>
              <w:pStyle w:val="TableContents"/>
              <w:spacing w:before="0" w:after="283"/>
              <w:jc w:val="right"/>
              <w:rPr/>
            </w:pPr>
            <w:r>
              <w:rPr/>
              <w:t>35</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right"/>
              <w:rPr/>
            </w:pPr>
            <w:r>
              <w:rPr/>
              <w:t> </w:t>
            </w:r>
          </w:p>
        </w:tc>
        <w:tc>
          <w:tcPr>
            <w:tcW w:w="656" w:type="dxa"/>
            <w:tcBorders/>
            <w:shd w:fill="auto" w:val="clear"/>
            <w:vAlign w:val="bottom"/>
          </w:tcPr>
          <w:p>
            <w:pPr>
              <w:pStyle w:val="TableContents"/>
              <w:spacing w:before="0" w:after="283"/>
              <w:jc w:val="right"/>
              <w:rPr/>
            </w:pPr>
            <w:r>
              <w:rPr/>
              <w:t>3</w:t>
            </w:r>
          </w:p>
        </w:tc>
        <w:tc>
          <w:tcPr>
            <w:tcW w:w="276"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right"/>
              <w:rPr/>
            </w:pPr>
            <w:r>
              <w:rPr/>
              <w:t> </w:t>
            </w:r>
          </w:p>
        </w:tc>
        <w:tc>
          <w:tcPr>
            <w:tcW w:w="930" w:type="dxa"/>
            <w:tcBorders/>
            <w:shd w:fill="auto" w:val="clear"/>
            <w:vAlign w:val="bottom"/>
          </w:tcPr>
          <w:p>
            <w:pPr>
              <w:pStyle w:val="TableContents"/>
              <w:spacing w:before="0" w:after="283"/>
              <w:jc w:val="right"/>
              <w:rPr/>
            </w:pPr>
            <w:r>
              <w:rPr/>
              <w:t>20</w:t>
            </w:r>
          </w:p>
        </w:tc>
        <w:tc>
          <w:tcPr>
            <w:tcW w:w="380"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1410" w:type="dxa"/>
            <w:tcBorders/>
            <w:shd w:fill="auto" w:val="clear"/>
            <w:vAlign w:val="bottom"/>
          </w:tcPr>
          <w:p>
            <w:pPr>
              <w:pStyle w:val="TableContents"/>
              <w:spacing w:before="0" w:after="0"/>
              <w:ind w:left="225" w:right="0" w:hanging="225"/>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1410" w:type="dxa"/>
            <w:tcBorders/>
            <w:shd w:fill="CCEEFF" w:val="clear"/>
            <w:vAlign w:val="bottom"/>
          </w:tcPr>
          <w:p>
            <w:pPr>
              <w:pStyle w:val="TableContents"/>
              <w:spacing w:before="0" w:after="0"/>
              <w:ind w:left="225" w:right="0" w:hanging="225"/>
              <w:rPr>
                <w:b/>
              </w:rPr>
            </w:pPr>
            <w:r>
              <w:rPr>
                <w:b/>
              </w:rPr>
              <w:t>June 30, 2010</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r>
      <w:tr>
        <w:trPr/>
        <w:tc>
          <w:tcPr>
            <w:tcW w:w="1410" w:type="dxa"/>
            <w:tcBorders/>
            <w:shd w:fill="auto" w:val="clear"/>
            <w:vAlign w:val="bottom"/>
          </w:tcPr>
          <w:p>
            <w:pPr>
              <w:pStyle w:val="TableContents"/>
              <w:spacing w:before="0" w:after="0"/>
              <w:ind w:left="450" w:right="0" w:hanging="225"/>
              <w:rPr/>
            </w:pPr>
            <w:r>
              <w:rPr/>
              <w:t>Auto title loans</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543</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422</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262</w:t>
            </w:r>
          </w:p>
        </w:tc>
        <w:tc>
          <w:tcPr>
            <w:tcW w:w="23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949</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2,176</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right"/>
              <w:rPr/>
            </w:pPr>
            <w:r>
              <w:rPr/>
              <w:t>$</w:t>
            </w:r>
          </w:p>
        </w:tc>
        <w:tc>
          <w:tcPr>
            <w:tcW w:w="656" w:type="dxa"/>
            <w:tcBorders/>
            <w:shd w:fill="auto" w:val="clear"/>
            <w:vAlign w:val="bottom"/>
          </w:tcPr>
          <w:p>
            <w:pPr>
              <w:pStyle w:val="TableContents"/>
              <w:spacing w:before="0" w:after="283"/>
              <w:jc w:val="right"/>
              <w:rPr/>
            </w:pPr>
            <w:r>
              <w:rPr/>
              <w:t>1,862</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right"/>
              <w:rPr/>
            </w:pPr>
            <w:r>
              <w:rPr/>
              <w:t>$</w:t>
            </w:r>
          </w:p>
        </w:tc>
        <w:tc>
          <w:tcPr>
            <w:tcW w:w="930" w:type="dxa"/>
            <w:tcBorders/>
            <w:shd w:fill="auto" w:val="clear"/>
            <w:vAlign w:val="bottom"/>
          </w:tcPr>
          <w:p>
            <w:pPr>
              <w:pStyle w:val="TableContents"/>
              <w:spacing w:before="0" w:after="283"/>
              <w:jc w:val="right"/>
              <w:rPr/>
            </w:pPr>
            <w:r>
              <w:rPr/>
              <w:t>4,038</w:t>
            </w:r>
          </w:p>
        </w:tc>
        <w:tc>
          <w:tcPr>
            <w:tcW w:w="38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pPr>
            <w:r>
              <w:rPr/>
              <w:t>$</w:t>
            </w:r>
          </w:p>
        </w:tc>
        <w:tc>
          <w:tcPr>
            <w:tcW w:w="626" w:type="dxa"/>
            <w:tcBorders/>
            <w:shd w:fill="auto" w:val="clear"/>
            <w:vAlign w:val="bottom"/>
          </w:tcPr>
          <w:p>
            <w:pPr>
              <w:pStyle w:val="TableContents"/>
              <w:spacing w:before="0" w:after="283"/>
              <w:jc w:val="right"/>
              <w:rPr/>
            </w:pPr>
            <w:r>
              <w:rPr/>
              <w:t></w:t>
            </w:r>
          </w:p>
        </w:tc>
        <w:tc>
          <w:tcPr>
            <w:tcW w:w="231" w:type="dxa"/>
            <w:tcBorders/>
            <w:shd w:fill="auto" w:val="clear"/>
            <w:vAlign w:val="bottom"/>
          </w:tcPr>
          <w:p>
            <w:pPr>
              <w:pStyle w:val="TableContents"/>
              <w:spacing w:before="0" w:after="283"/>
              <w:rPr/>
            </w:pPr>
            <w:r>
              <w:rPr/>
              <w:t> </w:t>
            </w:r>
          </w:p>
        </w:tc>
      </w:tr>
      <w:tr>
        <w:trPr/>
        <w:tc>
          <w:tcPr>
            <w:tcW w:w="1410" w:type="dxa"/>
            <w:tcBorders/>
            <w:shd w:fill="CCEEFF" w:val="clear"/>
            <w:vAlign w:val="bottom"/>
          </w:tcPr>
          <w:p>
            <w:pPr>
              <w:pStyle w:val="TableContents"/>
              <w:spacing w:before="0" w:after="0"/>
              <w:ind w:left="450" w:right="0" w:hanging="225"/>
              <w:rPr/>
            </w:pPr>
            <w:r>
              <w:rPr/>
              <w:t>Reserve</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109</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104</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129</w:t>
            </w:r>
          </w:p>
        </w:tc>
        <w:tc>
          <w:tcPr>
            <w:tcW w:w="238"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778</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563" w:type="dxa"/>
            <w:tcBorders/>
            <w:shd w:fill="CCEEFF" w:val="clear"/>
            <w:vAlign w:val="bottom"/>
          </w:tcPr>
          <w:p>
            <w:pPr>
              <w:pStyle w:val="TableContents"/>
              <w:spacing w:before="0" w:after="283"/>
              <w:jc w:val="right"/>
              <w:rPr/>
            </w:pPr>
            <w:r>
              <w:rPr/>
              <w:t>1,120</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right"/>
              <w:rPr/>
            </w:pPr>
            <w:r>
              <w:rPr/>
              <w:t>$</w:t>
            </w:r>
          </w:p>
        </w:tc>
        <w:tc>
          <w:tcPr>
            <w:tcW w:w="656" w:type="dxa"/>
            <w:tcBorders/>
            <w:shd w:fill="CCEEFF" w:val="clear"/>
            <w:vAlign w:val="bottom"/>
          </w:tcPr>
          <w:p>
            <w:pPr>
              <w:pStyle w:val="TableContents"/>
              <w:spacing w:before="0" w:after="283"/>
              <w:jc w:val="right"/>
              <w:rPr/>
            </w:pPr>
            <w:r>
              <w:rPr/>
              <w:t>116</w:t>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right"/>
              <w:rPr/>
            </w:pPr>
            <w:r>
              <w:rPr/>
              <w:t>$</w:t>
            </w:r>
          </w:p>
        </w:tc>
        <w:tc>
          <w:tcPr>
            <w:tcW w:w="930" w:type="dxa"/>
            <w:tcBorders/>
            <w:shd w:fill="CCEEFF" w:val="clear"/>
            <w:vAlign w:val="bottom"/>
          </w:tcPr>
          <w:p>
            <w:pPr>
              <w:pStyle w:val="TableContents"/>
              <w:spacing w:before="0" w:after="283"/>
              <w:jc w:val="right"/>
              <w:rPr/>
            </w:pPr>
            <w:r>
              <w:rPr/>
              <w:t>1,236</w:t>
            </w:r>
          </w:p>
        </w:tc>
        <w:tc>
          <w:tcPr>
            <w:tcW w:w="38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pPr>
            <w:r>
              <w:rPr/>
              <w:t>$</w:t>
            </w:r>
          </w:p>
        </w:tc>
        <w:tc>
          <w:tcPr>
            <w:tcW w:w="626" w:type="dxa"/>
            <w:tcBorders/>
            <w:shd w:fill="CCEEFF" w:val="clear"/>
            <w:vAlign w:val="bottom"/>
          </w:tcPr>
          <w:p>
            <w:pPr>
              <w:pStyle w:val="TableContents"/>
              <w:spacing w:before="0" w:after="283"/>
              <w:jc w:val="right"/>
              <w:rPr/>
            </w:pPr>
            <w:r>
              <w:rPr/>
              <w:t></w:t>
            </w:r>
          </w:p>
        </w:tc>
        <w:tc>
          <w:tcPr>
            <w:tcW w:w="231" w:type="dxa"/>
            <w:tcBorders/>
            <w:shd w:fill="CCEEFF" w:val="clear"/>
            <w:vAlign w:val="bottom"/>
          </w:tcPr>
          <w:p>
            <w:pPr>
              <w:pStyle w:val="TableContents"/>
              <w:spacing w:before="0" w:after="283"/>
              <w:rPr/>
            </w:pPr>
            <w:r>
              <w:rPr/>
              <w:t> </w:t>
            </w:r>
          </w:p>
        </w:tc>
      </w:tr>
      <w:tr>
        <w:trPr/>
        <w:tc>
          <w:tcPr>
            <w:tcW w:w="1410" w:type="dxa"/>
            <w:tcBorders/>
            <w:shd w:fill="auto" w:val="clear"/>
            <w:vAlign w:val="bottom"/>
          </w:tcPr>
          <w:p>
            <w:pPr>
              <w:pStyle w:val="TableContents"/>
              <w:spacing w:before="0" w:after="0"/>
              <w:ind w:left="450" w:right="0" w:hanging="225"/>
              <w:rPr/>
            </w:pPr>
            <w:r>
              <w:rPr/>
              <w:t>Reserve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20</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25</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49</w:t>
            </w:r>
          </w:p>
        </w:tc>
        <w:tc>
          <w:tcPr>
            <w:tcW w:w="238"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82</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563" w:type="dxa"/>
            <w:tcBorders/>
            <w:shd w:fill="auto" w:val="clear"/>
            <w:vAlign w:val="bottom"/>
          </w:tcPr>
          <w:p>
            <w:pPr>
              <w:pStyle w:val="TableContents"/>
              <w:spacing w:before="0" w:after="283"/>
              <w:jc w:val="right"/>
              <w:rPr/>
            </w:pPr>
            <w:r>
              <w:rPr/>
              <w:t>51</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right"/>
              <w:rPr/>
            </w:pPr>
            <w:r>
              <w:rPr/>
              <w:t> </w:t>
            </w:r>
          </w:p>
        </w:tc>
        <w:tc>
          <w:tcPr>
            <w:tcW w:w="656" w:type="dxa"/>
            <w:tcBorders/>
            <w:shd w:fill="auto" w:val="clear"/>
            <w:vAlign w:val="bottom"/>
          </w:tcPr>
          <w:p>
            <w:pPr>
              <w:pStyle w:val="TableContents"/>
              <w:spacing w:before="0" w:after="283"/>
              <w:jc w:val="right"/>
              <w:rPr/>
            </w:pPr>
            <w:r>
              <w:rPr/>
              <w:t>6</w:t>
            </w:r>
          </w:p>
        </w:tc>
        <w:tc>
          <w:tcPr>
            <w:tcW w:w="276"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right"/>
              <w:rPr/>
            </w:pPr>
            <w:r>
              <w:rPr/>
              <w:t> </w:t>
            </w:r>
          </w:p>
        </w:tc>
        <w:tc>
          <w:tcPr>
            <w:tcW w:w="930" w:type="dxa"/>
            <w:tcBorders/>
            <w:shd w:fill="auto" w:val="clear"/>
            <w:vAlign w:val="bottom"/>
          </w:tcPr>
          <w:p>
            <w:pPr>
              <w:pStyle w:val="TableContents"/>
              <w:spacing w:before="0" w:after="283"/>
              <w:jc w:val="right"/>
              <w:rPr/>
            </w:pPr>
            <w:r>
              <w:rPr/>
              <w:t>31</w:t>
            </w:r>
          </w:p>
        </w:tc>
        <w:tc>
          <w:tcPr>
            <w:tcW w:w="380"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1410" w:type="dxa"/>
            <w:tcBorders/>
            <w:shd w:fill="auto" w:val="clear"/>
            <w:vAlign w:val="bottom"/>
          </w:tcPr>
          <w:p>
            <w:pPr>
              <w:pStyle w:val="TableContents"/>
              <w:spacing w:before="0" w:after="0"/>
              <w:ind w:left="225" w:right="0" w:hanging="225"/>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1410" w:type="dxa"/>
            <w:tcBorders/>
            <w:shd w:fill="CCEEFF" w:val="clear"/>
            <w:vAlign w:val="bottom"/>
          </w:tcPr>
          <w:p>
            <w:pPr>
              <w:pStyle w:val="TableContents"/>
              <w:spacing w:before="0" w:after="0"/>
              <w:ind w:left="225" w:right="0" w:hanging="225"/>
              <w:rPr>
                <w:b/>
              </w:rPr>
            </w:pPr>
            <w:r>
              <w:rPr>
                <w:b/>
              </w:rPr>
              <w:t>September 30, 2010</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r>
      <w:tr>
        <w:trPr/>
        <w:tc>
          <w:tcPr>
            <w:tcW w:w="1410" w:type="dxa"/>
            <w:tcBorders/>
            <w:shd w:fill="auto" w:val="clear"/>
            <w:vAlign w:val="bottom"/>
          </w:tcPr>
          <w:p>
            <w:pPr>
              <w:pStyle w:val="TableContents"/>
              <w:spacing w:before="0" w:after="0"/>
              <w:ind w:left="450" w:right="0" w:hanging="225"/>
              <w:rPr/>
            </w:pPr>
            <w:r>
              <w:rPr/>
              <w:t>Auto title loans</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797</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552</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432</w:t>
            </w:r>
          </w:p>
        </w:tc>
        <w:tc>
          <w:tcPr>
            <w:tcW w:w="238"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385" w:type="dxa"/>
            <w:tcBorders/>
            <w:shd w:fill="auto" w:val="clear"/>
            <w:vAlign w:val="bottom"/>
          </w:tcPr>
          <w:p>
            <w:pPr>
              <w:pStyle w:val="TableContents"/>
              <w:spacing w:before="0" w:after="283"/>
              <w:jc w:val="right"/>
              <w:rPr/>
            </w:pPr>
            <w:r>
              <w:rPr/>
              <w:t>532</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2,313</w:t>
            </w:r>
          </w:p>
        </w:tc>
        <w:tc>
          <w:tcPr>
            <w:tcW w:w="23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right"/>
              <w:rPr/>
            </w:pPr>
            <w:r>
              <w:rPr/>
              <w:t>$</w:t>
            </w:r>
          </w:p>
        </w:tc>
        <w:tc>
          <w:tcPr>
            <w:tcW w:w="656" w:type="dxa"/>
            <w:tcBorders/>
            <w:shd w:fill="auto" w:val="clear"/>
            <w:vAlign w:val="bottom"/>
          </w:tcPr>
          <w:p>
            <w:pPr>
              <w:pStyle w:val="TableContents"/>
              <w:spacing w:before="0" w:after="283"/>
              <w:jc w:val="right"/>
              <w:rPr/>
            </w:pPr>
            <w:r>
              <w:rPr/>
              <w:t>1,970</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right"/>
              <w:rPr/>
            </w:pPr>
            <w:r>
              <w:rPr/>
              <w:t>$</w:t>
            </w:r>
          </w:p>
        </w:tc>
        <w:tc>
          <w:tcPr>
            <w:tcW w:w="930" w:type="dxa"/>
            <w:tcBorders/>
            <w:shd w:fill="auto" w:val="clear"/>
            <w:vAlign w:val="bottom"/>
          </w:tcPr>
          <w:p>
            <w:pPr>
              <w:pStyle w:val="TableContents"/>
              <w:spacing w:before="0" w:after="283"/>
              <w:jc w:val="right"/>
              <w:rPr/>
            </w:pPr>
            <w:r>
              <w:rPr/>
              <w:t>4,283</w:t>
            </w:r>
          </w:p>
        </w:tc>
        <w:tc>
          <w:tcPr>
            <w:tcW w:w="38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pPr>
            <w:r>
              <w:rPr/>
              <w:t>$</w:t>
            </w:r>
          </w:p>
        </w:tc>
        <w:tc>
          <w:tcPr>
            <w:tcW w:w="626" w:type="dxa"/>
            <w:tcBorders/>
            <w:shd w:fill="auto" w:val="clear"/>
            <w:vAlign w:val="bottom"/>
          </w:tcPr>
          <w:p>
            <w:pPr>
              <w:pStyle w:val="TableContents"/>
              <w:spacing w:before="0" w:after="283"/>
              <w:jc w:val="right"/>
              <w:rPr/>
            </w:pPr>
            <w:r>
              <w:rPr/>
              <w:t></w:t>
            </w:r>
          </w:p>
        </w:tc>
        <w:tc>
          <w:tcPr>
            <w:tcW w:w="231" w:type="dxa"/>
            <w:tcBorders/>
            <w:shd w:fill="auto" w:val="clear"/>
            <w:vAlign w:val="bottom"/>
          </w:tcPr>
          <w:p>
            <w:pPr>
              <w:pStyle w:val="TableContents"/>
              <w:spacing w:before="0" w:after="283"/>
              <w:rPr/>
            </w:pPr>
            <w:r>
              <w:rPr/>
              <w:t> </w:t>
            </w:r>
          </w:p>
        </w:tc>
      </w:tr>
      <w:tr>
        <w:trPr/>
        <w:tc>
          <w:tcPr>
            <w:tcW w:w="1410" w:type="dxa"/>
            <w:tcBorders/>
            <w:shd w:fill="CCEEFF" w:val="clear"/>
            <w:vAlign w:val="bottom"/>
          </w:tcPr>
          <w:p>
            <w:pPr>
              <w:pStyle w:val="TableContents"/>
              <w:spacing w:before="0" w:after="0"/>
              <w:ind w:left="450" w:right="0" w:hanging="225"/>
              <w:rPr/>
            </w:pPr>
            <w:r>
              <w:rPr/>
              <w:t>Reserve</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188</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229</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256</w:t>
            </w:r>
          </w:p>
        </w:tc>
        <w:tc>
          <w:tcPr>
            <w:tcW w:w="238"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385" w:type="dxa"/>
            <w:tcBorders/>
            <w:shd w:fill="CCEEFF" w:val="clear"/>
            <w:vAlign w:val="bottom"/>
          </w:tcPr>
          <w:p>
            <w:pPr>
              <w:pStyle w:val="TableContents"/>
              <w:spacing w:before="0" w:after="283"/>
              <w:jc w:val="right"/>
              <w:rPr/>
            </w:pPr>
            <w:r>
              <w:rPr/>
              <w:t>367</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right"/>
              <w:rPr/>
            </w:pPr>
            <w:r>
              <w:rPr/>
              <w:t>$</w:t>
            </w:r>
          </w:p>
        </w:tc>
        <w:tc>
          <w:tcPr>
            <w:tcW w:w="563" w:type="dxa"/>
            <w:tcBorders/>
            <w:shd w:fill="CCEEFF" w:val="clear"/>
            <w:vAlign w:val="bottom"/>
          </w:tcPr>
          <w:p>
            <w:pPr>
              <w:pStyle w:val="TableContents"/>
              <w:spacing w:before="0" w:after="283"/>
              <w:jc w:val="right"/>
              <w:rPr/>
            </w:pPr>
            <w:r>
              <w:rPr/>
              <w:t>1,040</w:t>
            </w:r>
          </w:p>
        </w:tc>
        <w:tc>
          <w:tcPr>
            <w:tcW w:w="23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right"/>
              <w:rPr/>
            </w:pPr>
            <w:r>
              <w:rPr/>
              <w:t>$</w:t>
            </w:r>
          </w:p>
        </w:tc>
        <w:tc>
          <w:tcPr>
            <w:tcW w:w="656" w:type="dxa"/>
            <w:tcBorders/>
            <w:shd w:fill="CCEEFF" w:val="clear"/>
            <w:vAlign w:val="bottom"/>
          </w:tcPr>
          <w:p>
            <w:pPr>
              <w:pStyle w:val="TableContents"/>
              <w:spacing w:before="0" w:after="283"/>
              <w:jc w:val="right"/>
              <w:rPr/>
            </w:pPr>
            <w:r>
              <w:rPr/>
              <w:t>97</w:t>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right"/>
              <w:rPr/>
            </w:pPr>
            <w:r>
              <w:rPr/>
              <w:t>$</w:t>
            </w:r>
          </w:p>
        </w:tc>
        <w:tc>
          <w:tcPr>
            <w:tcW w:w="930" w:type="dxa"/>
            <w:tcBorders/>
            <w:shd w:fill="CCEEFF" w:val="clear"/>
            <w:vAlign w:val="bottom"/>
          </w:tcPr>
          <w:p>
            <w:pPr>
              <w:pStyle w:val="TableContents"/>
              <w:spacing w:before="0" w:after="283"/>
              <w:jc w:val="right"/>
              <w:rPr/>
            </w:pPr>
            <w:r>
              <w:rPr/>
              <w:t>1,137</w:t>
            </w:r>
          </w:p>
        </w:tc>
        <w:tc>
          <w:tcPr>
            <w:tcW w:w="38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pPr>
            <w:r>
              <w:rPr/>
              <w:t>$</w:t>
            </w:r>
          </w:p>
        </w:tc>
        <w:tc>
          <w:tcPr>
            <w:tcW w:w="626" w:type="dxa"/>
            <w:tcBorders/>
            <w:shd w:fill="CCEEFF" w:val="clear"/>
            <w:vAlign w:val="bottom"/>
          </w:tcPr>
          <w:p>
            <w:pPr>
              <w:pStyle w:val="TableContents"/>
              <w:spacing w:before="0" w:after="283"/>
              <w:jc w:val="right"/>
              <w:rPr/>
            </w:pPr>
            <w:r>
              <w:rPr/>
              <w:t></w:t>
            </w:r>
          </w:p>
        </w:tc>
        <w:tc>
          <w:tcPr>
            <w:tcW w:w="231" w:type="dxa"/>
            <w:tcBorders/>
            <w:shd w:fill="CCEEFF" w:val="clear"/>
            <w:vAlign w:val="bottom"/>
          </w:tcPr>
          <w:p>
            <w:pPr>
              <w:pStyle w:val="TableContents"/>
              <w:spacing w:before="0" w:after="283"/>
              <w:rPr/>
            </w:pPr>
            <w:r>
              <w:rPr/>
              <w:t> </w:t>
            </w:r>
          </w:p>
        </w:tc>
      </w:tr>
      <w:tr>
        <w:trPr/>
        <w:tc>
          <w:tcPr>
            <w:tcW w:w="1410" w:type="dxa"/>
            <w:tcBorders/>
            <w:shd w:fill="auto" w:val="clear"/>
            <w:vAlign w:val="bottom"/>
          </w:tcPr>
          <w:p>
            <w:pPr>
              <w:pStyle w:val="TableContents"/>
              <w:spacing w:before="0" w:after="0"/>
              <w:ind w:left="450" w:right="0" w:hanging="225"/>
              <w:rPr/>
            </w:pPr>
            <w:r>
              <w:rPr/>
              <w:t>Reserve %</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24</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41</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59</w:t>
            </w:r>
          </w:p>
        </w:tc>
        <w:tc>
          <w:tcPr>
            <w:tcW w:w="238"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385" w:type="dxa"/>
            <w:tcBorders/>
            <w:shd w:fill="auto" w:val="clear"/>
            <w:vAlign w:val="bottom"/>
          </w:tcPr>
          <w:p>
            <w:pPr>
              <w:pStyle w:val="TableContents"/>
              <w:spacing w:before="0" w:after="283"/>
              <w:jc w:val="right"/>
              <w:rPr/>
            </w:pPr>
            <w:r>
              <w:rPr/>
              <w:t>69</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right"/>
              <w:rPr/>
            </w:pPr>
            <w:r>
              <w:rPr/>
              <w:t> </w:t>
            </w:r>
          </w:p>
        </w:tc>
        <w:tc>
          <w:tcPr>
            <w:tcW w:w="563" w:type="dxa"/>
            <w:tcBorders/>
            <w:shd w:fill="auto" w:val="clear"/>
            <w:vAlign w:val="bottom"/>
          </w:tcPr>
          <w:p>
            <w:pPr>
              <w:pStyle w:val="TableContents"/>
              <w:spacing w:before="0" w:after="283"/>
              <w:jc w:val="right"/>
              <w:rPr/>
            </w:pPr>
            <w:r>
              <w:rPr/>
              <w:t>45</w:t>
            </w:r>
          </w:p>
        </w:tc>
        <w:tc>
          <w:tcPr>
            <w:tcW w:w="239"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right"/>
              <w:rPr/>
            </w:pPr>
            <w:r>
              <w:rPr/>
              <w:t> </w:t>
            </w:r>
          </w:p>
        </w:tc>
        <w:tc>
          <w:tcPr>
            <w:tcW w:w="656" w:type="dxa"/>
            <w:tcBorders/>
            <w:shd w:fill="auto" w:val="clear"/>
            <w:vAlign w:val="bottom"/>
          </w:tcPr>
          <w:p>
            <w:pPr>
              <w:pStyle w:val="TableContents"/>
              <w:spacing w:before="0" w:after="283"/>
              <w:jc w:val="right"/>
              <w:rPr/>
            </w:pPr>
            <w:r>
              <w:rPr/>
              <w:t>5</w:t>
            </w:r>
          </w:p>
        </w:tc>
        <w:tc>
          <w:tcPr>
            <w:tcW w:w="276"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right"/>
              <w:rPr/>
            </w:pPr>
            <w:r>
              <w:rPr/>
              <w:t> </w:t>
            </w:r>
          </w:p>
        </w:tc>
        <w:tc>
          <w:tcPr>
            <w:tcW w:w="930" w:type="dxa"/>
            <w:tcBorders/>
            <w:shd w:fill="auto" w:val="clear"/>
            <w:vAlign w:val="bottom"/>
          </w:tcPr>
          <w:p>
            <w:pPr>
              <w:pStyle w:val="TableContents"/>
              <w:spacing w:before="0" w:after="283"/>
              <w:jc w:val="right"/>
              <w:rPr/>
            </w:pPr>
            <w:r>
              <w:rPr/>
              <w:t>27</w:t>
            </w:r>
          </w:p>
        </w:tc>
        <w:tc>
          <w:tcPr>
            <w:tcW w:w="380"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N. Subsequent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July 2011, we acquired two pawn stores located in the Chicago metropolitan area and six stores in central Mexico for total consideration of approximately $10.5 million. The consideration was comprised of $3.1 million cash and approximately $7.4 million related to the issuance of 208,763 shares of EZCORP Class A Non-voting Common Stock. The stores were acquired from two separate sellers. We preliminarily expect to record approximately $2.8 million of net tangibles assets and $0.2 million of intangible assets attributable to non-compete agreements and goodwill of $7.5 million. We expect to record goodwill of $4.3 million in the U.S. Pawn Operations segment and $3.2 million in the Empeño Fácil segment, all of which is expected to be tax deductible. The factors contributing to the recognition of goodwill were based on several strategic and synergistic benefits we expect to realize from the acquisitions. These benefits include our initial entry into the Mexican states of Hidalgo and Tlaxcala, a greater presence in the Chicago pawn market and the ability to further leverage our expense structure through increased scale.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240" w:after="283"/>
        <w:jc w:val="left"/>
        <w:rPr>
          <w:rFonts w:ascii="Times New Roman;Times;serif" w:hAnsi="Times New Roman;Times;serif"/>
          <w:sz w:val="17"/>
        </w:rPr>
      </w:pPr>
      <w:bookmarkStart w:id="9" w:name="D82588107"/>
      <w:bookmarkEnd w:id="9"/>
      <w:r>
        <w:rPr>
          <w:rFonts w:ascii="Times New Roman;Times;serif" w:hAnsi="Times New Roman;Times;serif"/>
          <w:b/>
          <w:i/>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Three Months Ended June 30, 2011 vs. Three Months Ended June 30, 2010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unaudited, consolidated financial data for our three-month periods ended June 30, 2011 and 2010 (the current and prior year quarters): </w:t>
      </w:r>
    </w:p>
    <w:tbl>
      <w:tblPr>
        <w:tblW w:w="5000" w:type="pct"/>
        <w:jc w:val="center"/>
        <w:tblInd w:w="0" w:type="dxa"/>
        <w:tblCellMar>
          <w:top w:w="0" w:type="dxa"/>
          <w:left w:w="0" w:type="dxa"/>
          <w:bottom w:w="0" w:type="dxa"/>
          <w:right w:w="0" w:type="dxa"/>
        </w:tblCellMar>
      </w:tblPr>
      <w:tblGrid>
        <w:gridCol w:w="4698"/>
        <w:gridCol w:w="369"/>
        <w:gridCol w:w="211"/>
        <w:gridCol w:w="1167"/>
        <w:gridCol w:w="127"/>
        <w:gridCol w:w="388"/>
        <w:gridCol w:w="211"/>
        <w:gridCol w:w="1169"/>
        <w:gridCol w:w="108"/>
        <w:gridCol w:w="369"/>
        <w:gridCol w:w="139"/>
        <w:gridCol w:w="1020"/>
        <w:gridCol w:w="229"/>
      </w:tblGrid>
      <w:tr>
        <w:trPr/>
        <w:tc>
          <w:tcPr>
            <w:tcW w:w="469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r>
      <w:tr>
        <w:trPr/>
        <w:tc>
          <w:tcPr>
            <w:tcW w:w="469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273"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June 30,</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159" w:type="dxa"/>
            <w:gridSpan w:val="2"/>
            <w:tcBorders>
              <w:bottom w:val="single" w:sz="2" w:space="0" w:color="000000"/>
            </w:tcBorders>
            <w:shd w:fill="auto" w:val="clear"/>
            <w:tcMar>
              <w:bottom w:w="28" w:type="dxa"/>
            </w:tcMar>
            <w:vAlign w:val="bottom"/>
          </w:tcPr>
          <w:p>
            <w:pPr>
              <w:pStyle w:val="TableContents"/>
              <w:spacing w:before="0" w:after="283"/>
              <w:jc w:val="center"/>
              <w:rPr/>
            </w:pPr>
            <w:r>
              <w:rPr/>
              <w:t>Percentage</w:t>
            </w:r>
          </w:p>
        </w:tc>
        <w:tc>
          <w:tcPr>
            <w:tcW w:w="229" w:type="dxa"/>
            <w:tcBorders/>
            <w:shd w:fill="auto" w:val="clear"/>
            <w:vAlign w:val="bottom"/>
          </w:tcPr>
          <w:p>
            <w:pPr>
              <w:pStyle w:val="TableContents"/>
              <w:spacing w:before="0" w:after="283"/>
              <w:rPr/>
            </w:pPr>
            <w:r>
              <w:rPr/>
              <w:t> </w:t>
            </w:r>
          </w:p>
        </w:tc>
      </w:tr>
      <w:tr>
        <w:trPr/>
        <w:tc>
          <w:tcPr>
            <w:tcW w:w="469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7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8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159" w:type="dxa"/>
            <w:gridSpan w:val="2"/>
            <w:tcBorders>
              <w:bottom w:val="single" w:sz="2" w:space="0" w:color="000000"/>
            </w:tcBorders>
            <w:shd w:fill="auto" w:val="clear"/>
            <w:tcMar>
              <w:bottom w:w="28" w:type="dxa"/>
            </w:tcMar>
            <w:vAlign w:val="bottom"/>
          </w:tcPr>
          <w:p>
            <w:pPr>
              <w:pStyle w:val="TableContents"/>
              <w:spacing w:before="0" w:after="283"/>
              <w:jc w:val="center"/>
              <w:rPr/>
            </w:pPr>
            <w:r>
              <w:rPr/>
              <w:t>Change</w:t>
            </w:r>
          </w:p>
        </w:tc>
        <w:tc>
          <w:tcPr>
            <w:tcW w:w="229" w:type="dxa"/>
            <w:tcBorders/>
            <w:shd w:fill="auto" w:val="clear"/>
            <w:vAlign w:val="bottom"/>
          </w:tcPr>
          <w:p>
            <w:pPr>
              <w:pStyle w:val="TableContents"/>
              <w:spacing w:before="0" w:after="283"/>
              <w:rPr/>
            </w:pPr>
            <w:r>
              <w:rPr/>
              <w:t> </w:t>
            </w:r>
          </w:p>
        </w:tc>
      </w:tr>
      <w:tr>
        <w:trPr/>
        <w:tc>
          <w:tcPr>
            <w:tcW w:w="469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273" w:type="dxa"/>
            <w:gridSpan w:val="6"/>
            <w:tcBorders/>
            <w:shd w:fill="auto" w:val="clear"/>
            <w:vAlign w:val="bottom"/>
          </w:tcPr>
          <w:p>
            <w:pPr>
              <w:pStyle w:val="TableContents"/>
              <w:spacing w:before="0" w:after="283"/>
              <w:jc w:val="center"/>
              <w:rPr>
                <w:i/>
              </w:rPr>
            </w:pPr>
            <w:r>
              <w:rPr>
                <w:i/>
              </w:rPr>
              <w:t>(in thousands)</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r>
      <w:tr>
        <w:trPr/>
        <w:tc>
          <w:tcPr>
            <w:tcW w:w="4698" w:type="dxa"/>
            <w:tcBorders/>
            <w:shd w:fill="CCEEFF" w:val="clear"/>
            <w:vAlign w:val="bottom"/>
          </w:tcPr>
          <w:p>
            <w:pPr>
              <w:pStyle w:val="TableContents"/>
              <w:spacing w:before="0" w:after="0"/>
              <w:ind w:left="225" w:right="0" w:hanging="225"/>
              <w:rPr/>
            </w:pPr>
            <w:r>
              <w:rPr/>
              <w:t>Net Revenues:</w:t>
            </w:r>
          </w:p>
        </w:tc>
        <w:tc>
          <w:tcPr>
            <w:tcW w:w="36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r>
      <w:tr>
        <w:trPr/>
        <w:tc>
          <w:tcPr>
            <w:tcW w:w="4698" w:type="dxa"/>
            <w:tcBorders/>
            <w:shd w:fill="auto" w:val="clear"/>
            <w:vAlign w:val="bottom"/>
          </w:tcPr>
          <w:p>
            <w:pPr>
              <w:pStyle w:val="TableContents"/>
              <w:spacing w:before="0" w:after="0"/>
              <w:ind w:left="450" w:right="0" w:hanging="225"/>
              <w:rPr/>
            </w:pPr>
            <w:r>
              <w:rPr/>
              <w:t>Sales</w:t>
            </w:r>
          </w:p>
        </w:tc>
        <w:tc>
          <w:tcPr>
            <w:tcW w:w="3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7" w:type="dxa"/>
            <w:tcBorders/>
            <w:shd w:fill="auto" w:val="clear"/>
            <w:vAlign w:val="bottom"/>
          </w:tcPr>
          <w:p>
            <w:pPr>
              <w:pStyle w:val="TableContents"/>
              <w:spacing w:before="0" w:after="283"/>
              <w:jc w:val="right"/>
              <w:rPr/>
            </w:pPr>
            <w:r>
              <w:rPr/>
              <w:t>115,345</w:t>
            </w:r>
          </w:p>
        </w:tc>
        <w:tc>
          <w:tcPr>
            <w:tcW w:w="12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97,051</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0" w:type="dxa"/>
            <w:tcBorders/>
            <w:shd w:fill="auto" w:val="clear"/>
            <w:vAlign w:val="bottom"/>
          </w:tcPr>
          <w:p>
            <w:pPr>
              <w:pStyle w:val="TableContents"/>
              <w:spacing w:before="0" w:after="283"/>
              <w:jc w:val="right"/>
              <w:rPr/>
            </w:pPr>
            <w:r>
              <w:rPr/>
              <w:t>18.8</w:t>
            </w:r>
          </w:p>
        </w:tc>
        <w:tc>
          <w:tcPr>
            <w:tcW w:w="229" w:type="dxa"/>
            <w:tcBorders/>
            <w:shd w:fill="auto" w:val="clear"/>
            <w:vAlign w:val="bottom"/>
          </w:tcPr>
          <w:p>
            <w:pPr>
              <w:pStyle w:val="TableContents"/>
              <w:spacing w:before="0" w:after="283"/>
              <w:rPr/>
            </w:pPr>
            <w:r>
              <w:rPr/>
              <w:t>%</w:t>
            </w:r>
          </w:p>
        </w:tc>
      </w:tr>
      <w:tr>
        <w:trPr/>
        <w:tc>
          <w:tcPr>
            <w:tcW w:w="4698" w:type="dxa"/>
            <w:tcBorders/>
            <w:shd w:fill="CCEEFF" w:val="clear"/>
            <w:vAlign w:val="bottom"/>
          </w:tcPr>
          <w:p>
            <w:pPr>
              <w:pStyle w:val="TableContents"/>
              <w:spacing w:before="0" w:after="0"/>
              <w:ind w:left="450" w:right="0" w:hanging="225"/>
              <w:rPr/>
            </w:pPr>
            <w:r>
              <w:rPr/>
              <w:t>Pawn service charges</w:t>
            </w:r>
          </w:p>
        </w:tc>
        <w:tc>
          <w:tcPr>
            <w:tcW w:w="36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48,365</w:t>
            </w:r>
          </w:p>
        </w:tc>
        <w:tc>
          <w:tcPr>
            <w:tcW w:w="127"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39,424</w:t>
            </w:r>
          </w:p>
        </w:tc>
        <w:tc>
          <w:tcPr>
            <w:tcW w:w="108"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22.7</w:t>
            </w:r>
          </w:p>
        </w:tc>
        <w:tc>
          <w:tcPr>
            <w:tcW w:w="229" w:type="dxa"/>
            <w:tcBorders/>
            <w:shd w:fill="CCEEFF" w:val="clear"/>
            <w:vAlign w:val="bottom"/>
          </w:tcPr>
          <w:p>
            <w:pPr>
              <w:pStyle w:val="TableContents"/>
              <w:spacing w:before="0" w:after="283"/>
              <w:rPr/>
            </w:pPr>
            <w:r>
              <w:rPr/>
              <w:t>%</w:t>
            </w:r>
          </w:p>
        </w:tc>
      </w:tr>
      <w:tr>
        <w:trPr/>
        <w:tc>
          <w:tcPr>
            <w:tcW w:w="4698" w:type="dxa"/>
            <w:tcBorders/>
            <w:shd w:fill="auto" w:val="clear"/>
            <w:vAlign w:val="bottom"/>
          </w:tcPr>
          <w:p>
            <w:pPr>
              <w:pStyle w:val="TableContents"/>
              <w:spacing w:before="0" w:after="0"/>
              <w:ind w:left="450" w:right="0" w:hanging="225"/>
              <w:rPr/>
            </w:pPr>
            <w:r>
              <w:rPr/>
              <w:t>Signature loan fees</w:t>
            </w:r>
          </w:p>
        </w:tc>
        <w:tc>
          <w:tcPr>
            <w:tcW w:w="3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34,195</w:t>
            </w:r>
          </w:p>
        </w:tc>
        <w:tc>
          <w:tcPr>
            <w:tcW w:w="12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32,296</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0" w:type="dxa"/>
            <w:tcBorders/>
            <w:shd w:fill="auto" w:val="clear"/>
            <w:vAlign w:val="bottom"/>
          </w:tcPr>
          <w:p>
            <w:pPr>
              <w:pStyle w:val="TableContents"/>
              <w:spacing w:before="0" w:after="283"/>
              <w:jc w:val="right"/>
              <w:rPr/>
            </w:pPr>
            <w:r>
              <w:rPr/>
              <w:t>5.9</w:t>
            </w:r>
          </w:p>
        </w:tc>
        <w:tc>
          <w:tcPr>
            <w:tcW w:w="229" w:type="dxa"/>
            <w:tcBorders/>
            <w:shd w:fill="auto" w:val="clear"/>
            <w:vAlign w:val="bottom"/>
          </w:tcPr>
          <w:p>
            <w:pPr>
              <w:pStyle w:val="TableContents"/>
              <w:spacing w:before="0" w:after="283"/>
              <w:rPr/>
            </w:pPr>
            <w:r>
              <w:rPr/>
              <w:t>%</w:t>
            </w:r>
          </w:p>
        </w:tc>
      </w:tr>
      <w:tr>
        <w:trPr/>
        <w:tc>
          <w:tcPr>
            <w:tcW w:w="4698" w:type="dxa"/>
            <w:tcBorders/>
            <w:shd w:fill="CCEEFF" w:val="clear"/>
            <w:vAlign w:val="bottom"/>
          </w:tcPr>
          <w:p>
            <w:pPr>
              <w:pStyle w:val="TableContents"/>
              <w:spacing w:before="0" w:after="0"/>
              <w:ind w:left="450" w:right="0" w:hanging="225"/>
              <w:rPr/>
            </w:pPr>
            <w:r>
              <w:rPr/>
              <w:t>Auto title loan fees</w:t>
            </w:r>
          </w:p>
        </w:tc>
        <w:tc>
          <w:tcPr>
            <w:tcW w:w="36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4,675</w:t>
            </w:r>
          </w:p>
        </w:tc>
        <w:tc>
          <w:tcPr>
            <w:tcW w:w="127"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4,658</w:t>
            </w:r>
          </w:p>
        </w:tc>
        <w:tc>
          <w:tcPr>
            <w:tcW w:w="108"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0.4</w:t>
            </w:r>
          </w:p>
        </w:tc>
        <w:tc>
          <w:tcPr>
            <w:tcW w:w="229" w:type="dxa"/>
            <w:tcBorders/>
            <w:shd w:fill="CCEEFF" w:val="clear"/>
            <w:vAlign w:val="bottom"/>
          </w:tcPr>
          <w:p>
            <w:pPr>
              <w:pStyle w:val="TableContents"/>
              <w:spacing w:before="0" w:after="283"/>
              <w:rPr/>
            </w:pPr>
            <w:r>
              <w:rPr/>
              <w:t>%</w:t>
            </w:r>
          </w:p>
        </w:tc>
      </w:tr>
      <w:tr>
        <w:trPr/>
        <w:tc>
          <w:tcPr>
            <w:tcW w:w="4698" w:type="dxa"/>
            <w:tcBorders/>
            <w:shd w:fill="auto" w:val="clear"/>
            <w:vAlign w:val="bottom"/>
          </w:tcPr>
          <w:p>
            <w:pPr>
              <w:pStyle w:val="TableContents"/>
              <w:spacing w:before="0" w:after="0"/>
              <w:ind w:left="450" w:right="0" w:hanging="225"/>
              <w:rPr/>
            </w:pPr>
            <w:r>
              <w:rPr/>
              <w:t>Other</w:t>
            </w:r>
          </w:p>
        </w:tc>
        <w:tc>
          <w:tcPr>
            <w:tcW w:w="3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572</w:t>
            </w:r>
          </w:p>
        </w:tc>
        <w:tc>
          <w:tcPr>
            <w:tcW w:w="12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113</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0" w:type="dxa"/>
            <w:tcBorders/>
            <w:shd w:fill="auto" w:val="clear"/>
            <w:vAlign w:val="bottom"/>
          </w:tcPr>
          <w:p>
            <w:pPr>
              <w:pStyle w:val="TableContents"/>
              <w:spacing w:before="0" w:after="283"/>
              <w:jc w:val="right"/>
              <w:rPr/>
            </w:pPr>
            <w:r>
              <w:rPr/>
              <w:t>406.2</w:t>
            </w:r>
          </w:p>
        </w:tc>
        <w:tc>
          <w:tcPr>
            <w:tcW w:w="229" w:type="dxa"/>
            <w:tcBorders/>
            <w:shd w:fill="auto" w:val="clear"/>
            <w:vAlign w:val="bottom"/>
          </w:tcPr>
          <w:p>
            <w:pPr>
              <w:pStyle w:val="TableContents"/>
              <w:spacing w:before="0" w:after="283"/>
              <w:rPr/>
            </w:pPr>
            <w:r>
              <w:rPr/>
              <w:t>%</w:t>
            </w:r>
          </w:p>
        </w:tc>
      </w:tr>
      <w:tr>
        <w:trPr/>
        <w:tc>
          <w:tcPr>
            <w:tcW w:w="4698"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3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2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r>
      <w:tr>
        <w:trPr/>
        <w:tc>
          <w:tcPr>
            <w:tcW w:w="4698" w:type="dxa"/>
            <w:tcBorders/>
            <w:shd w:fill="CCEEFF" w:val="clear"/>
            <w:vAlign w:val="bottom"/>
          </w:tcPr>
          <w:p>
            <w:pPr>
              <w:pStyle w:val="TableContents"/>
              <w:spacing w:before="0" w:after="0"/>
              <w:ind w:left="675" w:right="0" w:hanging="225"/>
              <w:rPr/>
            </w:pPr>
            <w:r>
              <w:rPr/>
              <w:t>Total revenues</w:t>
            </w:r>
          </w:p>
        </w:tc>
        <w:tc>
          <w:tcPr>
            <w:tcW w:w="36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203,152</w:t>
            </w:r>
          </w:p>
        </w:tc>
        <w:tc>
          <w:tcPr>
            <w:tcW w:w="127"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173,542</w:t>
            </w:r>
          </w:p>
        </w:tc>
        <w:tc>
          <w:tcPr>
            <w:tcW w:w="108"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17.1</w:t>
            </w:r>
          </w:p>
        </w:tc>
        <w:tc>
          <w:tcPr>
            <w:tcW w:w="229" w:type="dxa"/>
            <w:tcBorders/>
            <w:shd w:fill="CCEEFF" w:val="clear"/>
            <w:vAlign w:val="bottom"/>
          </w:tcPr>
          <w:p>
            <w:pPr>
              <w:pStyle w:val="TableContents"/>
              <w:spacing w:before="0" w:after="283"/>
              <w:rPr/>
            </w:pPr>
            <w:r>
              <w:rPr/>
              <w:t>%</w:t>
            </w:r>
          </w:p>
        </w:tc>
      </w:tr>
      <w:tr>
        <w:trPr/>
        <w:tc>
          <w:tcPr>
            <w:tcW w:w="4698"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r>
      <w:tr>
        <w:trPr/>
        <w:tc>
          <w:tcPr>
            <w:tcW w:w="4698" w:type="dxa"/>
            <w:tcBorders/>
            <w:shd w:fill="auto" w:val="clear"/>
            <w:vAlign w:val="bottom"/>
          </w:tcPr>
          <w:p>
            <w:pPr>
              <w:pStyle w:val="TableContents"/>
              <w:spacing w:before="0" w:after="0"/>
              <w:ind w:left="450" w:right="0" w:hanging="225"/>
              <w:rPr/>
            </w:pPr>
            <w:r>
              <w:rPr/>
              <w:t>Cost of goods sold</w:t>
            </w:r>
          </w:p>
        </w:tc>
        <w:tc>
          <w:tcPr>
            <w:tcW w:w="3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69,128</w:t>
            </w:r>
          </w:p>
        </w:tc>
        <w:tc>
          <w:tcPr>
            <w:tcW w:w="12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58,985</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0" w:type="dxa"/>
            <w:tcBorders/>
            <w:shd w:fill="auto" w:val="clear"/>
            <w:vAlign w:val="bottom"/>
          </w:tcPr>
          <w:p>
            <w:pPr>
              <w:pStyle w:val="TableContents"/>
              <w:spacing w:before="0" w:after="283"/>
              <w:jc w:val="right"/>
              <w:rPr/>
            </w:pPr>
            <w:r>
              <w:rPr/>
              <w:t>17.2</w:t>
            </w:r>
          </w:p>
        </w:tc>
        <w:tc>
          <w:tcPr>
            <w:tcW w:w="229" w:type="dxa"/>
            <w:tcBorders/>
            <w:shd w:fill="auto" w:val="clear"/>
            <w:vAlign w:val="bottom"/>
          </w:tcPr>
          <w:p>
            <w:pPr>
              <w:pStyle w:val="TableContents"/>
              <w:spacing w:before="0" w:after="283"/>
              <w:rPr/>
            </w:pPr>
            <w:r>
              <w:rPr/>
              <w:t>%</w:t>
            </w:r>
          </w:p>
        </w:tc>
      </w:tr>
      <w:tr>
        <w:trPr/>
        <w:tc>
          <w:tcPr>
            <w:tcW w:w="4698" w:type="dxa"/>
            <w:tcBorders/>
            <w:shd w:fill="CCEEFF" w:val="clear"/>
            <w:vAlign w:val="bottom"/>
          </w:tcPr>
          <w:p>
            <w:pPr>
              <w:pStyle w:val="TableContents"/>
              <w:spacing w:before="0" w:after="0"/>
              <w:ind w:left="450" w:right="0" w:hanging="225"/>
              <w:rPr/>
            </w:pPr>
            <w:r>
              <w:rPr/>
              <w:t>Signature loan bad debt</w:t>
            </w:r>
          </w:p>
        </w:tc>
        <w:tc>
          <w:tcPr>
            <w:tcW w:w="36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10,491</w:t>
            </w:r>
          </w:p>
        </w:tc>
        <w:tc>
          <w:tcPr>
            <w:tcW w:w="127"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8,917</w:t>
            </w:r>
          </w:p>
        </w:tc>
        <w:tc>
          <w:tcPr>
            <w:tcW w:w="108"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17.7</w:t>
            </w:r>
          </w:p>
        </w:tc>
        <w:tc>
          <w:tcPr>
            <w:tcW w:w="229" w:type="dxa"/>
            <w:tcBorders/>
            <w:shd w:fill="CCEEFF" w:val="clear"/>
            <w:vAlign w:val="bottom"/>
          </w:tcPr>
          <w:p>
            <w:pPr>
              <w:pStyle w:val="TableContents"/>
              <w:spacing w:before="0" w:after="283"/>
              <w:rPr/>
            </w:pPr>
            <w:r>
              <w:rPr/>
              <w:t>%</w:t>
            </w:r>
          </w:p>
        </w:tc>
      </w:tr>
      <w:tr>
        <w:trPr/>
        <w:tc>
          <w:tcPr>
            <w:tcW w:w="4698" w:type="dxa"/>
            <w:tcBorders/>
            <w:shd w:fill="auto" w:val="clear"/>
            <w:vAlign w:val="bottom"/>
          </w:tcPr>
          <w:p>
            <w:pPr>
              <w:pStyle w:val="TableContents"/>
              <w:spacing w:before="0" w:after="0"/>
              <w:ind w:left="450" w:right="0" w:hanging="225"/>
              <w:rPr/>
            </w:pPr>
            <w:r>
              <w:rPr/>
              <w:t>Auto title loan bad debt</w:t>
            </w:r>
          </w:p>
        </w:tc>
        <w:tc>
          <w:tcPr>
            <w:tcW w:w="3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536</w:t>
            </w:r>
          </w:p>
        </w:tc>
        <w:tc>
          <w:tcPr>
            <w:tcW w:w="12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836</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0" w:type="dxa"/>
            <w:tcBorders/>
            <w:shd w:fill="auto" w:val="clear"/>
            <w:vAlign w:val="bottom"/>
          </w:tcPr>
          <w:p>
            <w:pPr>
              <w:pStyle w:val="TableContents"/>
              <w:spacing w:before="0" w:after="283"/>
              <w:jc w:val="right"/>
              <w:rPr/>
            </w:pPr>
            <w:r>
              <w:rPr/>
              <w:t>-35.9</w:t>
            </w:r>
          </w:p>
        </w:tc>
        <w:tc>
          <w:tcPr>
            <w:tcW w:w="229" w:type="dxa"/>
            <w:tcBorders/>
            <w:shd w:fill="auto" w:val="clear"/>
            <w:vAlign w:val="bottom"/>
          </w:tcPr>
          <w:p>
            <w:pPr>
              <w:pStyle w:val="TableContents"/>
              <w:spacing w:before="0" w:after="283"/>
              <w:rPr/>
            </w:pPr>
            <w:r>
              <w:rPr/>
              <w:t>%</w:t>
            </w:r>
          </w:p>
        </w:tc>
      </w:tr>
      <w:tr>
        <w:trPr/>
        <w:tc>
          <w:tcPr>
            <w:tcW w:w="4698"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3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2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r>
      <w:tr>
        <w:trPr/>
        <w:tc>
          <w:tcPr>
            <w:tcW w:w="4698" w:type="dxa"/>
            <w:tcBorders/>
            <w:shd w:fill="CCEEFF" w:val="clear"/>
            <w:vAlign w:val="bottom"/>
          </w:tcPr>
          <w:p>
            <w:pPr>
              <w:pStyle w:val="TableContents"/>
              <w:spacing w:before="0" w:after="0"/>
              <w:ind w:left="675" w:right="0" w:hanging="225"/>
              <w:rPr/>
            </w:pPr>
            <w:r>
              <w:rPr/>
              <w:t>Net revenues</w:t>
            </w:r>
          </w:p>
        </w:tc>
        <w:tc>
          <w:tcPr>
            <w:tcW w:w="36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1167" w:type="dxa"/>
            <w:tcBorders/>
            <w:shd w:fill="CCEEFF" w:val="clear"/>
            <w:vAlign w:val="bottom"/>
          </w:tcPr>
          <w:p>
            <w:pPr>
              <w:pStyle w:val="TableContents"/>
              <w:spacing w:before="0" w:after="283"/>
              <w:jc w:val="right"/>
              <w:rPr/>
            </w:pPr>
            <w:r>
              <w:rPr/>
              <w:t>122,997</w:t>
            </w:r>
          </w:p>
        </w:tc>
        <w:tc>
          <w:tcPr>
            <w:tcW w:w="127"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1169" w:type="dxa"/>
            <w:tcBorders/>
            <w:shd w:fill="CCEEFF" w:val="clear"/>
            <w:vAlign w:val="bottom"/>
          </w:tcPr>
          <w:p>
            <w:pPr>
              <w:pStyle w:val="TableContents"/>
              <w:spacing w:before="0" w:after="283"/>
              <w:jc w:val="right"/>
              <w:rPr/>
            </w:pPr>
            <w:r>
              <w:rPr/>
              <w:t>104,804</w:t>
            </w:r>
          </w:p>
        </w:tc>
        <w:tc>
          <w:tcPr>
            <w:tcW w:w="108"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17.4</w:t>
            </w:r>
          </w:p>
        </w:tc>
        <w:tc>
          <w:tcPr>
            <w:tcW w:w="229" w:type="dxa"/>
            <w:tcBorders/>
            <w:shd w:fill="CCEEFF" w:val="clear"/>
            <w:vAlign w:val="bottom"/>
          </w:tcPr>
          <w:p>
            <w:pPr>
              <w:pStyle w:val="TableContents"/>
              <w:spacing w:before="0" w:after="283"/>
              <w:rPr/>
            </w:pPr>
            <w:r>
              <w:rPr/>
              <w:t>%</w:t>
            </w:r>
          </w:p>
        </w:tc>
      </w:tr>
      <w:tr>
        <w:trPr/>
        <w:tc>
          <w:tcPr>
            <w:tcW w:w="4698"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3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3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2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r>
      <w:tr>
        <w:trPr/>
        <w:tc>
          <w:tcPr>
            <w:tcW w:w="4698" w:type="dxa"/>
            <w:tcBorders/>
            <w:shd w:fill="auto" w:val="clear"/>
            <w:vAlign w:val="bottom"/>
          </w:tcPr>
          <w:p>
            <w:pPr>
              <w:pStyle w:val="TableContents"/>
              <w:spacing w:before="0" w:after="0"/>
              <w:ind w:left="225" w:right="0" w:hanging="225"/>
              <w:rPr/>
            </w:pPr>
            <w:r>
              <w:rPr/>
              <w:t>Net Income</w:t>
            </w:r>
          </w:p>
        </w:tc>
        <w:tc>
          <w:tcPr>
            <w:tcW w:w="36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7" w:type="dxa"/>
            <w:tcBorders/>
            <w:shd w:fill="auto" w:val="clear"/>
            <w:vAlign w:val="bottom"/>
          </w:tcPr>
          <w:p>
            <w:pPr>
              <w:pStyle w:val="TableContents"/>
              <w:spacing w:before="0" w:after="283"/>
              <w:jc w:val="right"/>
              <w:rPr/>
            </w:pPr>
            <w:r>
              <w:rPr/>
              <w:t>26,527</w:t>
            </w:r>
          </w:p>
        </w:tc>
        <w:tc>
          <w:tcPr>
            <w:tcW w:w="127"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19,962</w:t>
            </w:r>
          </w:p>
        </w:tc>
        <w:tc>
          <w:tcPr>
            <w:tcW w:w="10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0" w:type="dxa"/>
            <w:tcBorders/>
            <w:shd w:fill="auto" w:val="clear"/>
            <w:vAlign w:val="bottom"/>
          </w:tcPr>
          <w:p>
            <w:pPr>
              <w:pStyle w:val="TableContents"/>
              <w:spacing w:before="0" w:after="283"/>
              <w:jc w:val="right"/>
              <w:rPr/>
            </w:pPr>
            <w:r>
              <w:rPr/>
              <w:t>32.9</w:t>
            </w:r>
          </w:p>
        </w:tc>
        <w:tc>
          <w:tcPr>
            <w:tcW w:w="229" w:type="dxa"/>
            <w:tcBorders/>
            <w:shd w:fill="auto" w:val="clear"/>
            <w:vAlign w:val="bottom"/>
          </w:tcPr>
          <w:p>
            <w:pPr>
              <w:pStyle w:val="TableContents"/>
              <w:spacing w:before="0" w:after="283"/>
              <w:rPr/>
            </w:pPr>
            <w:r>
              <w:rPr/>
              <w:t>%</w:t>
            </w:r>
          </w:p>
        </w:tc>
      </w:tr>
      <w:tr>
        <w:trPr/>
        <w:tc>
          <w:tcPr>
            <w:tcW w:w="4698"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3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3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2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Nine Months Ended June 30, 2011 vs. Nine Months Ended June 30, 2010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unaudited, consolidated financial data for our nine-month periods ended June 30, 2011 and 2010 (the current and prior year-to-date periods): </w:t>
      </w:r>
    </w:p>
    <w:tbl>
      <w:tblPr>
        <w:tblW w:w="5000" w:type="pct"/>
        <w:jc w:val="center"/>
        <w:tblInd w:w="0" w:type="dxa"/>
        <w:tblCellMar>
          <w:top w:w="0" w:type="dxa"/>
          <w:left w:w="0" w:type="dxa"/>
          <w:bottom w:w="0" w:type="dxa"/>
          <w:right w:w="0" w:type="dxa"/>
        </w:tblCellMar>
      </w:tblPr>
      <w:tblGrid>
        <w:gridCol w:w="4806"/>
        <w:gridCol w:w="377"/>
        <w:gridCol w:w="203"/>
        <w:gridCol w:w="1121"/>
        <w:gridCol w:w="125"/>
        <w:gridCol w:w="393"/>
        <w:gridCol w:w="203"/>
        <w:gridCol w:w="1123"/>
        <w:gridCol w:w="109"/>
        <w:gridCol w:w="377"/>
        <w:gridCol w:w="137"/>
        <w:gridCol w:w="1005"/>
        <w:gridCol w:w="226"/>
      </w:tblGrid>
      <w:tr>
        <w:trPr/>
        <w:tc>
          <w:tcPr>
            <w:tcW w:w="480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480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168" w:type="dxa"/>
            <w:gridSpan w:val="6"/>
            <w:tcBorders>
              <w:bottom w:val="single" w:sz="2" w:space="0" w:color="000000"/>
            </w:tcBorders>
            <w:shd w:fill="auto" w:val="clear"/>
            <w:tcMar>
              <w:bottom w:w="28" w:type="dxa"/>
            </w:tcMar>
            <w:vAlign w:val="bottom"/>
          </w:tcPr>
          <w:p>
            <w:pPr>
              <w:pStyle w:val="TableContents"/>
              <w:spacing w:before="0" w:after="283"/>
              <w:jc w:val="center"/>
              <w:rPr/>
            </w:pPr>
            <w:r>
              <w:rPr/>
              <w:t>Nine Months Ended June 30,</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142" w:type="dxa"/>
            <w:gridSpan w:val="2"/>
            <w:tcBorders>
              <w:bottom w:val="single" w:sz="2" w:space="0" w:color="000000"/>
            </w:tcBorders>
            <w:shd w:fill="auto" w:val="clear"/>
            <w:tcMar>
              <w:bottom w:w="28" w:type="dxa"/>
            </w:tcMar>
            <w:vAlign w:val="bottom"/>
          </w:tcPr>
          <w:p>
            <w:pPr>
              <w:pStyle w:val="TableContents"/>
              <w:spacing w:before="0" w:after="283"/>
              <w:jc w:val="center"/>
              <w:rPr/>
            </w:pPr>
            <w:r>
              <w:rPr/>
              <w:t>Percentage</w:t>
            </w:r>
          </w:p>
        </w:tc>
        <w:tc>
          <w:tcPr>
            <w:tcW w:w="226" w:type="dxa"/>
            <w:tcBorders/>
            <w:shd w:fill="auto" w:val="clear"/>
            <w:vAlign w:val="bottom"/>
          </w:tcPr>
          <w:p>
            <w:pPr>
              <w:pStyle w:val="TableContents"/>
              <w:spacing w:before="0" w:after="283"/>
              <w:rPr/>
            </w:pPr>
            <w:r>
              <w:rPr/>
              <w:t> </w:t>
            </w:r>
          </w:p>
        </w:tc>
      </w:tr>
      <w:tr>
        <w:trPr/>
        <w:tc>
          <w:tcPr>
            <w:tcW w:w="480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2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32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142" w:type="dxa"/>
            <w:gridSpan w:val="2"/>
            <w:tcBorders>
              <w:bottom w:val="single" w:sz="2" w:space="0" w:color="000000"/>
            </w:tcBorders>
            <w:shd w:fill="auto" w:val="clear"/>
            <w:tcMar>
              <w:bottom w:w="28" w:type="dxa"/>
            </w:tcMar>
            <w:vAlign w:val="bottom"/>
          </w:tcPr>
          <w:p>
            <w:pPr>
              <w:pStyle w:val="TableContents"/>
              <w:spacing w:before="0" w:after="283"/>
              <w:jc w:val="center"/>
              <w:rPr/>
            </w:pPr>
            <w:r>
              <w:rPr/>
              <w:t>Change</w:t>
            </w:r>
          </w:p>
        </w:tc>
        <w:tc>
          <w:tcPr>
            <w:tcW w:w="226" w:type="dxa"/>
            <w:tcBorders/>
            <w:shd w:fill="auto" w:val="clear"/>
            <w:vAlign w:val="bottom"/>
          </w:tcPr>
          <w:p>
            <w:pPr>
              <w:pStyle w:val="TableContents"/>
              <w:spacing w:before="0" w:after="283"/>
              <w:rPr/>
            </w:pPr>
            <w:r>
              <w:rPr/>
              <w:t> </w:t>
            </w:r>
          </w:p>
        </w:tc>
      </w:tr>
      <w:tr>
        <w:trPr/>
        <w:tc>
          <w:tcPr>
            <w:tcW w:w="480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168" w:type="dxa"/>
            <w:gridSpan w:val="6"/>
            <w:tcBorders/>
            <w:shd w:fill="auto" w:val="clear"/>
            <w:vAlign w:val="bottom"/>
          </w:tcPr>
          <w:p>
            <w:pPr>
              <w:pStyle w:val="TableContents"/>
              <w:spacing w:before="0" w:after="283"/>
              <w:jc w:val="center"/>
              <w:rPr>
                <w:i/>
              </w:rPr>
            </w:pPr>
            <w:r>
              <w:rPr>
                <w:i/>
              </w:rPr>
              <w:t>(in thousands)</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4806" w:type="dxa"/>
            <w:tcBorders/>
            <w:shd w:fill="CCEEFF" w:val="clear"/>
            <w:vAlign w:val="bottom"/>
          </w:tcPr>
          <w:p>
            <w:pPr>
              <w:pStyle w:val="TableContents"/>
              <w:spacing w:before="0" w:after="0"/>
              <w:ind w:left="225" w:right="0" w:hanging="225"/>
              <w:rPr/>
            </w:pPr>
            <w:r>
              <w:rPr/>
              <w:t>Net Revenues:</w:t>
            </w:r>
          </w:p>
        </w:tc>
        <w:tc>
          <w:tcPr>
            <w:tcW w:w="3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r>
      <w:tr>
        <w:trPr/>
        <w:tc>
          <w:tcPr>
            <w:tcW w:w="4806" w:type="dxa"/>
            <w:tcBorders/>
            <w:shd w:fill="auto" w:val="clear"/>
            <w:vAlign w:val="bottom"/>
          </w:tcPr>
          <w:p>
            <w:pPr>
              <w:pStyle w:val="TableContents"/>
              <w:spacing w:before="0" w:after="0"/>
              <w:ind w:left="450" w:right="0" w:hanging="225"/>
              <w:rPr/>
            </w:pPr>
            <w:r>
              <w:rPr/>
              <w:t>Sales</w:t>
            </w:r>
          </w:p>
        </w:tc>
        <w:tc>
          <w:tcPr>
            <w:tcW w:w="3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121" w:type="dxa"/>
            <w:tcBorders/>
            <w:shd w:fill="auto" w:val="clear"/>
            <w:vAlign w:val="bottom"/>
          </w:tcPr>
          <w:p>
            <w:pPr>
              <w:pStyle w:val="TableContents"/>
              <w:spacing w:before="0" w:after="283"/>
              <w:jc w:val="right"/>
              <w:rPr/>
            </w:pPr>
            <w:r>
              <w:rPr/>
              <w:t>363,658</w:t>
            </w:r>
          </w:p>
        </w:tc>
        <w:tc>
          <w:tcPr>
            <w:tcW w:w="12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301,645</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283"/>
              <w:jc w:val="right"/>
              <w:rPr/>
            </w:pPr>
            <w:r>
              <w:rPr/>
              <w:t>20.6</w:t>
            </w:r>
          </w:p>
        </w:tc>
        <w:tc>
          <w:tcPr>
            <w:tcW w:w="226" w:type="dxa"/>
            <w:tcBorders/>
            <w:shd w:fill="auto" w:val="clear"/>
            <w:vAlign w:val="bottom"/>
          </w:tcPr>
          <w:p>
            <w:pPr>
              <w:pStyle w:val="TableContents"/>
              <w:spacing w:before="0" w:after="283"/>
              <w:rPr/>
            </w:pPr>
            <w:r>
              <w:rPr/>
              <w:t>%</w:t>
            </w:r>
          </w:p>
        </w:tc>
      </w:tr>
      <w:tr>
        <w:trPr/>
        <w:tc>
          <w:tcPr>
            <w:tcW w:w="4806" w:type="dxa"/>
            <w:tcBorders/>
            <w:shd w:fill="CCEEFF" w:val="clear"/>
            <w:vAlign w:val="bottom"/>
          </w:tcPr>
          <w:p>
            <w:pPr>
              <w:pStyle w:val="TableContents"/>
              <w:spacing w:before="0" w:after="0"/>
              <w:ind w:left="450" w:right="0" w:hanging="225"/>
              <w:rPr/>
            </w:pPr>
            <w:r>
              <w:rPr/>
              <w:t>Pawn service charges</w:t>
            </w:r>
          </w:p>
        </w:tc>
        <w:tc>
          <w:tcPr>
            <w:tcW w:w="3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144,944</w:t>
            </w:r>
          </w:p>
        </w:tc>
        <w:tc>
          <w:tcPr>
            <w:tcW w:w="12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118,527</w:t>
            </w:r>
          </w:p>
        </w:tc>
        <w:tc>
          <w:tcPr>
            <w:tcW w:w="10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pPr>
            <w:r>
              <w:rPr/>
              <w:t>22.3</w:t>
            </w:r>
          </w:p>
        </w:tc>
        <w:tc>
          <w:tcPr>
            <w:tcW w:w="226" w:type="dxa"/>
            <w:tcBorders/>
            <w:shd w:fill="CCEEFF" w:val="clear"/>
            <w:vAlign w:val="bottom"/>
          </w:tcPr>
          <w:p>
            <w:pPr>
              <w:pStyle w:val="TableContents"/>
              <w:spacing w:before="0" w:after="283"/>
              <w:rPr/>
            </w:pPr>
            <w:r>
              <w:rPr/>
              <w:t>%</w:t>
            </w:r>
          </w:p>
        </w:tc>
      </w:tr>
      <w:tr>
        <w:trPr/>
        <w:tc>
          <w:tcPr>
            <w:tcW w:w="4806" w:type="dxa"/>
            <w:tcBorders/>
            <w:shd w:fill="auto" w:val="clear"/>
            <w:vAlign w:val="bottom"/>
          </w:tcPr>
          <w:p>
            <w:pPr>
              <w:pStyle w:val="TableContents"/>
              <w:spacing w:before="0" w:after="0"/>
              <w:ind w:left="450" w:right="0" w:hanging="225"/>
              <w:rPr/>
            </w:pPr>
            <w:r>
              <w:rPr/>
              <w:t>Signature loan fees</w:t>
            </w:r>
          </w:p>
        </w:tc>
        <w:tc>
          <w:tcPr>
            <w:tcW w:w="3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109,364</w:t>
            </w:r>
          </w:p>
        </w:tc>
        <w:tc>
          <w:tcPr>
            <w:tcW w:w="12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102,616</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283"/>
              <w:jc w:val="right"/>
              <w:rPr/>
            </w:pPr>
            <w:r>
              <w:rPr/>
              <w:t>6.6</w:t>
            </w:r>
          </w:p>
        </w:tc>
        <w:tc>
          <w:tcPr>
            <w:tcW w:w="226" w:type="dxa"/>
            <w:tcBorders/>
            <w:shd w:fill="auto" w:val="clear"/>
            <w:vAlign w:val="bottom"/>
          </w:tcPr>
          <w:p>
            <w:pPr>
              <w:pStyle w:val="TableContents"/>
              <w:spacing w:before="0" w:after="283"/>
              <w:rPr/>
            </w:pPr>
            <w:r>
              <w:rPr/>
              <w:t>%</w:t>
            </w:r>
          </w:p>
        </w:tc>
      </w:tr>
      <w:tr>
        <w:trPr/>
        <w:tc>
          <w:tcPr>
            <w:tcW w:w="4806" w:type="dxa"/>
            <w:tcBorders/>
            <w:shd w:fill="CCEEFF" w:val="clear"/>
            <w:vAlign w:val="bottom"/>
          </w:tcPr>
          <w:p>
            <w:pPr>
              <w:pStyle w:val="TableContents"/>
              <w:spacing w:before="0" w:after="0"/>
              <w:ind w:left="450" w:right="0" w:hanging="225"/>
              <w:rPr/>
            </w:pPr>
            <w:r>
              <w:rPr/>
              <w:t>Auto title loan fees</w:t>
            </w:r>
          </w:p>
        </w:tc>
        <w:tc>
          <w:tcPr>
            <w:tcW w:w="3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16,288</w:t>
            </w:r>
          </w:p>
        </w:tc>
        <w:tc>
          <w:tcPr>
            <w:tcW w:w="12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11,716</w:t>
            </w:r>
          </w:p>
        </w:tc>
        <w:tc>
          <w:tcPr>
            <w:tcW w:w="10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pPr>
            <w:r>
              <w:rPr/>
              <w:t>39.0</w:t>
            </w:r>
          </w:p>
        </w:tc>
        <w:tc>
          <w:tcPr>
            <w:tcW w:w="226" w:type="dxa"/>
            <w:tcBorders/>
            <w:shd w:fill="CCEEFF" w:val="clear"/>
            <w:vAlign w:val="bottom"/>
          </w:tcPr>
          <w:p>
            <w:pPr>
              <w:pStyle w:val="TableContents"/>
              <w:spacing w:before="0" w:after="283"/>
              <w:rPr/>
            </w:pPr>
            <w:r>
              <w:rPr/>
              <w:t>%</w:t>
            </w:r>
          </w:p>
        </w:tc>
      </w:tr>
      <w:tr>
        <w:trPr/>
        <w:tc>
          <w:tcPr>
            <w:tcW w:w="4806" w:type="dxa"/>
            <w:tcBorders/>
            <w:shd w:fill="auto" w:val="clear"/>
            <w:vAlign w:val="bottom"/>
          </w:tcPr>
          <w:p>
            <w:pPr>
              <w:pStyle w:val="TableContents"/>
              <w:spacing w:before="0" w:after="0"/>
              <w:ind w:left="450" w:right="0" w:hanging="225"/>
              <w:rPr/>
            </w:pPr>
            <w:r>
              <w:rPr/>
              <w:t>Other</w:t>
            </w:r>
          </w:p>
        </w:tc>
        <w:tc>
          <w:tcPr>
            <w:tcW w:w="3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978</w:t>
            </w:r>
          </w:p>
        </w:tc>
        <w:tc>
          <w:tcPr>
            <w:tcW w:w="12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373</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283"/>
              <w:jc w:val="right"/>
              <w:rPr/>
            </w:pPr>
            <w:r>
              <w:rPr/>
              <w:t>162.2</w:t>
            </w:r>
          </w:p>
        </w:tc>
        <w:tc>
          <w:tcPr>
            <w:tcW w:w="226" w:type="dxa"/>
            <w:tcBorders/>
            <w:shd w:fill="auto" w:val="clear"/>
            <w:vAlign w:val="bottom"/>
          </w:tcPr>
          <w:p>
            <w:pPr>
              <w:pStyle w:val="TableContents"/>
              <w:spacing w:before="0" w:after="283"/>
              <w:rPr/>
            </w:pPr>
            <w:r>
              <w:rPr/>
              <w:t>%</w:t>
            </w:r>
          </w:p>
        </w:tc>
      </w:tr>
      <w:tr>
        <w:trPr/>
        <w:tc>
          <w:tcPr>
            <w:tcW w:w="4806"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13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r>
      <w:tr>
        <w:trPr/>
        <w:tc>
          <w:tcPr>
            <w:tcW w:w="4806" w:type="dxa"/>
            <w:tcBorders/>
            <w:shd w:fill="CCEEFF" w:val="clear"/>
            <w:vAlign w:val="bottom"/>
          </w:tcPr>
          <w:p>
            <w:pPr>
              <w:pStyle w:val="TableContents"/>
              <w:spacing w:before="0" w:after="0"/>
              <w:ind w:left="675" w:right="0" w:hanging="225"/>
              <w:rPr/>
            </w:pPr>
            <w:r>
              <w:rPr/>
              <w:t>Total revenues</w:t>
            </w:r>
          </w:p>
        </w:tc>
        <w:tc>
          <w:tcPr>
            <w:tcW w:w="3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635,232</w:t>
            </w:r>
          </w:p>
        </w:tc>
        <w:tc>
          <w:tcPr>
            <w:tcW w:w="12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534,877</w:t>
            </w:r>
          </w:p>
        </w:tc>
        <w:tc>
          <w:tcPr>
            <w:tcW w:w="10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pPr>
            <w:r>
              <w:rPr/>
              <w:t>18.8</w:t>
            </w:r>
          </w:p>
        </w:tc>
        <w:tc>
          <w:tcPr>
            <w:tcW w:w="226" w:type="dxa"/>
            <w:tcBorders/>
            <w:shd w:fill="CCEEFF" w:val="clear"/>
            <w:vAlign w:val="bottom"/>
          </w:tcPr>
          <w:p>
            <w:pPr>
              <w:pStyle w:val="TableContents"/>
              <w:spacing w:before="0" w:after="283"/>
              <w:rPr/>
            </w:pPr>
            <w:r>
              <w:rPr/>
              <w:t>%</w:t>
            </w:r>
          </w:p>
        </w:tc>
      </w:tr>
      <w:tr>
        <w:trPr/>
        <w:tc>
          <w:tcPr>
            <w:tcW w:w="4806" w:type="dxa"/>
            <w:tcBorders/>
            <w:shd w:fill="auto" w:val="clear"/>
            <w:vAlign w:val="bottom"/>
          </w:tcPr>
          <w:p>
            <w:pPr>
              <w:pStyle w:val="TableContents"/>
              <w:spacing w:before="0" w:after="0"/>
              <w:ind w:left="225" w:right="0" w:hanging="225"/>
              <w:rPr/>
            </w:pPr>
            <w:r>
              <w:rPr/>
              <w:t> </w:t>
            </w:r>
          </w:p>
        </w:tc>
        <w:tc>
          <w:tcPr>
            <w:tcW w:w="3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4806" w:type="dxa"/>
            <w:tcBorders/>
            <w:shd w:fill="auto" w:val="clear"/>
            <w:vAlign w:val="bottom"/>
          </w:tcPr>
          <w:p>
            <w:pPr>
              <w:pStyle w:val="TableContents"/>
              <w:spacing w:before="0" w:after="0"/>
              <w:ind w:left="450" w:right="0" w:hanging="225"/>
              <w:rPr/>
            </w:pPr>
            <w:r>
              <w:rPr/>
              <w:t>Cost of goods sold</w:t>
            </w:r>
          </w:p>
        </w:tc>
        <w:tc>
          <w:tcPr>
            <w:tcW w:w="3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219,258</w:t>
            </w:r>
          </w:p>
        </w:tc>
        <w:tc>
          <w:tcPr>
            <w:tcW w:w="12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183,717</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283"/>
              <w:jc w:val="right"/>
              <w:rPr/>
            </w:pPr>
            <w:r>
              <w:rPr/>
              <w:t>19.3</w:t>
            </w:r>
          </w:p>
        </w:tc>
        <w:tc>
          <w:tcPr>
            <w:tcW w:w="226" w:type="dxa"/>
            <w:tcBorders/>
            <w:shd w:fill="auto" w:val="clear"/>
            <w:vAlign w:val="bottom"/>
          </w:tcPr>
          <w:p>
            <w:pPr>
              <w:pStyle w:val="TableContents"/>
              <w:spacing w:before="0" w:after="283"/>
              <w:rPr/>
            </w:pPr>
            <w:r>
              <w:rPr/>
              <w:t>%</w:t>
            </w:r>
          </w:p>
        </w:tc>
      </w:tr>
      <w:tr>
        <w:trPr/>
        <w:tc>
          <w:tcPr>
            <w:tcW w:w="4806" w:type="dxa"/>
            <w:tcBorders/>
            <w:shd w:fill="CCEEFF" w:val="clear"/>
            <w:vAlign w:val="bottom"/>
          </w:tcPr>
          <w:p>
            <w:pPr>
              <w:pStyle w:val="TableContents"/>
              <w:spacing w:before="0" w:after="0"/>
              <w:ind w:left="450" w:right="0" w:hanging="225"/>
              <w:rPr/>
            </w:pPr>
            <w:r>
              <w:rPr/>
              <w:t>Signature loan bad debt</w:t>
            </w:r>
          </w:p>
        </w:tc>
        <w:tc>
          <w:tcPr>
            <w:tcW w:w="3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25,975</w:t>
            </w:r>
          </w:p>
        </w:tc>
        <w:tc>
          <w:tcPr>
            <w:tcW w:w="12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22,104</w:t>
            </w:r>
          </w:p>
        </w:tc>
        <w:tc>
          <w:tcPr>
            <w:tcW w:w="10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pPr>
            <w:r>
              <w:rPr/>
              <w:t>17.5</w:t>
            </w:r>
          </w:p>
        </w:tc>
        <w:tc>
          <w:tcPr>
            <w:tcW w:w="226" w:type="dxa"/>
            <w:tcBorders/>
            <w:shd w:fill="CCEEFF" w:val="clear"/>
            <w:vAlign w:val="bottom"/>
          </w:tcPr>
          <w:p>
            <w:pPr>
              <w:pStyle w:val="TableContents"/>
              <w:spacing w:before="0" w:after="283"/>
              <w:rPr/>
            </w:pPr>
            <w:r>
              <w:rPr/>
              <w:t>%</w:t>
            </w:r>
          </w:p>
        </w:tc>
      </w:tr>
      <w:tr>
        <w:trPr/>
        <w:tc>
          <w:tcPr>
            <w:tcW w:w="4806" w:type="dxa"/>
            <w:tcBorders/>
            <w:shd w:fill="auto" w:val="clear"/>
            <w:vAlign w:val="bottom"/>
          </w:tcPr>
          <w:p>
            <w:pPr>
              <w:pStyle w:val="TableContents"/>
              <w:spacing w:before="0" w:after="0"/>
              <w:ind w:left="450" w:right="0" w:hanging="225"/>
              <w:rPr/>
            </w:pPr>
            <w:r>
              <w:rPr/>
              <w:t>Auto title loan bad debt</w:t>
            </w:r>
          </w:p>
        </w:tc>
        <w:tc>
          <w:tcPr>
            <w:tcW w:w="3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1,820</w:t>
            </w:r>
          </w:p>
        </w:tc>
        <w:tc>
          <w:tcPr>
            <w:tcW w:w="12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1,616</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283"/>
              <w:jc w:val="right"/>
              <w:rPr/>
            </w:pPr>
            <w:r>
              <w:rPr/>
              <w:t>12.6</w:t>
            </w:r>
          </w:p>
        </w:tc>
        <w:tc>
          <w:tcPr>
            <w:tcW w:w="226" w:type="dxa"/>
            <w:tcBorders/>
            <w:shd w:fill="auto" w:val="clear"/>
            <w:vAlign w:val="bottom"/>
          </w:tcPr>
          <w:p>
            <w:pPr>
              <w:pStyle w:val="TableContents"/>
              <w:spacing w:before="0" w:after="283"/>
              <w:rPr/>
            </w:pPr>
            <w:r>
              <w:rPr/>
              <w:t>%</w:t>
            </w:r>
          </w:p>
        </w:tc>
      </w:tr>
      <w:tr>
        <w:trPr/>
        <w:tc>
          <w:tcPr>
            <w:tcW w:w="4806"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13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r>
      <w:tr>
        <w:trPr/>
        <w:tc>
          <w:tcPr>
            <w:tcW w:w="4806" w:type="dxa"/>
            <w:tcBorders/>
            <w:shd w:fill="CCEEFF" w:val="clear"/>
            <w:vAlign w:val="bottom"/>
          </w:tcPr>
          <w:p>
            <w:pPr>
              <w:pStyle w:val="TableContents"/>
              <w:spacing w:before="0" w:after="0"/>
              <w:ind w:left="675" w:right="0" w:hanging="225"/>
              <w:rPr/>
            </w:pPr>
            <w:r>
              <w:rPr/>
              <w:t>Net revenues</w:t>
            </w:r>
          </w:p>
        </w:tc>
        <w:tc>
          <w:tcPr>
            <w:tcW w:w="3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121" w:type="dxa"/>
            <w:tcBorders/>
            <w:shd w:fill="CCEEFF" w:val="clear"/>
            <w:vAlign w:val="bottom"/>
          </w:tcPr>
          <w:p>
            <w:pPr>
              <w:pStyle w:val="TableContents"/>
              <w:spacing w:before="0" w:after="283"/>
              <w:jc w:val="right"/>
              <w:rPr/>
            </w:pPr>
            <w:r>
              <w:rPr/>
              <w:t>388,179</w:t>
            </w:r>
          </w:p>
        </w:tc>
        <w:tc>
          <w:tcPr>
            <w:tcW w:w="12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123" w:type="dxa"/>
            <w:tcBorders/>
            <w:shd w:fill="CCEEFF" w:val="clear"/>
            <w:vAlign w:val="bottom"/>
          </w:tcPr>
          <w:p>
            <w:pPr>
              <w:pStyle w:val="TableContents"/>
              <w:spacing w:before="0" w:after="283"/>
              <w:jc w:val="right"/>
              <w:rPr/>
            </w:pPr>
            <w:r>
              <w:rPr/>
              <w:t>327,440</w:t>
            </w:r>
          </w:p>
        </w:tc>
        <w:tc>
          <w:tcPr>
            <w:tcW w:w="10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pPr>
            <w:r>
              <w:rPr/>
              <w:t>18.5</w:t>
            </w:r>
          </w:p>
        </w:tc>
        <w:tc>
          <w:tcPr>
            <w:tcW w:w="226" w:type="dxa"/>
            <w:tcBorders/>
            <w:shd w:fill="CCEEFF" w:val="clear"/>
            <w:vAlign w:val="bottom"/>
          </w:tcPr>
          <w:p>
            <w:pPr>
              <w:pStyle w:val="TableContents"/>
              <w:spacing w:before="0" w:after="283"/>
              <w:rPr/>
            </w:pPr>
            <w:r>
              <w:rPr/>
              <w:t>%</w:t>
            </w:r>
          </w:p>
        </w:tc>
      </w:tr>
      <w:tr>
        <w:trPr/>
        <w:tc>
          <w:tcPr>
            <w:tcW w:w="4806"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13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r>
      <w:tr>
        <w:trPr/>
        <w:tc>
          <w:tcPr>
            <w:tcW w:w="4806" w:type="dxa"/>
            <w:tcBorders/>
            <w:shd w:fill="auto" w:val="clear"/>
            <w:vAlign w:val="bottom"/>
          </w:tcPr>
          <w:p>
            <w:pPr>
              <w:pStyle w:val="TableContents"/>
              <w:spacing w:before="0" w:after="0"/>
              <w:ind w:left="225" w:right="0" w:hanging="225"/>
              <w:rPr/>
            </w:pPr>
            <w:r>
              <w:rPr/>
              <w:t>Net Income</w:t>
            </w:r>
          </w:p>
        </w:tc>
        <w:tc>
          <w:tcPr>
            <w:tcW w:w="3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121" w:type="dxa"/>
            <w:tcBorders/>
            <w:shd w:fill="auto" w:val="clear"/>
            <w:vAlign w:val="bottom"/>
          </w:tcPr>
          <w:p>
            <w:pPr>
              <w:pStyle w:val="TableContents"/>
              <w:spacing w:before="0" w:after="283"/>
              <w:jc w:val="right"/>
              <w:rPr/>
            </w:pPr>
            <w:r>
              <w:rPr/>
              <w:t>85,794</w:t>
            </w:r>
          </w:p>
        </w:tc>
        <w:tc>
          <w:tcPr>
            <w:tcW w:w="12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69,442</w:t>
            </w:r>
          </w:p>
        </w:tc>
        <w:tc>
          <w:tcPr>
            <w:tcW w:w="10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283"/>
              <w:jc w:val="right"/>
              <w:rPr/>
            </w:pPr>
            <w:r>
              <w:rPr/>
              <w:t>23.5</w:t>
            </w:r>
          </w:p>
        </w:tc>
        <w:tc>
          <w:tcPr>
            <w:tcW w:w="226" w:type="dxa"/>
            <w:tcBorders/>
            <w:shd w:fill="auto" w:val="clear"/>
            <w:vAlign w:val="bottom"/>
          </w:tcPr>
          <w:p>
            <w:pPr>
              <w:pStyle w:val="TableContents"/>
              <w:spacing w:before="0" w:after="283"/>
              <w:rPr/>
            </w:pPr>
            <w:r>
              <w:rPr/>
              <w:t>%</w:t>
            </w:r>
          </w:p>
        </w:tc>
      </w:tr>
      <w:tr>
        <w:trPr/>
        <w:tc>
          <w:tcPr>
            <w:tcW w:w="4806"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3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13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Beginning in the quarter ended March 31, 2011, we reclassified fees from our Product Protection Plan and Jewelry VIP Program as well as layaway fees from Other revenue to Sales on the basis that fees from these products are incidental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sales of merchandise. Prior year figures have been reclassified to conform to this presentation and margins have been recalculated accordingly throughout managements discussion and analysis.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Overview</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a leading provider of specialty consumer financial services. We provide collateralized, non-recourse loans, commonly known as pawn loans, and a variety of financial services including payday loans, installment loans and auto title loans, or fee-based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June 30, 2011, we operated a total of 1,083 locations, consisting of 426 U.S. pawn stores (operating as EZPAWN or Value Pawn), 155 pawn stores in Mexico (operating as Empeño Fácil or Empeñe su Oro), 442 U.S. financial services stores (operating primarily as EZMONEY), 57 financial services stores in Canada (operating as CASHMAX ) and three financial and retail services stores (operating as Cash Converters). In addition, we acquired 13 franchised stores in Canada pursuant to our acquisition of the Cash Converters master franchise in that country. We also own almost 30% of Albemarle &amp; Bond Holdings, PLC, one of the U.K.s largest pawnbroking businesses with over 140 stores, and almost 33% of Cash Converters International Limited, which franchises and operates a worldwide network of approximately 600 locations that provide financial services and buy and sell second-hand goods.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as three segments. The U.S. Pawn Operations segment operates only in the United States. The Empeño Fácil segment operates only in Mexico. The EZMONEY Operations segment operates 436 stores in the United States and 60 stores in Canada. The following tables present store data and products offered in each segment: </w:t>
      </w:r>
    </w:p>
    <w:tbl>
      <w:tblPr>
        <w:tblW w:w="5000" w:type="pct"/>
        <w:jc w:val="center"/>
        <w:tblInd w:w="0" w:type="dxa"/>
        <w:tblCellMar>
          <w:top w:w="0" w:type="dxa"/>
          <w:left w:w="0" w:type="dxa"/>
          <w:bottom w:w="0" w:type="dxa"/>
          <w:right w:w="0" w:type="dxa"/>
        </w:tblCellMar>
      </w:tblPr>
      <w:tblGrid>
        <w:gridCol w:w="2469"/>
        <w:gridCol w:w="278"/>
        <w:gridCol w:w="160"/>
        <w:gridCol w:w="961"/>
        <w:gridCol w:w="104"/>
        <w:gridCol w:w="288"/>
        <w:gridCol w:w="134"/>
        <w:gridCol w:w="795"/>
        <w:gridCol w:w="104"/>
        <w:gridCol w:w="288"/>
        <w:gridCol w:w="179"/>
        <w:gridCol w:w="1074"/>
        <w:gridCol w:w="138"/>
        <w:gridCol w:w="288"/>
        <w:gridCol w:w="143"/>
        <w:gridCol w:w="1147"/>
        <w:gridCol w:w="138"/>
        <w:gridCol w:w="288"/>
        <w:gridCol w:w="197"/>
        <w:gridCol w:w="900"/>
        <w:gridCol w:w="132"/>
      </w:tblGrid>
      <w:tr>
        <w:trPr/>
        <w:tc>
          <w:tcPr>
            <w:tcW w:w="246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46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7326" w:type="dxa"/>
            <w:gridSpan w:val="18"/>
            <w:tcBorders>
              <w:bottom w:val="single" w:sz="2" w:space="0" w:color="000000"/>
            </w:tcBorders>
            <w:shd w:fill="auto" w:val="clear"/>
            <w:tcMar>
              <w:bottom w:w="28" w:type="dxa"/>
            </w:tcMar>
            <w:vAlign w:val="bottom"/>
          </w:tcPr>
          <w:p>
            <w:pPr>
              <w:pStyle w:val="TableContents"/>
              <w:spacing w:before="0" w:after="283"/>
              <w:jc w:val="center"/>
              <w:rPr/>
            </w:pPr>
            <w:r>
              <w:rPr/>
              <w:t>Three Months Ended June 30, 2011</w:t>
            </w:r>
          </w:p>
        </w:tc>
        <w:tc>
          <w:tcPr>
            <w:tcW w:w="132" w:type="dxa"/>
            <w:tcBorders/>
            <w:shd w:fill="auto" w:val="clear"/>
            <w:vAlign w:val="bottom"/>
          </w:tcPr>
          <w:p>
            <w:pPr>
              <w:pStyle w:val="TableContents"/>
              <w:spacing w:before="0" w:after="283"/>
              <w:rPr/>
            </w:pPr>
            <w:r>
              <w:rPr/>
              <w:t> </w:t>
            </w:r>
          </w:p>
        </w:tc>
      </w:tr>
      <w:tr>
        <w:trPr/>
        <w:tc>
          <w:tcPr>
            <w:tcW w:w="246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5803" w:type="dxa"/>
            <w:gridSpan w:val="14"/>
            <w:tcBorders>
              <w:bottom w:val="single" w:sz="2" w:space="0" w:color="000000"/>
            </w:tcBorders>
            <w:shd w:fill="auto" w:val="clear"/>
            <w:tcMar>
              <w:bottom w:w="28" w:type="dxa"/>
            </w:tcMar>
            <w:vAlign w:val="bottom"/>
          </w:tcPr>
          <w:p>
            <w:pPr>
              <w:pStyle w:val="TableContents"/>
              <w:spacing w:before="0" w:after="283"/>
              <w:jc w:val="center"/>
              <w:rPr/>
            </w:pPr>
            <w:r>
              <w:rPr/>
              <w:t>Company-owned Stores</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097" w:type="dxa"/>
            <w:gridSpan w:val="2"/>
            <w:tcBorders>
              <w:bottom w:val="single" w:sz="2" w:space="0" w:color="000000"/>
            </w:tcBorders>
            <w:shd w:fill="auto" w:val="clear"/>
            <w:tcMar>
              <w:bottom w:w="28" w:type="dxa"/>
            </w:tcMar>
            <w:vAlign w:val="bottom"/>
          </w:tcPr>
          <w:p>
            <w:pPr>
              <w:pStyle w:val="TableContents"/>
              <w:spacing w:before="0" w:after="283"/>
              <w:jc w:val="center"/>
              <w:rPr/>
            </w:pPr>
            <w:r>
              <w:rPr/>
              <w:t>Franchises</w:t>
            </w:r>
          </w:p>
        </w:tc>
        <w:tc>
          <w:tcPr>
            <w:tcW w:w="132" w:type="dxa"/>
            <w:tcBorders/>
            <w:shd w:fill="auto" w:val="clear"/>
            <w:vAlign w:val="bottom"/>
          </w:tcPr>
          <w:p>
            <w:pPr>
              <w:pStyle w:val="TableContents"/>
              <w:spacing w:before="0" w:after="283"/>
              <w:rPr/>
            </w:pPr>
            <w:r>
              <w:rPr/>
              <w:t> </w:t>
            </w:r>
          </w:p>
        </w:tc>
      </w:tr>
      <w:tr>
        <w:trPr/>
        <w:tc>
          <w:tcPr>
            <w:tcW w:w="246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jc w:val="center"/>
              <w:rPr/>
            </w:pPr>
            <w:r>
              <w:rPr/>
              <w:t>U.S. Pawn</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929" w:type="dxa"/>
            <w:gridSpan w:val="2"/>
            <w:tcBorders/>
            <w:shd w:fill="auto" w:val="clear"/>
            <w:vAlign w:val="bottom"/>
          </w:tcPr>
          <w:p>
            <w:pPr>
              <w:pStyle w:val="TableContents"/>
              <w:spacing w:before="0" w:after="283"/>
              <w:jc w:val="center"/>
              <w:rPr/>
            </w:pPr>
            <w:r>
              <w:rPr/>
              <w:t>Empeño</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3" w:type="dxa"/>
            <w:gridSpan w:val="2"/>
            <w:tcBorders/>
            <w:shd w:fill="auto" w:val="clear"/>
            <w:vAlign w:val="bottom"/>
          </w:tcPr>
          <w:p>
            <w:pPr>
              <w:pStyle w:val="TableContents"/>
              <w:spacing w:before="0" w:after="283"/>
              <w:jc w:val="center"/>
              <w:rPr/>
            </w:pPr>
            <w:r>
              <w:rPr/>
              <w:t>EZMONEY</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90" w:type="dxa"/>
            <w:gridSpan w:val="2"/>
            <w:tcBorders/>
            <w:shd w:fill="auto" w:val="clear"/>
            <w:vAlign w:val="bottom"/>
          </w:tcPr>
          <w:p>
            <w:pPr>
              <w:pStyle w:val="TableContents"/>
              <w:spacing w:before="0" w:after="283"/>
              <w:jc w:val="center"/>
              <w:rPr/>
            </w:pPr>
            <w:r>
              <w:rPr/>
              <w:t> </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46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21"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929"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3"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90"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469" w:type="dxa"/>
            <w:tcBorders/>
            <w:shd w:fill="CCEEFF" w:val="clear"/>
            <w:vAlign w:val="bottom"/>
          </w:tcPr>
          <w:p>
            <w:pPr>
              <w:pStyle w:val="TableContents"/>
              <w:spacing w:before="0" w:after="0"/>
              <w:ind w:left="225" w:right="0" w:hanging="225"/>
              <w:rPr/>
            </w:pPr>
            <w:r>
              <w:rPr/>
              <w:t>Stores in operation:</w:t>
            </w:r>
          </w:p>
        </w:tc>
        <w:tc>
          <w:tcPr>
            <w:tcW w:w="27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2469" w:type="dxa"/>
            <w:tcBorders/>
            <w:shd w:fill="auto" w:val="clear"/>
            <w:vAlign w:val="bottom"/>
          </w:tcPr>
          <w:p>
            <w:pPr>
              <w:pStyle w:val="TableContents"/>
              <w:spacing w:before="0" w:after="0"/>
              <w:ind w:left="450" w:right="0" w:hanging="225"/>
              <w:rPr/>
            </w:pPr>
            <w:r>
              <w:rPr/>
              <w:t>Beginning of period</w:t>
            </w:r>
          </w:p>
        </w:tc>
        <w:tc>
          <w:tcPr>
            <w:tcW w:w="27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409</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147</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501</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jc w:val="right"/>
              <w:rPr/>
            </w:pPr>
            <w:r>
              <w:rPr/>
              <w:t>1,057</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2469" w:type="dxa"/>
            <w:tcBorders/>
            <w:shd w:fill="CCEEFF" w:val="clear"/>
            <w:vAlign w:val="bottom"/>
          </w:tcPr>
          <w:p>
            <w:pPr>
              <w:pStyle w:val="TableContents"/>
              <w:spacing w:before="0" w:after="0"/>
              <w:ind w:left="450" w:right="0" w:hanging="225"/>
              <w:rPr/>
            </w:pPr>
            <w:r>
              <w:rPr/>
              <w:t>New openings</w:t>
            </w:r>
          </w:p>
        </w:tc>
        <w:tc>
          <w:tcPr>
            <w:tcW w:w="27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8</w:t>
            </w:r>
          </w:p>
        </w:tc>
        <w:tc>
          <w:tcPr>
            <w:tcW w:w="10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1</w:t>
            </w:r>
          </w:p>
        </w:tc>
        <w:tc>
          <w:tcPr>
            <w:tcW w:w="13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jc w:val="right"/>
              <w:rPr/>
            </w:pPr>
            <w:r>
              <w:rPr/>
              <w:t>9</w:t>
            </w:r>
          </w:p>
        </w:tc>
        <w:tc>
          <w:tcPr>
            <w:tcW w:w="13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2469" w:type="dxa"/>
            <w:tcBorders/>
            <w:shd w:fill="auto" w:val="clear"/>
            <w:vAlign w:val="bottom"/>
          </w:tcPr>
          <w:p>
            <w:pPr>
              <w:pStyle w:val="TableContents"/>
              <w:spacing w:before="0" w:after="0"/>
              <w:ind w:left="450" w:right="0" w:hanging="225"/>
              <w:rPr/>
            </w:pPr>
            <w:r>
              <w:rPr/>
              <w:t>Acquired</w:t>
            </w:r>
          </w:p>
        </w:tc>
        <w:tc>
          <w:tcPr>
            <w:tcW w:w="27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23</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jc w:val="right"/>
              <w:rPr/>
            </w:pPr>
            <w:r>
              <w:rPr/>
              <w:t>23</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13</w:t>
            </w:r>
          </w:p>
        </w:tc>
        <w:tc>
          <w:tcPr>
            <w:tcW w:w="132" w:type="dxa"/>
            <w:tcBorders/>
            <w:shd w:fill="auto" w:val="clear"/>
            <w:vAlign w:val="bottom"/>
          </w:tcPr>
          <w:p>
            <w:pPr>
              <w:pStyle w:val="TableContents"/>
              <w:spacing w:before="0" w:after="283"/>
              <w:rPr/>
            </w:pPr>
            <w:r>
              <w:rPr/>
              <w:t> </w:t>
            </w:r>
          </w:p>
        </w:tc>
      </w:tr>
      <w:tr>
        <w:trPr/>
        <w:tc>
          <w:tcPr>
            <w:tcW w:w="2469" w:type="dxa"/>
            <w:tcBorders/>
            <w:shd w:fill="CCEEFF" w:val="clear"/>
            <w:vAlign w:val="bottom"/>
          </w:tcPr>
          <w:p>
            <w:pPr>
              <w:pStyle w:val="TableContents"/>
              <w:spacing w:before="0" w:after="0"/>
              <w:ind w:left="450" w:right="0" w:hanging="225"/>
              <w:rPr/>
            </w:pPr>
            <w:r>
              <w:rPr/>
              <w:t>Sold, combined, or closed</w:t>
            </w:r>
          </w:p>
        </w:tc>
        <w:tc>
          <w:tcPr>
            <w:tcW w:w="27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jc w:val="right"/>
              <w:rPr/>
            </w:pPr>
            <w:r>
              <w:rPr/>
              <w:t>(6</w:t>
            </w:r>
          </w:p>
        </w:tc>
        <w:tc>
          <w:tcPr>
            <w:tcW w:w="138" w:type="dxa"/>
            <w:tcBorders/>
            <w:shd w:fill="CCEEFF" w:val="clear"/>
            <w:vAlign w:val="bottom"/>
          </w:tcPr>
          <w:p>
            <w:pPr>
              <w:pStyle w:val="TableContents"/>
              <w:spacing w:before="0" w:after="283"/>
              <w:rPr/>
            </w:pPr>
            <w:r>
              <w:rPr/>
              <w:t>)</w:t>
            </w:r>
          </w:p>
        </w:tc>
        <w:tc>
          <w:tcPr>
            <w:tcW w:w="2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1147" w:type="dxa"/>
            <w:tcBorders/>
            <w:shd w:fill="CCEEFF" w:val="clear"/>
            <w:vAlign w:val="bottom"/>
          </w:tcPr>
          <w:p>
            <w:pPr>
              <w:pStyle w:val="TableContents"/>
              <w:spacing w:before="0" w:after="283"/>
              <w:jc w:val="right"/>
              <w:rPr/>
            </w:pPr>
            <w:r>
              <w:rPr/>
              <w:t>(6</w:t>
            </w:r>
          </w:p>
        </w:tc>
        <w:tc>
          <w:tcPr>
            <w:tcW w:w="138" w:type="dxa"/>
            <w:tcBorders/>
            <w:shd w:fill="CCEEFF" w:val="clear"/>
            <w:vAlign w:val="bottom"/>
          </w:tcPr>
          <w:p>
            <w:pPr>
              <w:pStyle w:val="TableContents"/>
              <w:spacing w:before="0" w:after="283"/>
              <w:rPr/>
            </w:pPr>
            <w:r>
              <w:rPr/>
              <w:t>)</w:t>
            </w:r>
          </w:p>
        </w:tc>
        <w:tc>
          <w:tcPr>
            <w:tcW w:w="28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900" w:type="dxa"/>
            <w:tcBorders/>
            <w:shd w:fill="CCEEFF" w:val="clear"/>
            <w:vAlign w:val="bottom"/>
          </w:tcPr>
          <w:p>
            <w:pPr>
              <w:pStyle w:val="TableContents"/>
              <w:spacing w:before="0" w:after="283"/>
              <w:jc w:val="right"/>
              <w:rPr/>
            </w:pPr>
            <w:r>
              <w:rPr/>
              <w:t>(1</w:t>
            </w:r>
          </w:p>
        </w:tc>
        <w:tc>
          <w:tcPr>
            <w:tcW w:w="132" w:type="dxa"/>
            <w:tcBorders/>
            <w:shd w:fill="CCEEFF" w:val="clear"/>
            <w:vAlign w:val="bottom"/>
          </w:tcPr>
          <w:p>
            <w:pPr>
              <w:pStyle w:val="TableContents"/>
              <w:spacing w:before="0" w:after="283"/>
              <w:rPr/>
            </w:pPr>
            <w:r>
              <w:rPr/>
              <w:t>)</w:t>
            </w:r>
          </w:p>
        </w:tc>
      </w:tr>
      <w:tr>
        <w:trPr/>
        <w:tc>
          <w:tcPr>
            <w:tcW w:w="2469" w:type="dxa"/>
            <w:tcBorders/>
            <w:shd w:fill="auto" w:val="clear"/>
            <w:vAlign w:val="center"/>
          </w:tcPr>
          <w:p>
            <w:pPr>
              <w:pStyle w:val="TableContents"/>
              <w:spacing w:before="0" w:after="0"/>
              <w:ind w:left="450" w:right="0" w:hanging="225"/>
              <w:rPr/>
            </w:pPr>
            <w:r>
              <w:rPr/>
              <w:t> </w:t>
            </w:r>
          </w:p>
        </w:tc>
        <w:tc>
          <w:tcPr>
            <w:tcW w:w="278" w:type="dxa"/>
            <w:tcBorders/>
            <w:shd w:fill="auto" w:val="clear"/>
            <w:vAlign w:val="center"/>
          </w:tcPr>
          <w:p>
            <w:pPr>
              <w:pStyle w:val="TableContents"/>
              <w:spacing w:before="0" w:after="283"/>
              <w:rPr/>
            </w:pPr>
            <w:r>
              <w:rPr/>
              <w:t> </w:t>
            </w:r>
          </w:p>
        </w:tc>
        <w:tc>
          <w:tcPr>
            <w:tcW w:w="11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9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469" w:type="dxa"/>
            <w:tcBorders/>
            <w:shd w:fill="auto" w:val="clear"/>
            <w:vAlign w:val="bottom"/>
          </w:tcPr>
          <w:p>
            <w:pPr>
              <w:pStyle w:val="TableContents"/>
              <w:spacing w:before="0" w:after="0"/>
              <w:ind w:left="450" w:right="0" w:hanging="225"/>
              <w:rPr/>
            </w:pPr>
            <w:r>
              <w:rPr/>
              <w:t>End of Period</w:t>
            </w:r>
          </w:p>
        </w:tc>
        <w:tc>
          <w:tcPr>
            <w:tcW w:w="27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432</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155</w:t>
            </w:r>
          </w:p>
        </w:tc>
        <w:tc>
          <w:tcPr>
            <w:tcW w:w="10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496</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jc w:val="right"/>
              <w:rPr/>
            </w:pPr>
            <w:r>
              <w:rPr/>
              <w:t>1,083</w:t>
            </w:r>
          </w:p>
        </w:tc>
        <w:tc>
          <w:tcPr>
            <w:tcW w:w="13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12</w:t>
            </w:r>
          </w:p>
        </w:tc>
        <w:tc>
          <w:tcPr>
            <w:tcW w:w="132" w:type="dxa"/>
            <w:tcBorders/>
            <w:shd w:fill="auto" w:val="clear"/>
            <w:vAlign w:val="bottom"/>
          </w:tcPr>
          <w:p>
            <w:pPr>
              <w:pStyle w:val="TableContents"/>
              <w:spacing w:before="0" w:after="283"/>
              <w:rPr/>
            </w:pPr>
            <w:r>
              <w:rPr/>
              <w:t> </w:t>
            </w:r>
          </w:p>
        </w:tc>
      </w:tr>
      <w:tr>
        <w:trPr/>
        <w:tc>
          <w:tcPr>
            <w:tcW w:w="2469" w:type="dxa"/>
            <w:tcBorders/>
            <w:shd w:fill="auto" w:val="clear"/>
            <w:vAlign w:val="center"/>
          </w:tcPr>
          <w:p>
            <w:pPr>
              <w:pStyle w:val="TableContents"/>
              <w:spacing w:before="0" w:after="0"/>
              <w:ind w:left="450" w:right="0" w:hanging="225"/>
              <w:rPr/>
            </w:pPr>
            <w:r>
              <w:rPr/>
              <w:t> </w:t>
            </w:r>
          </w:p>
        </w:tc>
        <w:tc>
          <w:tcPr>
            <w:tcW w:w="278" w:type="dxa"/>
            <w:tcBorders/>
            <w:shd w:fill="auto" w:val="clear"/>
            <w:vAlign w:val="center"/>
          </w:tcPr>
          <w:p>
            <w:pPr>
              <w:pStyle w:val="TableContents"/>
              <w:spacing w:before="0" w:after="283"/>
              <w:rPr/>
            </w:pPr>
            <w:r>
              <w:rPr/>
              <w:t> </w:t>
            </w:r>
          </w:p>
        </w:tc>
        <w:tc>
          <w:tcPr>
            <w:tcW w:w="11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9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469" w:type="dxa"/>
            <w:tcBorders/>
            <w:shd w:fill="CCEEFF" w:val="clear"/>
            <w:vAlign w:val="bottom"/>
          </w:tcPr>
          <w:p>
            <w:pPr>
              <w:pStyle w:val="TableContents"/>
              <w:spacing w:before="0" w:after="0"/>
              <w:ind w:left="225" w:right="0" w:hanging="225"/>
              <w:rPr/>
            </w:pPr>
            <w:r>
              <w:rPr/>
              <w:t>Average number of stores during the period</w:t>
            </w:r>
          </w:p>
        </w:tc>
        <w:tc>
          <w:tcPr>
            <w:tcW w:w="27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421</w:t>
            </w:r>
          </w:p>
        </w:tc>
        <w:tc>
          <w:tcPr>
            <w:tcW w:w="10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151</w:t>
            </w:r>
          </w:p>
        </w:tc>
        <w:tc>
          <w:tcPr>
            <w:tcW w:w="10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498</w:t>
            </w:r>
          </w:p>
        </w:tc>
        <w:tc>
          <w:tcPr>
            <w:tcW w:w="13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jc w:val="right"/>
              <w:rPr/>
            </w:pPr>
            <w:r>
              <w:rPr/>
              <w:t>1,069</w:t>
            </w:r>
          </w:p>
        </w:tc>
        <w:tc>
          <w:tcPr>
            <w:tcW w:w="13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9</w:t>
            </w:r>
          </w:p>
        </w:tc>
        <w:tc>
          <w:tcPr>
            <w:tcW w:w="132"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460"/>
        <w:gridCol w:w="277"/>
        <w:gridCol w:w="160"/>
        <w:gridCol w:w="961"/>
        <w:gridCol w:w="134"/>
        <w:gridCol w:w="285"/>
        <w:gridCol w:w="134"/>
        <w:gridCol w:w="795"/>
        <w:gridCol w:w="101"/>
        <w:gridCol w:w="285"/>
        <w:gridCol w:w="178"/>
        <w:gridCol w:w="1076"/>
        <w:gridCol w:w="134"/>
        <w:gridCol w:w="285"/>
        <w:gridCol w:w="141"/>
        <w:gridCol w:w="1148"/>
        <w:gridCol w:w="134"/>
        <w:gridCol w:w="285"/>
        <w:gridCol w:w="196"/>
        <w:gridCol w:w="901"/>
        <w:gridCol w:w="135"/>
      </w:tblGrid>
      <w:tr>
        <w:trPr/>
        <w:tc>
          <w:tcPr>
            <w:tcW w:w="24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24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7333" w:type="dxa"/>
            <w:gridSpan w:val="18"/>
            <w:tcBorders>
              <w:bottom w:val="single" w:sz="2" w:space="0" w:color="000000"/>
            </w:tcBorders>
            <w:shd w:fill="auto" w:val="clear"/>
            <w:tcMar>
              <w:bottom w:w="28" w:type="dxa"/>
            </w:tcMar>
            <w:vAlign w:val="bottom"/>
          </w:tcPr>
          <w:p>
            <w:pPr>
              <w:pStyle w:val="TableContents"/>
              <w:spacing w:before="0" w:after="283"/>
              <w:jc w:val="center"/>
              <w:rPr/>
            </w:pPr>
            <w:r>
              <w:rPr/>
              <w:t>Nine Months Ended June 30, 2011</w:t>
            </w:r>
          </w:p>
        </w:tc>
        <w:tc>
          <w:tcPr>
            <w:tcW w:w="135" w:type="dxa"/>
            <w:tcBorders/>
            <w:shd w:fill="auto" w:val="clear"/>
            <w:vAlign w:val="bottom"/>
          </w:tcPr>
          <w:p>
            <w:pPr>
              <w:pStyle w:val="TableContents"/>
              <w:spacing w:before="0" w:after="283"/>
              <w:rPr/>
            </w:pPr>
            <w:r>
              <w:rPr/>
              <w:t> </w:t>
            </w:r>
          </w:p>
        </w:tc>
      </w:tr>
      <w:tr>
        <w:trPr/>
        <w:tc>
          <w:tcPr>
            <w:tcW w:w="24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5817" w:type="dxa"/>
            <w:gridSpan w:val="14"/>
            <w:tcBorders>
              <w:bottom w:val="single" w:sz="2" w:space="0" w:color="000000"/>
            </w:tcBorders>
            <w:shd w:fill="auto" w:val="clear"/>
            <w:tcMar>
              <w:bottom w:w="28" w:type="dxa"/>
            </w:tcMar>
            <w:vAlign w:val="bottom"/>
          </w:tcPr>
          <w:p>
            <w:pPr>
              <w:pStyle w:val="TableContents"/>
              <w:spacing w:before="0" w:after="283"/>
              <w:jc w:val="center"/>
              <w:rPr/>
            </w:pPr>
            <w:r>
              <w:rPr/>
              <w:t>Company-owned Stores</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097" w:type="dxa"/>
            <w:gridSpan w:val="2"/>
            <w:tcBorders>
              <w:bottom w:val="single" w:sz="2" w:space="0" w:color="000000"/>
            </w:tcBorders>
            <w:shd w:fill="auto" w:val="clear"/>
            <w:tcMar>
              <w:bottom w:w="28" w:type="dxa"/>
            </w:tcMar>
            <w:vAlign w:val="bottom"/>
          </w:tcPr>
          <w:p>
            <w:pPr>
              <w:pStyle w:val="TableContents"/>
              <w:spacing w:before="0" w:after="283"/>
              <w:jc w:val="center"/>
              <w:rPr/>
            </w:pPr>
            <w:r>
              <w:rPr/>
              <w:t>Franchises</w:t>
            </w:r>
          </w:p>
        </w:tc>
        <w:tc>
          <w:tcPr>
            <w:tcW w:w="135" w:type="dxa"/>
            <w:tcBorders/>
            <w:shd w:fill="auto" w:val="clear"/>
            <w:vAlign w:val="bottom"/>
          </w:tcPr>
          <w:p>
            <w:pPr>
              <w:pStyle w:val="TableContents"/>
              <w:spacing w:before="0" w:after="283"/>
              <w:rPr/>
            </w:pPr>
            <w:r>
              <w:rPr/>
              <w:t> </w:t>
            </w:r>
          </w:p>
        </w:tc>
      </w:tr>
      <w:tr>
        <w:trPr/>
        <w:tc>
          <w:tcPr>
            <w:tcW w:w="24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jc w:val="center"/>
              <w:rPr/>
            </w:pPr>
            <w:r>
              <w:rPr/>
              <w:t>U.S. Pawn</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29"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4" w:type="dxa"/>
            <w:gridSpan w:val="2"/>
            <w:tcBorders/>
            <w:shd w:fill="auto" w:val="clear"/>
            <w:vAlign w:val="bottom"/>
          </w:tcPr>
          <w:p>
            <w:pPr>
              <w:pStyle w:val="TableContents"/>
              <w:spacing w:before="0" w:after="283"/>
              <w:jc w:val="center"/>
              <w:rPr/>
            </w:pPr>
            <w:r>
              <w:rPr/>
              <w:t>EZMONEY</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89" w:type="dxa"/>
            <w:gridSpan w:val="2"/>
            <w:tcBorders/>
            <w:shd w:fill="auto" w:val="clear"/>
            <w:vAlign w:val="bottom"/>
          </w:tcPr>
          <w:p>
            <w:pPr>
              <w:pStyle w:val="TableContents"/>
              <w:spacing w:before="0" w:after="283"/>
              <w:jc w:val="center"/>
              <w:rPr/>
            </w:pPr>
            <w:r>
              <w:rPr/>
              <w:t> </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24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21"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29"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4"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89"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2460" w:type="dxa"/>
            <w:tcBorders/>
            <w:shd w:fill="CCEEFF" w:val="clear"/>
            <w:vAlign w:val="bottom"/>
          </w:tcPr>
          <w:p>
            <w:pPr>
              <w:pStyle w:val="TableContents"/>
              <w:spacing w:before="0" w:after="0"/>
              <w:ind w:left="225" w:right="0" w:hanging="225"/>
              <w:rPr/>
            </w:pPr>
            <w:r>
              <w:rPr/>
              <w:t>Stores in operation:</w:t>
            </w:r>
          </w:p>
        </w:tc>
        <w:tc>
          <w:tcPr>
            <w:tcW w:w="27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2460" w:type="dxa"/>
            <w:tcBorders/>
            <w:shd w:fill="auto" w:val="clear"/>
            <w:vAlign w:val="bottom"/>
          </w:tcPr>
          <w:p>
            <w:pPr>
              <w:pStyle w:val="TableContents"/>
              <w:spacing w:before="0" w:after="0"/>
              <w:ind w:left="450" w:right="0" w:hanging="225"/>
              <w:rPr/>
            </w:pPr>
            <w:r>
              <w:rPr/>
              <w:t>Beginning of period</w:t>
            </w:r>
          </w:p>
        </w:tc>
        <w:tc>
          <w:tcPr>
            <w:tcW w:w="2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396</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115</w:t>
            </w:r>
          </w:p>
        </w:tc>
        <w:tc>
          <w:tcPr>
            <w:tcW w:w="10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495</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1,006</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r>
      <w:tr>
        <w:trPr/>
        <w:tc>
          <w:tcPr>
            <w:tcW w:w="2460" w:type="dxa"/>
            <w:tcBorders/>
            <w:shd w:fill="CCEEFF" w:val="clear"/>
            <w:vAlign w:val="bottom"/>
          </w:tcPr>
          <w:p>
            <w:pPr>
              <w:pStyle w:val="TableContents"/>
              <w:spacing w:before="0" w:after="0"/>
              <w:ind w:left="450" w:right="0" w:hanging="225"/>
              <w:rPr/>
            </w:pPr>
            <w:r>
              <w:rPr/>
              <w:t>New openings</w:t>
            </w:r>
          </w:p>
        </w:tc>
        <w:tc>
          <w:tcPr>
            <w:tcW w:w="27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5</w:t>
            </w:r>
          </w:p>
        </w:tc>
        <w:tc>
          <w:tcPr>
            <w:tcW w:w="13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40</w:t>
            </w:r>
          </w:p>
        </w:tc>
        <w:tc>
          <w:tcPr>
            <w:tcW w:w="101"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11</w:t>
            </w:r>
          </w:p>
        </w:tc>
        <w:tc>
          <w:tcPr>
            <w:tcW w:w="13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56</w:t>
            </w:r>
          </w:p>
        </w:tc>
        <w:tc>
          <w:tcPr>
            <w:tcW w:w="13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r>
      <w:tr>
        <w:trPr/>
        <w:tc>
          <w:tcPr>
            <w:tcW w:w="2460" w:type="dxa"/>
            <w:tcBorders/>
            <w:shd w:fill="auto" w:val="clear"/>
            <w:vAlign w:val="bottom"/>
          </w:tcPr>
          <w:p>
            <w:pPr>
              <w:pStyle w:val="TableContents"/>
              <w:spacing w:before="0" w:after="0"/>
              <w:ind w:left="450" w:right="0" w:hanging="225"/>
              <w:rPr/>
            </w:pPr>
            <w:r>
              <w:rPr/>
              <w:t>Acquired</w:t>
            </w:r>
          </w:p>
        </w:tc>
        <w:tc>
          <w:tcPr>
            <w:tcW w:w="2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32</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32</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13</w:t>
            </w:r>
          </w:p>
        </w:tc>
        <w:tc>
          <w:tcPr>
            <w:tcW w:w="135" w:type="dxa"/>
            <w:tcBorders/>
            <w:shd w:fill="auto" w:val="clear"/>
            <w:vAlign w:val="bottom"/>
          </w:tcPr>
          <w:p>
            <w:pPr>
              <w:pStyle w:val="TableContents"/>
              <w:spacing w:before="0" w:after="283"/>
              <w:rPr/>
            </w:pPr>
            <w:r>
              <w:rPr/>
              <w:t> </w:t>
            </w:r>
          </w:p>
        </w:tc>
      </w:tr>
      <w:tr>
        <w:trPr/>
        <w:tc>
          <w:tcPr>
            <w:tcW w:w="2460" w:type="dxa"/>
            <w:tcBorders/>
            <w:shd w:fill="CCEEFF" w:val="clear"/>
            <w:vAlign w:val="bottom"/>
          </w:tcPr>
          <w:p>
            <w:pPr>
              <w:pStyle w:val="TableContents"/>
              <w:spacing w:before="0" w:after="0"/>
              <w:ind w:left="450" w:right="0" w:hanging="225"/>
              <w:rPr/>
            </w:pPr>
            <w:r>
              <w:rPr/>
              <w:t>Sold, combined, or closed</w:t>
            </w:r>
          </w:p>
        </w:tc>
        <w:tc>
          <w:tcPr>
            <w:tcW w:w="27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pPr>
            <w:r>
              <w:rPr/>
              <w:t>(1</w:t>
            </w:r>
          </w:p>
        </w:tc>
        <w:tc>
          <w:tcPr>
            <w:tcW w:w="134" w:type="dxa"/>
            <w:tcBorders/>
            <w:shd w:fill="CCEEFF" w:val="clear"/>
            <w:vAlign w:val="bottom"/>
          </w:tcPr>
          <w:p>
            <w:pPr>
              <w:pStyle w:val="TableContents"/>
              <w:spacing w:before="0" w:after="283"/>
              <w:rPr/>
            </w:pPr>
            <w:r>
              <w:rPr/>
              <w:t>)</w:t>
            </w:r>
          </w:p>
        </w:tc>
        <w:tc>
          <w:tcPr>
            <w:tcW w:w="28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pPr>
            <w:r>
              <w:rPr/>
              <w:t>(10</w:t>
            </w:r>
          </w:p>
        </w:tc>
        <w:tc>
          <w:tcPr>
            <w:tcW w:w="134" w:type="dxa"/>
            <w:tcBorders/>
            <w:shd w:fill="CCEEFF" w:val="clear"/>
            <w:vAlign w:val="bottom"/>
          </w:tcPr>
          <w:p>
            <w:pPr>
              <w:pStyle w:val="TableContents"/>
              <w:spacing w:before="0" w:after="283"/>
              <w:rPr/>
            </w:pPr>
            <w:r>
              <w:rPr/>
              <w:t>)</w:t>
            </w:r>
          </w:p>
        </w:tc>
        <w:tc>
          <w:tcPr>
            <w:tcW w:w="28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148" w:type="dxa"/>
            <w:tcBorders/>
            <w:shd w:fill="CCEEFF" w:val="clear"/>
            <w:vAlign w:val="bottom"/>
          </w:tcPr>
          <w:p>
            <w:pPr>
              <w:pStyle w:val="TableContents"/>
              <w:spacing w:before="0" w:after="283"/>
              <w:jc w:val="right"/>
              <w:rPr/>
            </w:pPr>
            <w:r>
              <w:rPr/>
              <w:t>(11</w:t>
            </w:r>
          </w:p>
        </w:tc>
        <w:tc>
          <w:tcPr>
            <w:tcW w:w="134" w:type="dxa"/>
            <w:tcBorders/>
            <w:shd w:fill="CCEEFF" w:val="clear"/>
            <w:vAlign w:val="bottom"/>
          </w:tcPr>
          <w:p>
            <w:pPr>
              <w:pStyle w:val="TableContents"/>
              <w:spacing w:before="0" w:after="283"/>
              <w:rPr/>
            </w:pPr>
            <w:r>
              <w:rPr/>
              <w:t>)</w:t>
            </w:r>
          </w:p>
        </w:tc>
        <w:tc>
          <w:tcPr>
            <w:tcW w:w="285"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pPr>
            <w:r>
              <w:rPr/>
              <w:t>(1</w:t>
            </w:r>
          </w:p>
        </w:tc>
        <w:tc>
          <w:tcPr>
            <w:tcW w:w="135" w:type="dxa"/>
            <w:tcBorders/>
            <w:shd w:fill="CCEEFF" w:val="clear"/>
            <w:vAlign w:val="bottom"/>
          </w:tcPr>
          <w:p>
            <w:pPr>
              <w:pStyle w:val="TableContents"/>
              <w:spacing w:before="0" w:after="283"/>
              <w:rPr/>
            </w:pPr>
            <w:r>
              <w:rPr/>
              <w:t>)</w:t>
            </w:r>
          </w:p>
        </w:tc>
      </w:tr>
      <w:tr>
        <w:trPr/>
        <w:tc>
          <w:tcPr>
            <w:tcW w:w="2460" w:type="dxa"/>
            <w:tcBorders/>
            <w:shd w:fill="auto" w:val="clear"/>
            <w:vAlign w:val="center"/>
          </w:tcPr>
          <w:p>
            <w:pPr>
              <w:pStyle w:val="TableContents"/>
              <w:spacing w:before="0" w:after="0"/>
              <w:ind w:left="450" w:right="0" w:hanging="225"/>
              <w:rPr/>
            </w:pPr>
            <w:r>
              <w:rPr/>
              <w:t> </w:t>
            </w:r>
          </w:p>
        </w:tc>
        <w:tc>
          <w:tcPr>
            <w:tcW w:w="277" w:type="dxa"/>
            <w:tcBorders/>
            <w:shd w:fill="auto" w:val="clear"/>
            <w:vAlign w:val="center"/>
          </w:tcPr>
          <w:p>
            <w:pPr>
              <w:pStyle w:val="TableContents"/>
              <w:spacing w:before="0" w:after="283"/>
              <w:rPr/>
            </w:pPr>
            <w:r>
              <w:rPr/>
              <w:t> </w:t>
            </w:r>
          </w:p>
        </w:tc>
        <w:tc>
          <w:tcPr>
            <w:tcW w:w="11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9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12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2460" w:type="dxa"/>
            <w:tcBorders/>
            <w:shd w:fill="auto" w:val="clear"/>
            <w:vAlign w:val="bottom"/>
          </w:tcPr>
          <w:p>
            <w:pPr>
              <w:pStyle w:val="TableContents"/>
              <w:spacing w:before="0" w:after="0"/>
              <w:ind w:left="450" w:right="0" w:hanging="225"/>
              <w:rPr/>
            </w:pPr>
            <w:r>
              <w:rPr/>
              <w:t>End of Period</w:t>
            </w:r>
          </w:p>
        </w:tc>
        <w:tc>
          <w:tcPr>
            <w:tcW w:w="2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432</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155</w:t>
            </w:r>
          </w:p>
        </w:tc>
        <w:tc>
          <w:tcPr>
            <w:tcW w:w="10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496</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1,083</w:t>
            </w:r>
          </w:p>
        </w:tc>
        <w:tc>
          <w:tcPr>
            <w:tcW w:w="13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12</w:t>
            </w:r>
          </w:p>
        </w:tc>
        <w:tc>
          <w:tcPr>
            <w:tcW w:w="135" w:type="dxa"/>
            <w:tcBorders/>
            <w:shd w:fill="auto" w:val="clear"/>
            <w:vAlign w:val="bottom"/>
          </w:tcPr>
          <w:p>
            <w:pPr>
              <w:pStyle w:val="TableContents"/>
              <w:spacing w:before="0" w:after="283"/>
              <w:rPr/>
            </w:pPr>
            <w:r>
              <w:rPr/>
              <w:t> </w:t>
            </w:r>
          </w:p>
        </w:tc>
      </w:tr>
      <w:tr>
        <w:trPr/>
        <w:tc>
          <w:tcPr>
            <w:tcW w:w="2460" w:type="dxa"/>
            <w:tcBorders/>
            <w:shd w:fill="auto" w:val="clear"/>
            <w:vAlign w:val="center"/>
          </w:tcPr>
          <w:p>
            <w:pPr>
              <w:pStyle w:val="TableContents"/>
              <w:spacing w:before="0" w:after="0"/>
              <w:ind w:left="450" w:right="0" w:hanging="225"/>
              <w:rPr/>
            </w:pPr>
            <w:r>
              <w:rPr/>
              <w:t> </w:t>
            </w:r>
          </w:p>
        </w:tc>
        <w:tc>
          <w:tcPr>
            <w:tcW w:w="277" w:type="dxa"/>
            <w:tcBorders/>
            <w:shd w:fill="auto" w:val="clear"/>
            <w:vAlign w:val="center"/>
          </w:tcPr>
          <w:p>
            <w:pPr>
              <w:pStyle w:val="TableContents"/>
              <w:spacing w:before="0" w:after="283"/>
              <w:rPr/>
            </w:pPr>
            <w:r>
              <w:rPr/>
              <w:t> </w:t>
            </w:r>
          </w:p>
        </w:tc>
        <w:tc>
          <w:tcPr>
            <w:tcW w:w="11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9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12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12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2460" w:type="dxa"/>
            <w:tcBorders/>
            <w:shd w:fill="CCEEFF" w:val="clear"/>
            <w:vAlign w:val="bottom"/>
          </w:tcPr>
          <w:p>
            <w:pPr>
              <w:pStyle w:val="TableContents"/>
              <w:spacing w:before="0" w:after="0"/>
              <w:ind w:left="225" w:right="0" w:hanging="225"/>
              <w:rPr/>
            </w:pPr>
            <w:r>
              <w:rPr/>
              <w:t>Average number of stores during the period</w:t>
            </w:r>
          </w:p>
        </w:tc>
        <w:tc>
          <w:tcPr>
            <w:tcW w:w="27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409</w:t>
            </w:r>
          </w:p>
        </w:tc>
        <w:tc>
          <w:tcPr>
            <w:tcW w:w="13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138</w:t>
            </w:r>
          </w:p>
        </w:tc>
        <w:tc>
          <w:tcPr>
            <w:tcW w:w="101"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497</w:t>
            </w:r>
          </w:p>
        </w:tc>
        <w:tc>
          <w:tcPr>
            <w:tcW w:w="13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1,044</w:t>
            </w:r>
          </w:p>
        </w:tc>
        <w:tc>
          <w:tcPr>
            <w:tcW w:w="13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4</w:t>
            </w:r>
          </w:p>
        </w:tc>
        <w:tc>
          <w:tcPr>
            <w:tcW w:w="135"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457"/>
        <w:gridCol w:w="276"/>
        <w:gridCol w:w="159"/>
        <w:gridCol w:w="957"/>
        <w:gridCol w:w="151"/>
        <w:gridCol w:w="295"/>
        <w:gridCol w:w="166"/>
        <w:gridCol w:w="759"/>
        <w:gridCol w:w="112"/>
        <w:gridCol w:w="295"/>
        <w:gridCol w:w="176"/>
        <w:gridCol w:w="1072"/>
        <w:gridCol w:w="112"/>
        <w:gridCol w:w="295"/>
        <w:gridCol w:w="182"/>
        <w:gridCol w:w="1101"/>
        <w:gridCol w:w="151"/>
        <w:gridCol w:w="295"/>
        <w:gridCol w:w="226"/>
        <w:gridCol w:w="866"/>
        <w:gridCol w:w="102"/>
      </w:tblGrid>
      <w:tr>
        <w:trPr/>
        <w:tc>
          <w:tcPr>
            <w:tcW w:w="2457"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2457"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370" w:type="dxa"/>
            <w:gridSpan w:val="18"/>
            <w:tcBorders>
              <w:bottom w:val="single" w:sz="2" w:space="0" w:color="000000"/>
            </w:tcBorders>
            <w:shd w:fill="auto" w:val="clear"/>
            <w:tcMar>
              <w:bottom w:w="28" w:type="dxa"/>
            </w:tcMar>
            <w:vAlign w:val="bottom"/>
          </w:tcPr>
          <w:p>
            <w:pPr>
              <w:pStyle w:val="TableContents"/>
              <w:spacing w:before="0" w:after="283"/>
              <w:jc w:val="center"/>
              <w:rPr/>
            </w:pPr>
            <w:r>
              <w:rPr/>
              <w:t>Three Months Ended June 30, 2010</w:t>
            </w:r>
          </w:p>
        </w:tc>
        <w:tc>
          <w:tcPr>
            <w:tcW w:w="102" w:type="dxa"/>
            <w:tcBorders/>
            <w:shd w:fill="auto" w:val="clear"/>
            <w:vAlign w:val="bottom"/>
          </w:tcPr>
          <w:p>
            <w:pPr>
              <w:pStyle w:val="TableContents"/>
              <w:spacing w:before="0" w:after="283"/>
              <w:rPr/>
            </w:pPr>
            <w:r>
              <w:rPr/>
              <w:t> </w:t>
            </w:r>
          </w:p>
        </w:tc>
      </w:tr>
      <w:tr>
        <w:trPr/>
        <w:tc>
          <w:tcPr>
            <w:tcW w:w="2457"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5832" w:type="dxa"/>
            <w:gridSpan w:val="14"/>
            <w:tcBorders>
              <w:bottom w:val="single" w:sz="2" w:space="0" w:color="000000"/>
            </w:tcBorders>
            <w:shd w:fill="auto" w:val="clear"/>
            <w:tcMar>
              <w:bottom w:w="28" w:type="dxa"/>
            </w:tcMar>
            <w:vAlign w:val="bottom"/>
          </w:tcPr>
          <w:p>
            <w:pPr>
              <w:pStyle w:val="TableContents"/>
              <w:spacing w:before="0" w:after="283"/>
              <w:jc w:val="center"/>
              <w:rPr/>
            </w:pPr>
            <w:r>
              <w:rPr/>
              <w:t>Company-owned Stores</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092" w:type="dxa"/>
            <w:gridSpan w:val="2"/>
            <w:tcBorders>
              <w:bottom w:val="single" w:sz="2" w:space="0" w:color="000000"/>
            </w:tcBorders>
            <w:shd w:fill="auto" w:val="clear"/>
            <w:tcMar>
              <w:bottom w:w="28" w:type="dxa"/>
            </w:tcMar>
            <w:vAlign w:val="bottom"/>
          </w:tcPr>
          <w:p>
            <w:pPr>
              <w:pStyle w:val="TableContents"/>
              <w:spacing w:before="0" w:after="283"/>
              <w:jc w:val="center"/>
              <w:rPr/>
            </w:pPr>
            <w:r>
              <w:rPr/>
              <w:t>Franchises</w:t>
            </w:r>
          </w:p>
        </w:tc>
        <w:tc>
          <w:tcPr>
            <w:tcW w:w="102" w:type="dxa"/>
            <w:tcBorders/>
            <w:shd w:fill="auto" w:val="clear"/>
            <w:vAlign w:val="bottom"/>
          </w:tcPr>
          <w:p>
            <w:pPr>
              <w:pStyle w:val="TableContents"/>
              <w:spacing w:before="0" w:after="283"/>
              <w:rPr/>
            </w:pPr>
            <w:r>
              <w:rPr/>
              <w:t> </w:t>
            </w:r>
          </w:p>
        </w:tc>
      </w:tr>
      <w:tr>
        <w:trPr/>
        <w:tc>
          <w:tcPr>
            <w:tcW w:w="2457"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16" w:type="dxa"/>
            <w:gridSpan w:val="2"/>
            <w:tcBorders/>
            <w:shd w:fill="auto" w:val="clear"/>
            <w:vAlign w:val="bottom"/>
          </w:tcPr>
          <w:p>
            <w:pPr>
              <w:pStyle w:val="TableContents"/>
              <w:spacing w:before="0" w:after="283"/>
              <w:jc w:val="center"/>
              <w:rPr/>
            </w:pPr>
            <w:r>
              <w:rPr/>
              <w:t>U.S. Pawn</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jc w:val="center"/>
              <w:rPr/>
            </w:pPr>
            <w:r>
              <w:rPr/>
              <w:t>Empeño</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48" w:type="dxa"/>
            <w:gridSpan w:val="2"/>
            <w:tcBorders/>
            <w:shd w:fill="auto" w:val="clear"/>
            <w:vAlign w:val="bottom"/>
          </w:tcPr>
          <w:p>
            <w:pPr>
              <w:pStyle w:val="TableContents"/>
              <w:spacing w:before="0" w:after="283"/>
              <w:jc w:val="center"/>
              <w:rPr/>
            </w:pPr>
            <w:r>
              <w:rPr/>
              <w:t>EZMONEY</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83" w:type="dxa"/>
            <w:gridSpan w:val="2"/>
            <w:tcBorders/>
            <w:shd w:fill="auto" w:val="clear"/>
            <w:vAlign w:val="bottom"/>
          </w:tcPr>
          <w:p>
            <w:pPr>
              <w:pStyle w:val="TableContents"/>
              <w:spacing w:before="0" w:after="283"/>
              <w:jc w:val="center"/>
              <w:rPr/>
            </w:pPr>
            <w:r>
              <w:rPr/>
              <w:t> </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2457"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16"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925"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4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83"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2457" w:type="dxa"/>
            <w:tcBorders/>
            <w:shd w:fill="CCEEFF" w:val="clear"/>
            <w:vAlign w:val="bottom"/>
          </w:tcPr>
          <w:p>
            <w:pPr>
              <w:pStyle w:val="TableContents"/>
              <w:spacing w:before="0" w:after="0"/>
              <w:ind w:left="225" w:right="0" w:hanging="225"/>
              <w:rPr/>
            </w:pPr>
            <w:r>
              <w:rPr/>
              <w:t>Stores in operation:</w:t>
            </w:r>
          </w:p>
        </w:tc>
        <w:tc>
          <w:tcPr>
            <w:tcW w:w="2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457" w:type="dxa"/>
            <w:tcBorders/>
            <w:shd w:fill="auto" w:val="clear"/>
            <w:vAlign w:val="bottom"/>
          </w:tcPr>
          <w:p>
            <w:pPr>
              <w:pStyle w:val="TableContents"/>
              <w:spacing w:before="0" w:after="0"/>
              <w:ind w:left="450" w:right="0" w:hanging="225"/>
              <w:rPr/>
            </w:pPr>
            <w:r>
              <w:rPr/>
              <w:t>Beginning of period</w:t>
            </w:r>
          </w:p>
        </w:tc>
        <w:tc>
          <w:tcPr>
            <w:tcW w:w="2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377</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79</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476</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932</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w:t>
            </w:r>
          </w:p>
        </w:tc>
        <w:tc>
          <w:tcPr>
            <w:tcW w:w="102" w:type="dxa"/>
            <w:tcBorders/>
            <w:shd w:fill="auto" w:val="clear"/>
            <w:vAlign w:val="bottom"/>
          </w:tcPr>
          <w:p>
            <w:pPr>
              <w:pStyle w:val="TableContents"/>
              <w:spacing w:before="0" w:after="283"/>
              <w:rPr/>
            </w:pPr>
            <w:r>
              <w:rPr/>
              <w:t> </w:t>
            </w:r>
          </w:p>
        </w:tc>
      </w:tr>
      <w:tr>
        <w:trPr/>
        <w:tc>
          <w:tcPr>
            <w:tcW w:w="2457" w:type="dxa"/>
            <w:tcBorders/>
            <w:shd w:fill="CCEEFF" w:val="clear"/>
            <w:vAlign w:val="bottom"/>
          </w:tcPr>
          <w:p>
            <w:pPr>
              <w:pStyle w:val="TableContents"/>
              <w:spacing w:before="0" w:after="0"/>
              <w:ind w:left="450" w:right="0" w:hanging="225"/>
              <w:rPr/>
            </w:pPr>
            <w:r>
              <w:rPr/>
              <w:t>New openings</w:t>
            </w:r>
          </w:p>
        </w:tc>
        <w:tc>
          <w:tcPr>
            <w:tcW w:w="2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w:t>
            </w:r>
          </w:p>
        </w:tc>
        <w:tc>
          <w:tcPr>
            <w:tcW w:w="151"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20</w:t>
            </w:r>
          </w:p>
        </w:tc>
        <w:tc>
          <w:tcPr>
            <w:tcW w:w="1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15</w:t>
            </w:r>
          </w:p>
        </w:tc>
        <w:tc>
          <w:tcPr>
            <w:tcW w:w="1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35</w:t>
            </w:r>
          </w:p>
        </w:tc>
        <w:tc>
          <w:tcPr>
            <w:tcW w:w="151"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w:t>
            </w:r>
          </w:p>
        </w:tc>
        <w:tc>
          <w:tcPr>
            <w:tcW w:w="102" w:type="dxa"/>
            <w:tcBorders/>
            <w:shd w:fill="CCEEFF" w:val="clear"/>
            <w:vAlign w:val="bottom"/>
          </w:tcPr>
          <w:p>
            <w:pPr>
              <w:pStyle w:val="TableContents"/>
              <w:spacing w:before="0" w:after="283"/>
              <w:rPr/>
            </w:pPr>
            <w:r>
              <w:rPr/>
              <w:t> </w:t>
            </w:r>
          </w:p>
        </w:tc>
      </w:tr>
      <w:tr>
        <w:trPr/>
        <w:tc>
          <w:tcPr>
            <w:tcW w:w="2457" w:type="dxa"/>
            <w:tcBorders/>
            <w:shd w:fill="auto" w:val="clear"/>
            <w:vAlign w:val="bottom"/>
          </w:tcPr>
          <w:p>
            <w:pPr>
              <w:pStyle w:val="TableContents"/>
              <w:spacing w:before="0" w:after="0"/>
              <w:ind w:left="450" w:right="0" w:hanging="225"/>
              <w:rPr/>
            </w:pPr>
            <w:r>
              <w:rPr/>
              <w:t>Acquired</w:t>
            </w:r>
          </w:p>
        </w:tc>
        <w:tc>
          <w:tcPr>
            <w:tcW w:w="2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13</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13</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w:t>
            </w:r>
          </w:p>
        </w:tc>
        <w:tc>
          <w:tcPr>
            <w:tcW w:w="102" w:type="dxa"/>
            <w:tcBorders/>
            <w:shd w:fill="auto" w:val="clear"/>
            <w:vAlign w:val="bottom"/>
          </w:tcPr>
          <w:p>
            <w:pPr>
              <w:pStyle w:val="TableContents"/>
              <w:spacing w:before="0" w:after="283"/>
              <w:rPr/>
            </w:pPr>
            <w:r>
              <w:rPr/>
              <w:t> </w:t>
            </w:r>
          </w:p>
        </w:tc>
      </w:tr>
      <w:tr>
        <w:trPr/>
        <w:tc>
          <w:tcPr>
            <w:tcW w:w="2457" w:type="dxa"/>
            <w:tcBorders/>
            <w:shd w:fill="CCEEFF" w:val="clear"/>
            <w:vAlign w:val="bottom"/>
          </w:tcPr>
          <w:p>
            <w:pPr>
              <w:pStyle w:val="TableContents"/>
              <w:spacing w:before="0" w:after="0"/>
              <w:ind w:left="450" w:right="0" w:hanging="225"/>
              <w:rPr/>
            </w:pPr>
            <w:r>
              <w:rPr/>
              <w:t>Sold, combined, or closed</w:t>
            </w:r>
          </w:p>
        </w:tc>
        <w:tc>
          <w:tcPr>
            <w:tcW w:w="2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957" w:type="dxa"/>
            <w:tcBorders/>
            <w:shd w:fill="CCEEFF" w:val="clear"/>
            <w:vAlign w:val="bottom"/>
          </w:tcPr>
          <w:p>
            <w:pPr>
              <w:pStyle w:val="TableContents"/>
              <w:spacing w:before="0" w:after="283"/>
              <w:jc w:val="right"/>
              <w:rPr/>
            </w:pPr>
            <w:r>
              <w:rPr/>
              <w:t>(1</w:t>
            </w:r>
          </w:p>
        </w:tc>
        <w:tc>
          <w:tcPr>
            <w:tcW w:w="151" w:type="dxa"/>
            <w:tcBorders/>
            <w:shd w:fill="CCEEFF" w:val="clear"/>
            <w:vAlign w:val="bottom"/>
          </w:tcPr>
          <w:p>
            <w:pPr>
              <w:pStyle w:val="TableContents"/>
              <w:spacing w:before="0" w:after="283"/>
              <w:rPr/>
            </w:pPr>
            <w:r>
              <w:rPr/>
              <w:t>)</w:t>
            </w:r>
          </w:p>
        </w:tc>
        <w:tc>
          <w:tcPr>
            <w:tcW w:w="29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101" w:type="dxa"/>
            <w:tcBorders/>
            <w:shd w:fill="CCEEFF" w:val="clear"/>
            <w:vAlign w:val="bottom"/>
          </w:tcPr>
          <w:p>
            <w:pPr>
              <w:pStyle w:val="TableContents"/>
              <w:spacing w:before="0" w:after="283"/>
              <w:jc w:val="right"/>
              <w:rPr/>
            </w:pPr>
            <w:r>
              <w:rPr/>
              <w:t>(1</w:t>
            </w:r>
          </w:p>
        </w:tc>
        <w:tc>
          <w:tcPr>
            <w:tcW w:w="151" w:type="dxa"/>
            <w:tcBorders/>
            <w:shd w:fill="CCEEFF" w:val="clear"/>
            <w:vAlign w:val="bottom"/>
          </w:tcPr>
          <w:p>
            <w:pPr>
              <w:pStyle w:val="TableContents"/>
              <w:spacing w:before="0" w:after="283"/>
              <w:rPr/>
            </w:pPr>
            <w:r>
              <w:rPr/>
              <w:t>)</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w:t>
            </w:r>
          </w:p>
        </w:tc>
        <w:tc>
          <w:tcPr>
            <w:tcW w:w="102" w:type="dxa"/>
            <w:tcBorders/>
            <w:shd w:fill="CCEEFF" w:val="clear"/>
            <w:vAlign w:val="bottom"/>
          </w:tcPr>
          <w:p>
            <w:pPr>
              <w:pStyle w:val="TableContents"/>
              <w:spacing w:before="0" w:after="283"/>
              <w:rPr/>
            </w:pPr>
            <w:r>
              <w:rPr/>
              <w:t> </w:t>
            </w:r>
          </w:p>
        </w:tc>
      </w:tr>
      <w:tr>
        <w:trPr/>
        <w:tc>
          <w:tcPr>
            <w:tcW w:w="2457" w:type="dxa"/>
            <w:tcBorders/>
            <w:shd w:fill="auto" w:val="clear"/>
            <w:vAlign w:val="center"/>
          </w:tcPr>
          <w:p>
            <w:pPr>
              <w:pStyle w:val="TableContents"/>
              <w:spacing w:before="0" w:after="0"/>
              <w:ind w:left="450" w:right="0" w:hanging="225"/>
              <w:rPr/>
            </w:pPr>
            <w:r>
              <w:rPr/>
              <w:t> </w:t>
            </w:r>
          </w:p>
        </w:tc>
        <w:tc>
          <w:tcPr>
            <w:tcW w:w="276"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12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12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457" w:type="dxa"/>
            <w:tcBorders/>
            <w:shd w:fill="auto" w:val="clear"/>
            <w:vAlign w:val="bottom"/>
          </w:tcPr>
          <w:p>
            <w:pPr>
              <w:pStyle w:val="TableContents"/>
              <w:spacing w:before="0" w:after="0"/>
              <w:ind w:left="450" w:right="0" w:hanging="225"/>
              <w:rPr/>
            </w:pPr>
            <w:r>
              <w:rPr/>
              <w:t>End of Period</w:t>
            </w:r>
          </w:p>
        </w:tc>
        <w:tc>
          <w:tcPr>
            <w:tcW w:w="2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389</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99</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491</w:t>
            </w:r>
          </w:p>
        </w:tc>
        <w:tc>
          <w:tcPr>
            <w:tcW w:w="11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979</w:t>
            </w:r>
          </w:p>
        </w:tc>
        <w:tc>
          <w:tcPr>
            <w:tcW w:w="15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w:t>
            </w:r>
          </w:p>
        </w:tc>
        <w:tc>
          <w:tcPr>
            <w:tcW w:w="102" w:type="dxa"/>
            <w:tcBorders/>
            <w:shd w:fill="auto" w:val="clear"/>
            <w:vAlign w:val="bottom"/>
          </w:tcPr>
          <w:p>
            <w:pPr>
              <w:pStyle w:val="TableContents"/>
              <w:spacing w:before="0" w:after="283"/>
              <w:rPr/>
            </w:pPr>
            <w:r>
              <w:rPr/>
              <w:t> </w:t>
            </w:r>
          </w:p>
        </w:tc>
      </w:tr>
      <w:tr>
        <w:trPr/>
        <w:tc>
          <w:tcPr>
            <w:tcW w:w="2457" w:type="dxa"/>
            <w:tcBorders/>
            <w:shd w:fill="auto" w:val="clear"/>
            <w:vAlign w:val="center"/>
          </w:tcPr>
          <w:p>
            <w:pPr>
              <w:pStyle w:val="TableContents"/>
              <w:spacing w:before="0" w:after="0"/>
              <w:ind w:left="450" w:right="0" w:hanging="225"/>
              <w:rPr/>
            </w:pPr>
            <w:r>
              <w:rPr/>
              <w:t> </w:t>
            </w:r>
          </w:p>
        </w:tc>
        <w:tc>
          <w:tcPr>
            <w:tcW w:w="276" w:type="dxa"/>
            <w:tcBorders/>
            <w:shd w:fill="auto" w:val="clear"/>
            <w:vAlign w:val="center"/>
          </w:tcPr>
          <w:p>
            <w:pPr>
              <w:pStyle w:val="TableContents"/>
              <w:spacing w:before="0" w:after="283"/>
              <w:rPr/>
            </w:pPr>
            <w:r>
              <w:rPr/>
              <w:t> </w:t>
            </w:r>
          </w:p>
        </w:tc>
        <w:tc>
          <w:tcPr>
            <w:tcW w:w="11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9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12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12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457" w:type="dxa"/>
            <w:tcBorders/>
            <w:shd w:fill="CCEEFF" w:val="clear"/>
            <w:vAlign w:val="bottom"/>
          </w:tcPr>
          <w:p>
            <w:pPr>
              <w:pStyle w:val="TableContents"/>
              <w:spacing w:before="0" w:after="0"/>
              <w:ind w:left="225" w:right="0" w:hanging="225"/>
              <w:rPr/>
            </w:pPr>
            <w:r>
              <w:rPr/>
              <w:t>Average number of stores during the period</w:t>
            </w:r>
          </w:p>
        </w:tc>
        <w:tc>
          <w:tcPr>
            <w:tcW w:w="2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380</w:t>
            </w:r>
          </w:p>
        </w:tc>
        <w:tc>
          <w:tcPr>
            <w:tcW w:w="151"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88</w:t>
            </w:r>
          </w:p>
        </w:tc>
        <w:tc>
          <w:tcPr>
            <w:tcW w:w="1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483</w:t>
            </w:r>
          </w:p>
        </w:tc>
        <w:tc>
          <w:tcPr>
            <w:tcW w:w="11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951</w:t>
            </w:r>
          </w:p>
        </w:tc>
        <w:tc>
          <w:tcPr>
            <w:tcW w:w="151"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w:t>
            </w:r>
          </w:p>
        </w:tc>
        <w:tc>
          <w:tcPr>
            <w:tcW w:w="102"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2429"/>
        <w:gridCol w:w="272"/>
        <w:gridCol w:w="160"/>
        <w:gridCol w:w="962"/>
        <w:gridCol w:w="147"/>
        <w:gridCol w:w="289"/>
        <w:gridCol w:w="167"/>
        <w:gridCol w:w="760"/>
        <w:gridCol w:w="109"/>
        <w:gridCol w:w="289"/>
        <w:gridCol w:w="178"/>
        <w:gridCol w:w="1077"/>
        <w:gridCol w:w="147"/>
        <w:gridCol w:w="289"/>
        <w:gridCol w:w="183"/>
        <w:gridCol w:w="1109"/>
        <w:gridCol w:w="147"/>
        <w:gridCol w:w="289"/>
        <w:gridCol w:w="229"/>
        <w:gridCol w:w="869"/>
        <w:gridCol w:w="104"/>
      </w:tblGrid>
      <w:tr>
        <w:trPr/>
        <w:tc>
          <w:tcPr>
            <w:tcW w:w="242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7400" w:type="dxa"/>
            <w:gridSpan w:val="18"/>
            <w:tcBorders>
              <w:bottom w:val="single" w:sz="2" w:space="0" w:color="000000"/>
            </w:tcBorders>
            <w:shd w:fill="auto" w:val="clear"/>
            <w:tcMar>
              <w:bottom w:w="28" w:type="dxa"/>
            </w:tcMar>
            <w:vAlign w:val="bottom"/>
          </w:tcPr>
          <w:p>
            <w:pPr>
              <w:pStyle w:val="TableContents"/>
              <w:spacing w:before="0" w:after="283"/>
              <w:jc w:val="center"/>
              <w:rPr/>
            </w:pPr>
            <w:r>
              <w:rPr/>
              <w:t>Nine Months Ended June 30, 2010</w:t>
            </w:r>
          </w:p>
        </w:tc>
        <w:tc>
          <w:tcPr>
            <w:tcW w:w="104" w:type="dxa"/>
            <w:tcBorders/>
            <w:shd w:fill="auto"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866" w:type="dxa"/>
            <w:gridSpan w:val="14"/>
            <w:tcBorders>
              <w:bottom w:val="single" w:sz="2" w:space="0" w:color="000000"/>
            </w:tcBorders>
            <w:shd w:fill="auto" w:val="clear"/>
            <w:tcMar>
              <w:bottom w:w="28" w:type="dxa"/>
            </w:tcMar>
            <w:vAlign w:val="bottom"/>
          </w:tcPr>
          <w:p>
            <w:pPr>
              <w:pStyle w:val="TableContents"/>
              <w:spacing w:before="0" w:after="283"/>
              <w:jc w:val="center"/>
              <w:rPr/>
            </w:pPr>
            <w:r>
              <w:rPr/>
              <w:t>Company-owned Stores</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pPr>
            <w:r>
              <w:rPr/>
              <w:t>Franchises</w:t>
            </w:r>
          </w:p>
        </w:tc>
        <w:tc>
          <w:tcPr>
            <w:tcW w:w="104" w:type="dxa"/>
            <w:tcBorders/>
            <w:shd w:fill="auto"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jc w:val="center"/>
              <w:rPr/>
            </w:pPr>
            <w:r>
              <w:rPr/>
              <w:t>U.S. Pawn</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pPr>
            <w:r>
              <w:rPr/>
              <w:t>Empeño</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jc w:val="center"/>
              <w:rPr/>
            </w:pPr>
            <w:r>
              <w:rPr/>
              <w:t>EZMONEY</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jc w:val="center"/>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22"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2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92"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r>
      <w:tr>
        <w:trPr/>
        <w:tc>
          <w:tcPr>
            <w:tcW w:w="2429" w:type="dxa"/>
            <w:tcBorders/>
            <w:shd w:fill="CCEEFF" w:val="clear"/>
            <w:vAlign w:val="bottom"/>
          </w:tcPr>
          <w:p>
            <w:pPr>
              <w:pStyle w:val="TableContents"/>
              <w:spacing w:before="0" w:after="0"/>
              <w:ind w:left="225" w:right="0" w:hanging="225"/>
              <w:rPr/>
            </w:pPr>
            <w:r>
              <w:rPr/>
              <w:t>Stores in operation:</w:t>
            </w:r>
          </w:p>
        </w:tc>
        <w:tc>
          <w:tcPr>
            <w:tcW w:w="27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0"/>
              <w:ind w:left="450" w:right="0" w:hanging="225"/>
              <w:rPr/>
            </w:pPr>
            <w:r>
              <w:rPr/>
              <w:t>Beginning of period</w:t>
            </w:r>
          </w:p>
        </w:tc>
        <w:tc>
          <w:tcPr>
            <w:tcW w:w="272"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375</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62</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473</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910</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r>
      <w:tr>
        <w:trPr/>
        <w:tc>
          <w:tcPr>
            <w:tcW w:w="2429" w:type="dxa"/>
            <w:tcBorders/>
            <w:shd w:fill="CCEEFF" w:val="clear"/>
            <w:vAlign w:val="bottom"/>
          </w:tcPr>
          <w:p>
            <w:pPr>
              <w:pStyle w:val="TableContents"/>
              <w:spacing w:before="0" w:after="0"/>
              <w:ind w:left="450" w:right="0" w:hanging="225"/>
              <w:rPr/>
            </w:pPr>
            <w:r>
              <w:rPr/>
              <w:t>New openings</w:t>
            </w:r>
          </w:p>
        </w:tc>
        <w:tc>
          <w:tcPr>
            <w:tcW w:w="27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37</w:t>
            </w:r>
          </w:p>
        </w:tc>
        <w:tc>
          <w:tcPr>
            <w:tcW w:w="10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33</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72</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r>
      <w:tr>
        <w:trPr/>
        <w:tc>
          <w:tcPr>
            <w:tcW w:w="2429" w:type="dxa"/>
            <w:tcBorders/>
            <w:shd w:fill="auto" w:val="clear"/>
            <w:vAlign w:val="bottom"/>
          </w:tcPr>
          <w:p>
            <w:pPr>
              <w:pStyle w:val="TableContents"/>
              <w:spacing w:before="0" w:after="0"/>
              <w:ind w:left="450" w:right="0" w:hanging="225"/>
              <w:rPr/>
            </w:pPr>
            <w:r>
              <w:rPr/>
              <w:t>Acquired</w:t>
            </w:r>
          </w:p>
        </w:tc>
        <w:tc>
          <w:tcPr>
            <w:tcW w:w="272"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13</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13</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r>
      <w:tr>
        <w:trPr/>
        <w:tc>
          <w:tcPr>
            <w:tcW w:w="2429" w:type="dxa"/>
            <w:tcBorders/>
            <w:shd w:fill="CCEEFF" w:val="clear"/>
            <w:vAlign w:val="bottom"/>
          </w:tcPr>
          <w:p>
            <w:pPr>
              <w:pStyle w:val="TableContents"/>
              <w:spacing w:before="0" w:after="0"/>
              <w:ind w:left="450" w:right="0" w:hanging="225"/>
              <w:rPr/>
            </w:pPr>
            <w:r>
              <w:rPr/>
              <w:t>Sold, combined, or closed</w:t>
            </w:r>
          </w:p>
        </w:tc>
        <w:tc>
          <w:tcPr>
            <w:tcW w:w="27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962" w:type="dxa"/>
            <w:tcBorders/>
            <w:shd w:fill="CCEEFF" w:val="clear"/>
            <w:vAlign w:val="bottom"/>
          </w:tcPr>
          <w:p>
            <w:pPr>
              <w:pStyle w:val="TableContents"/>
              <w:spacing w:before="0" w:after="283"/>
              <w:jc w:val="right"/>
              <w:rPr/>
            </w:pPr>
            <w:r>
              <w:rPr/>
              <w:t>(1</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(15</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1109" w:type="dxa"/>
            <w:tcBorders/>
            <w:shd w:fill="CCEEFF" w:val="clear"/>
            <w:vAlign w:val="bottom"/>
          </w:tcPr>
          <w:p>
            <w:pPr>
              <w:pStyle w:val="TableContents"/>
              <w:spacing w:before="0" w:after="283"/>
              <w:jc w:val="right"/>
              <w:rPr/>
            </w:pPr>
            <w:r>
              <w:rPr/>
              <w:t>(16</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r>
      <w:tr>
        <w:trPr/>
        <w:tc>
          <w:tcPr>
            <w:tcW w:w="2429" w:type="dxa"/>
            <w:tcBorders/>
            <w:shd w:fill="auto" w:val="clear"/>
            <w:vAlign w:val="center"/>
          </w:tcPr>
          <w:p>
            <w:pPr>
              <w:pStyle w:val="TableContents"/>
              <w:spacing w:before="0" w:after="0"/>
              <w:ind w:left="450" w:right="0" w:hanging="225"/>
              <w:rPr/>
            </w:pPr>
            <w:r>
              <w:rPr/>
              <w:t> </w:t>
            </w:r>
          </w:p>
        </w:tc>
        <w:tc>
          <w:tcPr>
            <w:tcW w:w="272"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9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2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r>
      <w:tr>
        <w:trPr/>
        <w:tc>
          <w:tcPr>
            <w:tcW w:w="2429" w:type="dxa"/>
            <w:tcBorders/>
            <w:shd w:fill="auto" w:val="clear"/>
            <w:vAlign w:val="bottom"/>
          </w:tcPr>
          <w:p>
            <w:pPr>
              <w:pStyle w:val="TableContents"/>
              <w:spacing w:before="0" w:after="0"/>
              <w:ind w:left="450" w:right="0" w:hanging="225"/>
              <w:rPr/>
            </w:pPr>
            <w:r>
              <w:rPr/>
              <w:t>End of Period</w:t>
            </w:r>
          </w:p>
        </w:tc>
        <w:tc>
          <w:tcPr>
            <w:tcW w:w="272"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389</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99</w:t>
            </w:r>
          </w:p>
        </w:tc>
        <w:tc>
          <w:tcPr>
            <w:tcW w:w="1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491</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979</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r>
      <w:tr>
        <w:trPr/>
        <w:tc>
          <w:tcPr>
            <w:tcW w:w="2429" w:type="dxa"/>
            <w:tcBorders/>
            <w:shd w:fill="auto" w:val="clear"/>
            <w:vAlign w:val="center"/>
          </w:tcPr>
          <w:p>
            <w:pPr>
              <w:pStyle w:val="TableContents"/>
              <w:spacing w:before="0" w:after="0"/>
              <w:ind w:left="450" w:right="0" w:hanging="225"/>
              <w:rPr/>
            </w:pPr>
            <w:r>
              <w:rPr/>
              <w:t> </w:t>
            </w:r>
          </w:p>
        </w:tc>
        <w:tc>
          <w:tcPr>
            <w:tcW w:w="272"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9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2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r>
      <w:tr>
        <w:trPr/>
        <w:tc>
          <w:tcPr>
            <w:tcW w:w="2429" w:type="dxa"/>
            <w:tcBorders/>
            <w:shd w:fill="CCEEFF" w:val="clear"/>
            <w:vAlign w:val="bottom"/>
          </w:tcPr>
          <w:p>
            <w:pPr>
              <w:pStyle w:val="TableContents"/>
              <w:spacing w:before="0" w:after="0"/>
              <w:ind w:left="225" w:right="0" w:hanging="225"/>
              <w:rPr/>
            </w:pPr>
            <w:r>
              <w:rPr/>
              <w:t>Average number of stores during the period</w:t>
            </w:r>
          </w:p>
        </w:tc>
        <w:tc>
          <w:tcPr>
            <w:tcW w:w="272"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377</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76</w:t>
            </w:r>
          </w:p>
        </w:tc>
        <w:tc>
          <w:tcPr>
            <w:tcW w:w="109"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477</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931</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Pawn and Retail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pawn service charge revenues on our pawn lending. While allowable service charges vary by state and loan size, a majority of our U.S. pawn loans earn 20% per month. Our average U.S. pawn loan amount typically ranges between $120 and $130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equate to between $50 and $75 U.S. dollars.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pawn stores and certain financial services stores, we acquire inventory for retail sales through pawn loan forfeitures and through purchases of customers merchandise and purchases of new or refurbished merchandise from third party vendors.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9.2% of gross inventory at June 30, 2011 compared to 8.3% at June 30, 2010 and 7.4% at September 30, 2010. Changes in the valuation allowance are charged to merchandise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Signature Loan and Auto Title Loan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June 30, 2011, 286 of our U.S. financial services stores and 25 of our U.S. pawn stores offered credit services to customers seeking short-term consumer signature loans from unaffiliated lenders. We do not participate in any of the loans made by the lenders, but earn a fee for helping customers obtain credit and for enhancing customers creditworthiness by providing letters of credit.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our credit services, the unaffiliated lenders offer customers two types of signature loans. In all stores offering signature loan credit services, customers can obtain payday loans, with principal amounts up to $1,500 but averaging about $510. Terms of these loans are generally less than 30 days, averaging about 16 days, with due dates corresponding with the customers next payday. We typically earn a fee of 21.75% of the loan amount for our credit services offered in connection with payday loans. In 286 of the U.S. financial services stores offering credit services, customers can obtain longer-term unsecured installment loans from the unaffiliated lenders. The installment loans offered in connection with our credit services typically carry terms of about five months with ten equal installment payments due on customers paydays. Installment loan principal amounts range from $1,525 to $3,000, but average about $2,045. With each semi-monthly or bi-weekly installment payment, we earn a fee of 10% of the initial loan amount. At June 30, 2011, payday loans comprised 94% of the balance of signature loans brokered through our credit services, and installment loans comprised the remaining 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signature loan fee revenue on our payday loans. In 15 U.S. pawn stores, 90 U.S. financial services stores and 60 Canadian financial services stores, we make payday loans subject to state or provincial law. The average payday loan amount is approximately $435 and the term is generally less than 30 days, averaging about 16 days. We typically charge a fee of 15% to 22% of the loan amount for a 7 to 23-day period.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123 of our U.S. financial services stores and three U.S. pawn stores at June 30, 2011, we make installment loans subject to state law. These installment loans typically carry a term of four to seven months, with a series of equal installment payments due monthly, semi-monthly or on customers paydays. Total interest and fees on these loans vary in accordance with state law and loan terms, but over the entire loan term, total approximately 50% to 175% of the original principal amount of the loan. Following legislative changes, we began offering installment loans rather than payday loans in Colorado in August 2010 and Wisconsin in January 2011. Installment loan principal amounts range from $100 to $3,000, but average approximately $510.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June 30, 2011, 365 of our U.S. financial services stores and 44 of our U.S. pawn stores offered auto title loans or credit services to assist customers in obtaining auto title loans from unaffiliated lenders. Auto title loans are 30-day loans secured by the titles to customers automobiles. Loan principal amounts range from $100 to $9,000, but average about $800. We earn a fee of 12.5% to 25% of auto title loan amounts. Beginning July 2011, we re-introduced auto title loans in our Wisconsin stores following a legislative change allowing such loans.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fiscal year ended September 30, 2010, we acquired sixteen pawn stores located in the Chicago metropolitan area, Central and South Florida, Corpus Christi, Texas and Las Vegas, Nevada for approximately $21.8 million in cash. In the quarter ended December 31, 2010 we acquired three pawn stores located in the Chicago metropolitan area and one located in Marietta, Georgia for approximately $13.7 million in cash. In the quarter ended March 31, 2011, we acquired five pawn stores located in Central and South Florida for approximately $17.8 million in cash. In the current quarter we acquired 23 stores located in Florida, Iowa, Wisconsin, Utah and the Chicago metropolitan area for approximately $31.6 million in cash. All stores were acquired as part of our continuing strategy to acquire domestic pawn stores to enhance and diversify our earnings. The results of all acquired stores have been consolidated with our results since their acquisition. In the current quarter we also acquired for approximately $1.7 million the trademark and licensing rights of Cash Converters in Canada, including rights to receive fees from 13 stores operated by franchisees in Canada.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quarter ending December 31, 2011, we expect to increase our ownership of Cash Converters outstanding shares from 33% to 53% for a total cost of approximately $70 million, at which point we will begin to consolidate Cash Converters results with ours and discontinue use of the equity method for our current investment in Cash Converters. Following the additional investment, we and Cash Converters plan to establish two joint ventures, under which we will roll out a suite of financial services globally under the Cash Converters brand. The joint ventures are conditional upon the share purchase which, in turn, requires the approval of Cash Converters shareholders.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Other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the current year-to-date period results is a pre-tax administrative expense charge of $10.9 million related to the October 2010 retirement of our former Chief Executive Officer, including $3.4 million attributable to a cash payment and $7.5 million attributable to the vesting of restricted stock. The current year-to-date period income tax expense reflects a $3.8 million tax benefit related to this charge.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Three Months Ended June 30, 2011 vs. Three Months Ended June 30, 2010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quarter ended June 30, 2011 to the quarter ended June 30, 2010. It should be read with the accompanying unaudited financial statements and related notes.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consolidated total revenues increased 17%, or $29.6 million to $203.2 million, compared to the prior year quarter. Same store total revenues increased 7%, with the remainder of the increase coming from new and acquired stores. The overall increase in total consolidated revenues was comprised primarily of an $18.3 million increase in merchandise and jewelry scrapping sales, an $8.9 million increase in pawn service charges, and a $1.9 million increase in signature loan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U.S. Pawn Operations segment contributed $8.4 million greater store operating income compared to the prior year quarter, primarily as the result of a $6.6 million increase in gross profit on merchandise and jewelry scrapping sales and a $6.8 million increase in pawn service charges, partially offset by higher operating costs. The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 segment contributed $1.2 million greater store operating income compared to the prior year quarter, primarily as the result of a $2.1 million increase in pawn service charges and a $1.5 million increase in gross profit on merchandise and jewelry scrapping sales, partially offset by higher operating expenses at new stores. Our EZMONEY Operations segment contributed $0.2 million less store operating income, primarily from higher operating expenses. After a $0.8 million increase in administrative expenses, a $0.9 million increase in depreciation and amortization and a $0.5 million decrease in loss on disposal of assets, consolidated operating income improved $8.2 million to $37.0 million. After a $0.4 million increase in net interest expense, a $1.2 million increase in our equity in the net income of unconsolidated affiliates and a $2.5 million increase in income taxes and other smaller items, our consolidated net income improved 33% to $26.5 million from $20.0 million in the prior year quarter.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U.S. Pawn Operations segment: </w:t>
      </w:r>
    </w:p>
    <w:tbl>
      <w:tblPr>
        <w:tblW w:w="5000" w:type="pct"/>
        <w:jc w:val="center"/>
        <w:tblInd w:w="0" w:type="dxa"/>
        <w:tblCellMar>
          <w:top w:w="0" w:type="dxa"/>
          <w:left w:w="0" w:type="dxa"/>
          <w:bottom w:w="0" w:type="dxa"/>
          <w:right w:w="0" w:type="dxa"/>
        </w:tblCellMar>
      </w:tblPr>
      <w:tblGrid>
        <w:gridCol w:w="6105"/>
        <w:gridCol w:w="396"/>
        <w:gridCol w:w="212"/>
        <w:gridCol w:w="1168"/>
        <w:gridCol w:w="289"/>
        <w:gridCol w:w="412"/>
        <w:gridCol w:w="212"/>
        <w:gridCol w:w="1171"/>
        <w:gridCol w:w="240"/>
      </w:tblGrid>
      <w:tr>
        <w:trPr/>
        <w:tc>
          <w:tcPr>
            <w:tcW w:w="610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64"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June 30,</w:t>
            </w:r>
          </w:p>
        </w:tc>
        <w:tc>
          <w:tcPr>
            <w:tcW w:w="240" w:type="dxa"/>
            <w:tcBorders/>
            <w:shd w:fill="auto"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38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38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0" w:type="dxa"/>
            <w:tcBorders/>
            <w:shd w:fill="auto"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64" w:type="dxa"/>
            <w:gridSpan w:val="6"/>
            <w:tcBorders/>
            <w:shd w:fill="auto" w:val="clear"/>
            <w:vAlign w:val="bottom"/>
          </w:tcPr>
          <w:p>
            <w:pPr>
              <w:pStyle w:val="TableContents"/>
              <w:spacing w:before="0" w:after="283"/>
              <w:jc w:val="center"/>
              <w:rPr>
                <w:i/>
              </w:rPr>
            </w:pPr>
            <w:r>
              <w:rPr>
                <w:i/>
              </w:rPr>
              <w:t>(Dollars in thousands)</w:t>
            </w:r>
          </w:p>
        </w:tc>
        <w:tc>
          <w:tcPr>
            <w:tcW w:w="240" w:type="dxa"/>
            <w:tcBorders/>
            <w:shd w:fill="auto" w:val="clear"/>
            <w:vAlign w:val="bottom"/>
          </w:tcPr>
          <w:p>
            <w:pPr>
              <w:pStyle w:val="TableContents"/>
              <w:spacing w:before="0" w:after="283"/>
              <w:rPr/>
            </w:pPr>
            <w:r>
              <w:rPr/>
              <w:t> </w:t>
            </w:r>
          </w:p>
        </w:tc>
      </w:tr>
      <w:tr>
        <w:trPr/>
        <w:tc>
          <w:tcPr>
            <w:tcW w:w="6105" w:type="dxa"/>
            <w:tcBorders/>
            <w:shd w:fill="CCEEFF" w:val="clear"/>
            <w:vAlign w:val="bottom"/>
          </w:tcPr>
          <w:p>
            <w:pPr>
              <w:pStyle w:val="TableContents"/>
              <w:spacing w:before="0" w:after="0"/>
              <w:ind w:left="450" w:right="0" w:hanging="225"/>
              <w:rPr/>
            </w:pPr>
            <w:r>
              <w:rPr/>
              <w:t>Merchandise sales</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68" w:type="dxa"/>
            <w:tcBorders/>
            <w:shd w:fill="CCEEFF" w:val="clear"/>
            <w:vAlign w:val="bottom"/>
          </w:tcPr>
          <w:p>
            <w:pPr>
              <w:pStyle w:val="TableContents"/>
              <w:spacing w:before="0" w:after="283"/>
              <w:jc w:val="right"/>
              <w:rPr/>
            </w:pPr>
            <w:r>
              <w:rPr/>
              <w:t>58,168</w:t>
            </w:r>
          </w:p>
        </w:tc>
        <w:tc>
          <w:tcPr>
            <w:tcW w:w="289"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71" w:type="dxa"/>
            <w:tcBorders/>
            <w:shd w:fill="CCEEFF" w:val="clear"/>
            <w:vAlign w:val="bottom"/>
          </w:tcPr>
          <w:p>
            <w:pPr>
              <w:pStyle w:val="TableContents"/>
              <w:spacing w:before="0" w:after="283"/>
              <w:jc w:val="right"/>
              <w:rPr/>
            </w:pPr>
            <w:r>
              <w:rPr/>
              <w:t>49,749</w:t>
            </w:r>
          </w:p>
        </w:tc>
        <w:tc>
          <w:tcPr>
            <w:tcW w:w="240" w:type="dxa"/>
            <w:tcBorders/>
            <w:shd w:fill="CCEEFF"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0"/>
              <w:ind w:left="450" w:right="0" w:hanging="225"/>
              <w:rPr/>
            </w:pPr>
            <w:r>
              <w:rPr/>
              <w:t>Jewelry scrapping sales</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46,157</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41,423</w:t>
            </w:r>
          </w:p>
        </w:tc>
        <w:tc>
          <w:tcPr>
            <w:tcW w:w="240" w:type="dxa"/>
            <w:tcBorders/>
            <w:shd w:fill="auto" w:val="clear"/>
            <w:vAlign w:val="bottom"/>
          </w:tcPr>
          <w:p>
            <w:pPr>
              <w:pStyle w:val="TableContents"/>
              <w:spacing w:before="0" w:after="283"/>
              <w:rPr/>
            </w:pPr>
            <w:r>
              <w:rPr/>
              <w:t> </w:t>
            </w:r>
          </w:p>
        </w:tc>
      </w:tr>
      <w:tr>
        <w:trPr/>
        <w:tc>
          <w:tcPr>
            <w:tcW w:w="6105" w:type="dxa"/>
            <w:tcBorders/>
            <w:shd w:fill="CCEEFF" w:val="clear"/>
            <w:vAlign w:val="bottom"/>
          </w:tcPr>
          <w:p>
            <w:pPr>
              <w:pStyle w:val="TableContents"/>
              <w:spacing w:before="0" w:after="0"/>
              <w:ind w:left="450" w:right="0" w:hanging="225"/>
              <w:rPr/>
            </w:pPr>
            <w:r>
              <w:rPr/>
              <w:t>Pawn service charges</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43,846</w:t>
            </w:r>
          </w:p>
        </w:tc>
        <w:tc>
          <w:tcPr>
            <w:tcW w:w="289"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37,014</w:t>
            </w:r>
          </w:p>
        </w:tc>
        <w:tc>
          <w:tcPr>
            <w:tcW w:w="240" w:type="dxa"/>
            <w:tcBorders/>
            <w:shd w:fill="CCEEFF"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0"/>
              <w:ind w:left="450" w:right="0" w:hanging="225"/>
              <w:rPr/>
            </w:pPr>
            <w:r>
              <w:rPr/>
              <w:t>Signature loan fees</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691</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455</w:t>
            </w:r>
          </w:p>
        </w:tc>
        <w:tc>
          <w:tcPr>
            <w:tcW w:w="240" w:type="dxa"/>
            <w:tcBorders/>
            <w:shd w:fill="auto" w:val="clear"/>
            <w:vAlign w:val="bottom"/>
          </w:tcPr>
          <w:p>
            <w:pPr>
              <w:pStyle w:val="TableContents"/>
              <w:spacing w:before="0" w:after="283"/>
              <w:rPr/>
            </w:pPr>
            <w:r>
              <w:rPr/>
              <w:t> </w:t>
            </w:r>
          </w:p>
        </w:tc>
      </w:tr>
      <w:tr>
        <w:trPr/>
        <w:tc>
          <w:tcPr>
            <w:tcW w:w="6105" w:type="dxa"/>
            <w:tcBorders/>
            <w:shd w:fill="CCEEFF" w:val="clear"/>
            <w:vAlign w:val="bottom"/>
          </w:tcPr>
          <w:p>
            <w:pPr>
              <w:pStyle w:val="TableContents"/>
              <w:spacing w:before="0" w:after="0"/>
              <w:ind w:left="450" w:right="0" w:hanging="225"/>
              <w:rPr/>
            </w:pPr>
            <w:r>
              <w:rPr/>
              <w:t>Auto title loan fees</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352</w:t>
            </w:r>
          </w:p>
        </w:tc>
        <w:tc>
          <w:tcPr>
            <w:tcW w:w="289"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359</w:t>
            </w:r>
          </w:p>
        </w:tc>
        <w:tc>
          <w:tcPr>
            <w:tcW w:w="240" w:type="dxa"/>
            <w:tcBorders/>
            <w:shd w:fill="CCEEFF"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0"/>
              <w:ind w:left="450" w:right="0" w:hanging="225"/>
              <w:rPr/>
            </w:pPr>
            <w:r>
              <w:rPr/>
              <w:t>Other</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161</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105</w:t>
            </w:r>
          </w:p>
        </w:tc>
        <w:tc>
          <w:tcPr>
            <w:tcW w:w="240" w:type="dxa"/>
            <w:tcBorders/>
            <w:shd w:fill="auto" w:val="clear"/>
            <w:vAlign w:val="bottom"/>
          </w:tcPr>
          <w:p>
            <w:pPr>
              <w:pStyle w:val="TableContents"/>
              <w:spacing w:before="0" w:after="283"/>
              <w:rPr/>
            </w:pPr>
            <w:r>
              <w:rPr/>
              <w:t> </w:t>
            </w:r>
          </w:p>
        </w:tc>
      </w:tr>
      <w:tr>
        <w:trPr/>
        <w:tc>
          <w:tcPr>
            <w:tcW w:w="6105"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380" w:type="dxa"/>
            <w:gridSpan w:val="2"/>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289"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383" w:type="dxa"/>
            <w:gridSpan w:val="2"/>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240" w:type="dxa"/>
            <w:tcBorders/>
            <w:shd w:fill="auto" w:val="clear"/>
            <w:vAlign w:val="center"/>
          </w:tcPr>
          <w:p>
            <w:pPr>
              <w:pStyle w:val="TableContents"/>
              <w:spacing w:before="0" w:after="283"/>
              <w:rPr/>
            </w:pPr>
            <w:r>
              <w:rPr/>
              <w:t> </w:t>
            </w:r>
          </w:p>
        </w:tc>
      </w:tr>
      <w:tr>
        <w:trPr/>
        <w:tc>
          <w:tcPr>
            <w:tcW w:w="6105" w:type="dxa"/>
            <w:tcBorders/>
            <w:shd w:fill="CCEEFF" w:val="clear"/>
            <w:vAlign w:val="bottom"/>
          </w:tcPr>
          <w:p>
            <w:pPr>
              <w:pStyle w:val="TableContents"/>
              <w:spacing w:before="0" w:after="0"/>
              <w:ind w:left="675" w:right="0" w:hanging="225"/>
              <w:rPr/>
            </w:pPr>
            <w:r>
              <w:rPr/>
              <w:t>Total revenues</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149,375</w:t>
            </w:r>
          </w:p>
        </w:tc>
        <w:tc>
          <w:tcPr>
            <w:tcW w:w="289"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129,105</w:t>
            </w:r>
          </w:p>
        </w:tc>
        <w:tc>
          <w:tcPr>
            <w:tcW w:w="240" w:type="dxa"/>
            <w:tcBorders/>
            <w:shd w:fill="CCEEFF"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0"/>
              <w:ind w:left="225" w:right="0" w:hanging="225"/>
              <w:rPr/>
            </w:pPr>
            <w:r>
              <w:rPr/>
              <w:t> </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0"/>
              <w:ind w:left="450" w:right="0" w:hanging="225"/>
              <w:rPr/>
            </w:pPr>
            <w:r>
              <w:rPr/>
              <w:t>Merchandise cost of goods sold</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32,911</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27,749</w:t>
            </w:r>
          </w:p>
        </w:tc>
        <w:tc>
          <w:tcPr>
            <w:tcW w:w="240" w:type="dxa"/>
            <w:tcBorders/>
            <w:shd w:fill="auto" w:val="clear"/>
            <w:vAlign w:val="bottom"/>
          </w:tcPr>
          <w:p>
            <w:pPr>
              <w:pStyle w:val="TableContents"/>
              <w:spacing w:before="0" w:after="283"/>
              <w:rPr/>
            </w:pPr>
            <w:r>
              <w:rPr/>
              <w:t> </w:t>
            </w:r>
          </w:p>
        </w:tc>
      </w:tr>
      <w:tr>
        <w:trPr/>
        <w:tc>
          <w:tcPr>
            <w:tcW w:w="6105" w:type="dxa"/>
            <w:tcBorders/>
            <w:shd w:fill="CCEEFF" w:val="clear"/>
            <w:vAlign w:val="bottom"/>
          </w:tcPr>
          <w:p>
            <w:pPr>
              <w:pStyle w:val="TableContents"/>
              <w:spacing w:before="0" w:after="0"/>
              <w:ind w:left="450" w:right="0" w:hanging="225"/>
              <w:rPr/>
            </w:pPr>
            <w:r>
              <w:rPr/>
              <w:t>Jewelry scrapping cost of goods sold</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28,754</w:t>
            </w:r>
          </w:p>
        </w:tc>
        <w:tc>
          <w:tcPr>
            <w:tcW w:w="289"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27,328</w:t>
            </w:r>
          </w:p>
        </w:tc>
        <w:tc>
          <w:tcPr>
            <w:tcW w:w="240" w:type="dxa"/>
            <w:tcBorders/>
            <w:shd w:fill="CCEEFF"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0"/>
              <w:ind w:left="450" w:right="0" w:hanging="225"/>
              <w:rPr/>
            </w:pPr>
            <w:r>
              <w:rPr/>
              <w:t>Signature loan bad debt</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325</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159</w:t>
            </w:r>
          </w:p>
        </w:tc>
        <w:tc>
          <w:tcPr>
            <w:tcW w:w="240" w:type="dxa"/>
            <w:tcBorders/>
            <w:shd w:fill="auto" w:val="clear"/>
            <w:vAlign w:val="bottom"/>
          </w:tcPr>
          <w:p>
            <w:pPr>
              <w:pStyle w:val="TableContents"/>
              <w:spacing w:before="0" w:after="283"/>
              <w:rPr/>
            </w:pPr>
            <w:r>
              <w:rPr/>
              <w:t> </w:t>
            </w:r>
          </w:p>
        </w:tc>
      </w:tr>
      <w:tr>
        <w:trPr/>
        <w:tc>
          <w:tcPr>
            <w:tcW w:w="6105" w:type="dxa"/>
            <w:tcBorders/>
            <w:shd w:fill="CCEEFF" w:val="clear"/>
            <w:vAlign w:val="bottom"/>
          </w:tcPr>
          <w:p>
            <w:pPr>
              <w:pStyle w:val="TableContents"/>
              <w:spacing w:before="0" w:after="0"/>
              <w:ind w:left="450" w:right="0" w:hanging="225"/>
              <w:rPr/>
            </w:pPr>
            <w:r>
              <w:rPr/>
              <w:t>Auto title loan bad debt</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69</w:t>
            </w:r>
          </w:p>
        </w:tc>
        <w:tc>
          <w:tcPr>
            <w:tcW w:w="289"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44</w:t>
            </w:r>
          </w:p>
        </w:tc>
        <w:tc>
          <w:tcPr>
            <w:tcW w:w="240" w:type="dxa"/>
            <w:tcBorders/>
            <w:shd w:fill="CCEEFF" w:val="clear"/>
            <w:vAlign w:val="bottom"/>
          </w:tcPr>
          <w:p>
            <w:pPr>
              <w:pStyle w:val="TableContents"/>
              <w:spacing w:before="0" w:after="283"/>
              <w:rPr/>
            </w:pPr>
            <w:r>
              <w:rPr/>
              <w:t> </w:t>
            </w:r>
          </w:p>
        </w:tc>
      </w:tr>
      <w:tr>
        <w:trPr/>
        <w:tc>
          <w:tcPr>
            <w:tcW w:w="6105"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380" w:type="dxa"/>
            <w:gridSpan w:val="2"/>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289"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383" w:type="dxa"/>
            <w:gridSpan w:val="2"/>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240" w:type="dxa"/>
            <w:tcBorders/>
            <w:shd w:fill="auto" w:val="clear"/>
            <w:vAlign w:val="center"/>
          </w:tcPr>
          <w:p>
            <w:pPr>
              <w:pStyle w:val="TableContents"/>
              <w:spacing w:before="0" w:after="283"/>
              <w:rPr/>
            </w:pPr>
            <w:r>
              <w:rPr/>
              <w:t> </w:t>
            </w:r>
          </w:p>
        </w:tc>
      </w:tr>
      <w:tr>
        <w:trPr/>
        <w:tc>
          <w:tcPr>
            <w:tcW w:w="6105" w:type="dxa"/>
            <w:tcBorders/>
            <w:shd w:fill="auto" w:val="clear"/>
            <w:vAlign w:val="bottom"/>
          </w:tcPr>
          <w:p>
            <w:pPr>
              <w:pStyle w:val="TableContents"/>
              <w:spacing w:before="0" w:after="0"/>
              <w:ind w:left="675" w:right="0" w:hanging="225"/>
              <w:rPr/>
            </w:pPr>
            <w:r>
              <w:rPr/>
              <w:t>Net revenues</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87,316</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73,825</w:t>
            </w:r>
          </w:p>
        </w:tc>
        <w:tc>
          <w:tcPr>
            <w:tcW w:w="240" w:type="dxa"/>
            <w:tcBorders/>
            <w:shd w:fill="auto"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0"/>
              <w:ind w:left="225" w:right="0" w:hanging="225"/>
              <w:rPr/>
            </w:pPr>
            <w:r>
              <w:rPr/>
              <w:t> </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6105" w:type="dxa"/>
            <w:tcBorders/>
            <w:shd w:fill="CCEEFF" w:val="clear"/>
            <w:vAlign w:val="bottom"/>
          </w:tcPr>
          <w:p>
            <w:pPr>
              <w:pStyle w:val="TableContents"/>
              <w:spacing w:before="0" w:after="0"/>
              <w:ind w:left="450" w:right="0" w:hanging="225"/>
              <w:rPr/>
            </w:pPr>
            <w:r>
              <w:rPr/>
              <w:t>Operations expense</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44,280</w:t>
            </w:r>
          </w:p>
        </w:tc>
        <w:tc>
          <w:tcPr>
            <w:tcW w:w="289"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39,148</w:t>
            </w:r>
          </w:p>
        </w:tc>
        <w:tc>
          <w:tcPr>
            <w:tcW w:w="240" w:type="dxa"/>
            <w:tcBorders/>
            <w:shd w:fill="CCEEFF" w:val="clear"/>
            <w:vAlign w:val="bottom"/>
          </w:tcPr>
          <w:p>
            <w:pPr>
              <w:pStyle w:val="TableContents"/>
              <w:spacing w:before="0" w:after="283"/>
              <w:rPr/>
            </w:pPr>
            <w:r>
              <w:rPr/>
              <w:t> </w:t>
            </w:r>
          </w:p>
        </w:tc>
      </w:tr>
      <w:tr>
        <w:trPr/>
        <w:tc>
          <w:tcPr>
            <w:tcW w:w="6105"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380" w:type="dxa"/>
            <w:gridSpan w:val="2"/>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289"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383" w:type="dxa"/>
            <w:gridSpan w:val="2"/>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240" w:type="dxa"/>
            <w:tcBorders/>
            <w:shd w:fill="auto" w:val="clear"/>
            <w:vAlign w:val="center"/>
          </w:tcPr>
          <w:p>
            <w:pPr>
              <w:pStyle w:val="TableContents"/>
              <w:spacing w:before="0" w:after="283"/>
              <w:rPr/>
            </w:pPr>
            <w:r>
              <w:rPr/>
              <w:t> </w:t>
            </w:r>
          </w:p>
        </w:tc>
      </w:tr>
      <w:tr>
        <w:trPr/>
        <w:tc>
          <w:tcPr>
            <w:tcW w:w="6105" w:type="dxa"/>
            <w:tcBorders/>
            <w:shd w:fill="auto" w:val="clear"/>
            <w:vAlign w:val="bottom"/>
          </w:tcPr>
          <w:p>
            <w:pPr>
              <w:pStyle w:val="TableContents"/>
              <w:spacing w:before="0" w:after="0"/>
              <w:ind w:left="675" w:right="0" w:hanging="225"/>
              <w:rPr/>
            </w:pPr>
            <w:r>
              <w:rPr/>
              <w:t>Store operating income</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68" w:type="dxa"/>
            <w:tcBorders/>
            <w:shd w:fill="auto" w:val="clear"/>
            <w:vAlign w:val="bottom"/>
          </w:tcPr>
          <w:p>
            <w:pPr>
              <w:pStyle w:val="TableContents"/>
              <w:spacing w:before="0" w:after="283"/>
              <w:jc w:val="right"/>
              <w:rPr/>
            </w:pPr>
            <w:r>
              <w:rPr/>
              <w:t>43,036</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71" w:type="dxa"/>
            <w:tcBorders/>
            <w:shd w:fill="auto" w:val="clear"/>
            <w:vAlign w:val="bottom"/>
          </w:tcPr>
          <w:p>
            <w:pPr>
              <w:pStyle w:val="TableContents"/>
              <w:spacing w:before="0" w:after="283"/>
              <w:jc w:val="right"/>
              <w:rPr/>
            </w:pPr>
            <w:r>
              <w:rPr/>
              <w:t>34,677</w:t>
            </w:r>
          </w:p>
        </w:tc>
        <w:tc>
          <w:tcPr>
            <w:tcW w:w="240" w:type="dxa"/>
            <w:tcBorders/>
            <w:shd w:fill="auto" w:val="clear"/>
            <w:vAlign w:val="bottom"/>
          </w:tcPr>
          <w:p>
            <w:pPr>
              <w:pStyle w:val="TableContents"/>
              <w:spacing w:before="0" w:after="283"/>
              <w:rPr/>
            </w:pPr>
            <w:r>
              <w:rPr/>
              <w:t> </w:t>
            </w:r>
          </w:p>
        </w:tc>
      </w:tr>
      <w:tr>
        <w:trPr/>
        <w:tc>
          <w:tcPr>
            <w:tcW w:w="6105"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380" w:type="dxa"/>
            <w:gridSpan w:val="2"/>
            <w:tcBorders>
              <w:bottom w:val="double" w:sz="6" w:space="0" w:color="000000"/>
            </w:tcBorders>
            <w:shd w:fill="auto" w:val="clear"/>
            <w:tcMar>
              <w:bottom w:w="28" w:type="dxa"/>
            </w:tcMar>
            <w:vAlign w:val="center"/>
          </w:tcPr>
          <w:p>
            <w:pPr>
              <w:pStyle w:val="TableContents"/>
              <w:spacing w:before="0" w:after="283"/>
              <w:jc w:val="center"/>
              <w:rPr/>
            </w:pPr>
            <w:r>
              <w:rPr/>
              <w:t> </w:t>
            </w:r>
          </w:p>
        </w:tc>
        <w:tc>
          <w:tcPr>
            <w:tcW w:w="289"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383" w:type="dxa"/>
            <w:gridSpan w:val="2"/>
            <w:tcBorders>
              <w:bottom w:val="double" w:sz="6" w:space="0" w:color="000000"/>
            </w:tcBorders>
            <w:shd w:fill="auto" w:val="clear"/>
            <w:tcMar>
              <w:bottom w:w="28" w:type="dxa"/>
            </w:tcMar>
            <w:vAlign w:val="center"/>
          </w:tcPr>
          <w:p>
            <w:pPr>
              <w:pStyle w:val="TableContents"/>
              <w:spacing w:before="0" w:after="283"/>
              <w:jc w:val="center"/>
              <w:rPr/>
            </w:pPr>
            <w:r>
              <w:rPr/>
              <w:t> </w:t>
            </w:r>
          </w:p>
        </w:tc>
        <w:tc>
          <w:tcPr>
            <w:tcW w:w="240" w:type="dxa"/>
            <w:tcBorders/>
            <w:shd w:fill="auto" w:val="clear"/>
            <w:vAlign w:val="center"/>
          </w:tcPr>
          <w:p>
            <w:pPr>
              <w:pStyle w:val="TableContents"/>
              <w:spacing w:before="0" w:after="283"/>
              <w:rPr/>
            </w:pPr>
            <w:r>
              <w:rPr/>
              <w:t> </w:t>
            </w:r>
          </w:p>
        </w:tc>
      </w:tr>
      <w:tr>
        <w:trPr/>
        <w:tc>
          <w:tcPr>
            <w:tcW w:w="6105" w:type="dxa"/>
            <w:tcBorders/>
            <w:shd w:fill="auto" w:val="clear"/>
            <w:vAlign w:val="bottom"/>
          </w:tcPr>
          <w:p>
            <w:pPr>
              <w:pStyle w:val="TableContents"/>
              <w:spacing w:before="0" w:after="0"/>
              <w:ind w:left="225" w:right="0" w:hanging="225"/>
              <w:rPr/>
            </w:pPr>
            <w:r>
              <w:rPr/>
              <w:t> </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6105" w:type="dxa"/>
            <w:tcBorders/>
            <w:shd w:fill="CCEEFF" w:val="clear"/>
            <w:vAlign w:val="bottom"/>
          </w:tcPr>
          <w:p>
            <w:pPr>
              <w:pStyle w:val="TableContents"/>
              <w:spacing w:before="0" w:after="0"/>
              <w:ind w:left="225" w:right="0" w:hanging="225"/>
              <w:rPr/>
            </w:pPr>
            <w:r>
              <w:rPr/>
              <w:t>Other Data:</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0"/>
              <w:ind w:left="450" w:right="0" w:hanging="225"/>
              <w:rPr/>
            </w:pPr>
            <w:r>
              <w:rPr/>
              <w:t>Gross margin on merchandise sales</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68" w:type="dxa"/>
            <w:tcBorders/>
            <w:shd w:fill="auto" w:val="clear"/>
            <w:vAlign w:val="bottom"/>
          </w:tcPr>
          <w:p>
            <w:pPr>
              <w:pStyle w:val="TableContents"/>
              <w:spacing w:before="0" w:after="283"/>
              <w:jc w:val="right"/>
              <w:rPr/>
            </w:pPr>
            <w:r>
              <w:rPr/>
              <w:t>43.4</w:t>
            </w:r>
          </w:p>
        </w:tc>
        <w:tc>
          <w:tcPr>
            <w:tcW w:w="289" w:type="dxa"/>
            <w:tcBorders/>
            <w:shd w:fill="auto" w:val="clear"/>
            <w:vAlign w:val="bottom"/>
          </w:tcPr>
          <w:p>
            <w:pPr>
              <w:pStyle w:val="TableContents"/>
              <w:spacing w:before="0" w:after="283"/>
              <w:rPr/>
            </w:pPr>
            <w:r>
              <w:rPr/>
              <w:t>%</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71" w:type="dxa"/>
            <w:tcBorders/>
            <w:shd w:fill="auto" w:val="clear"/>
            <w:vAlign w:val="bottom"/>
          </w:tcPr>
          <w:p>
            <w:pPr>
              <w:pStyle w:val="TableContents"/>
              <w:spacing w:before="0" w:after="283"/>
              <w:jc w:val="right"/>
              <w:rPr/>
            </w:pPr>
            <w:r>
              <w:rPr/>
              <w:t>44.2</w:t>
            </w:r>
          </w:p>
        </w:tc>
        <w:tc>
          <w:tcPr>
            <w:tcW w:w="240" w:type="dxa"/>
            <w:tcBorders/>
            <w:shd w:fill="auto" w:val="clear"/>
            <w:vAlign w:val="bottom"/>
          </w:tcPr>
          <w:p>
            <w:pPr>
              <w:pStyle w:val="TableContents"/>
              <w:spacing w:before="0" w:after="283"/>
              <w:rPr/>
            </w:pPr>
            <w:r>
              <w:rPr/>
              <w:t>%</w:t>
            </w:r>
          </w:p>
        </w:tc>
      </w:tr>
      <w:tr>
        <w:trPr/>
        <w:tc>
          <w:tcPr>
            <w:tcW w:w="6105" w:type="dxa"/>
            <w:tcBorders/>
            <w:shd w:fill="CCEEFF" w:val="clear"/>
            <w:vAlign w:val="bottom"/>
          </w:tcPr>
          <w:p>
            <w:pPr>
              <w:pStyle w:val="TableContents"/>
              <w:spacing w:before="0" w:after="0"/>
              <w:ind w:left="450" w:right="0" w:hanging="225"/>
              <w:rPr/>
            </w:pPr>
            <w:r>
              <w:rPr/>
              <w:t>Gross margin on jewelry scrapping sales</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jc w:val="right"/>
              <w:rPr/>
            </w:pPr>
            <w:r>
              <w:rPr/>
              <w:t>37.7</w:t>
            </w:r>
          </w:p>
        </w:tc>
        <w:tc>
          <w:tcPr>
            <w:tcW w:w="289" w:type="dxa"/>
            <w:tcBorders/>
            <w:shd w:fill="CCEEFF" w:val="clear"/>
            <w:vAlign w:val="bottom"/>
          </w:tcPr>
          <w:p>
            <w:pPr>
              <w:pStyle w:val="TableContents"/>
              <w:spacing w:before="0" w:after="283"/>
              <w:rPr/>
            </w:pPr>
            <w:r>
              <w:rPr/>
              <w:t>%</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71" w:type="dxa"/>
            <w:tcBorders/>
            <w:shd w:fill="CCEEFF" w:val="clear"/>
            <w:vAlign w:val="bottom"/>
          </w:tcPr>
          <w:p>
            <w:pPr>
              <w:pStyle w:val="TableContents"/>
              <w:spacing w:before="0" w:after="283"/>
              <w:jc w:val="right"/>
              <w:rPr/>
            </w:pPr>
            <w:r>
              <w:rPr/>
              <w:t>34.0</w:t>
            </w:r>
          </w:p>
        </w:tc>
        <w:tc>
          <w:tcPr>
            <w:tcW w:w="240" w:type="dxa"/>
            <w:tcBorders/>
            <w:shd w:fill="CCEEFF" w:val="clear"/>
            <w:vAlign w:val="bottom"/>
          </w:tcPr>
          <w:p>
            <w:pPr>
              <w:pStyle w:val="TableContents"/>
              <w:spacing w:before="0" w:after="283"/>
              <w:rPr/>
            </w:pPr>
            <w:r>
              <w:rPr/>
              <w:t>%</w:t>
            </w:r>
          </w:p>
        </w:tc>
      </w:tr>
      <w:tr>
        <w:trPr/>
        <w:tc>
          <w:tcPr>
            <w:tcW w:w="6105" w:type="dxa"/>
            <w:tcBorders/>
            <w:shd w:fill="auto" w:val="clear"/>
            <w:vAlign w:val="bottom"/>
          </w:tcPr>
          <w:p>
            <w:pPr>
              <w:pStyle w:val="TableContents"/>
              <w:spacing w:before="0" w:after="0"/>
              <w:ind w:left="450" w:right="0" w:hanging="225"/>
              <w:rPr/>
            </w:pPr>
            <w:r>
              <w:rPr/>
              <w:t>Gross margin on total sales</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68" w:type="dxa"/>
            <w:tcBorders/>
            <w:shd w:fill="auto" w:val="clear"/>
            <w:vAlign w:val="bottom"/>
          </w:tcPr>
          <w:p>
            <w:pPr>
              <w:pStyle w:val="TableContents"/>
              <w:spacing w:before="0" w:after="283"/>
              <w:jc w:val="right"/>
              <w:rPr/>
            </w:pPr>
            <w:r>
              <w:rPr/>
              <w:t>40.9</w:t>
            </w:r>
          </w:p>
        </w:tc>
        <w:tc>
          <w:tcPr>
            <w:tcW w:w="289" w:type="dxa"/>
            <w:tcBorders/>
            <w:shd w:fill="auto" w:val="clear"/>
            <w:vAlign w:val="bottom"/>
          </w:tcPr>
          <w:p>
            <w:pPr>
              <w:pStyle w:val="TableContents"/>
              <w:spacing w:before="0" w:after="283"/>
              <w:rPr/>
            </w:pPr>
            <w:r>
              <w:rPr/>
              <w:t>%</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71" w:type="dxa"/>
            <w:tcBorders/>
            <w:shd w:fill="auto" w:val="clear"/>
            <w:vAlign w:val="bottom"/>
          </w:tcPr>
          <w:p>
            <w:pPr>
              <w:pStyle w:val="TableContents"/>
              <w:spacing w:before="0" w:after="283"/>
              <w:jc w:val="right"/>
              <w:rPr/>
            </w:pPr>
            <w:r>
              <w:rPr/>
              <w:t>39.6</w:t>
            </w:r>
          </w:p>
        </w:tc>
        <w:tc>
          <w:tcPr>
            <w:tcW w:w="240" w:type="dxa"/>
            <w:tcBorders/>
            <w:shd w:fill="auto" w:val="clear"/>
            <w:vAlign w:val="bottom"/>
          </w:tcPr>
          <w:p>
            <w:pPr>
              <w:pStyle w:val="TableContents"/>
              <w:spacing w:before="0" w:after="283"/>
              <w:rPr/>
            </w:pPr>
            <w:r>
              <w:rPr/>
              <w:t>%</w:t>
            </w:r>
          </w:p>
        </w:tc>
      </w:tr>
      <w:tr>
        <w:trPr/>
        <w:tc>
          <w:tcPr>
            <w:tcW w:w="6105" w:type="dxa"/>
            <w:tcBorders/>
            <w:shd w:fill="CCEEFF" w:val="clear"/>
            <w:vAlign w:val="bottom"/>
          </w:tcPr>
          <w:p>
            <w:pPr>
              <w:pStyle w:val="TableContents"/>
              <w:spacing w:before="0" w:after="0"/>
              <w:ind w:left="450" w:right="0" w:hanging="225"/>
              <w:rPr/>
            </w:pPr>
            <w:r>
              <w:rPr/>
              <w:t>Average pawn loan balance per pawn store at quarter-end</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68" w:type="dxa"/>
            <w:tcBorders/>
            <w:shd w:fill="CCEEFF" w:val="clear"/>
            <w:vAlign w:val="bottom"/>
          </w:tcPr>
          <w:p>
            <w:pPr>
              <w:pStyle w:val="TableContents"/>
              <w:spacing w:before="0" w:after="283"/>
              <w:jc w:val="right"/>
              <w:rPr/>
            </w:pPr>
            <w:r>
              <w:rPr/>
              <w:t>293</w:t>
            </w:r>
          </w:p>
        </w:tc>
        <w:tc>
          <w:tcPr>
            <w:tcW w:w="289"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71" w:type="dxa"/>
            <w:tcBorders/>
            <w:shd w:fill="CCEEFF" w:val="clear"/>
            <w:vAlign w:val="bottom"/>
          </w:tcPr>
          <w:p>
            <w:pPr>
              <w:pStyle w:val="TableContents"/>
              <w:spacing w:before="0" w:after="283"/>
              <w:jc w:val="right"/>
              <w:rPr/>
            </w:pPr>
            <w:r>
              <w:rPr/>
              <w:t>280</w:t>
            </w:r>
          </w:p>
        </w:tc>
        <w:tc>
          <w:tcPr>
            <w:tcW w:w="240" w:type="dxa"/>
            <w:tcBorders/>
            <w:shd w:fill="CCEEFF" w:val="clear"/>
            <w:vAlign w:val="bottom"/>
          </w:tcPr>
          <w:p>
            <w:pPr>
              <w:pStyle w:val="TableContents"/>
              <w:spacing w:before="0" w:after="283"/>
              <w:rPr/>
            </w:pPr>
            <w:r>
              <w:rPr/>
              <w:t> </w:t>
            </w:r>
          </w:p>
        </w:tc>
      </w:tr>
      <w:tr>
        <w:trPr/>
        <w:tc>
          <w:tcPr>
            <w:tcW w:w="6105" w:type="dxa"/>
            <w:tcBorders/>
            <w:shd w:fill="auto" w:val="clear"/>
            <w:vAlign w:val="bottom"/>
          </w:tcPr>
          <w:p>
            <w:pPr>
              <w:pStyle w:val="TableContents"/>
              <w:spacing w:before="0" w:after="0"/>
              <w:ind w:left="450" w:right="0" w:hanging="225"/>
              <w:rPr/>
            </w:pPr>
            <w:r>
              <w:rPr/>
              <w:t>Average yield on pawn loan portfolio (a)</w:t>
            </w:r>
          </w:p>
        </w:tc>
        <w:tc>
          <w:tcPr>
            <w:tcW w:w="39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68" w:type="dxa"/>
            <w:tcBorders/>
            <w:shd w:fill="auto" w:val="clear"/>
            <w:vAlign w:val="bottom"/>
          </w:tcPr>
          <w:p>
            <w:pPr>
              <w:pStyle w:val="TableContents"/>
              <w:spacing w:before="0" w:after="283"/>
              <w:jc w:val="right"/>
              <w:rPr/>
            </w:pPr>
            <w:r>
              <w:rPr/>
              <w:t>157</w:t>
            </w:r>
          </w:p>
        </w:tc>
        <w:tc>
          <w:tcPr>
            <w:tcW w:w="289" w:type="dxa"/>
            <w:tcBorders/>
            <w:shd w:fill="auto" w:val="clear"/>
            <w:vAlign w:val="bottom"/>
          </w:tcPr>
          <w:p>
            <w:pPr>
              <w:pStyle w:val="TableContents"/>
              <w:spacing w:before="0" w:after="283"/>
              <w:rPr/>
            </w:pPr>
            <w:r>
              <w:rPr/>
              <w:t>%</w:t>
            </w:r>
          </w:p>
        </w:tc>
        <w:tc>
          <w:tcPr>
            <w:tcW w:w="4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71" w:type="dxa"/>
            <w:tcBorders/>
            <w:shd w:fill="auto" w:val="clear"/>
            <w:vAlign w:val="bottom"/>
          </w:tcPr>
          <w:p>
            <w:pPr>
              <w:pStyle w:val="TableContents"/>
              <w:spacing w:before="0" w:after="283"/>
              <w:jc w:val="right"/>
              <w:rPr/>
            </w:pPr>
            <w:r>
              <w:rPr/>
              <w:t>155</w:t>
            </w:r>
          </w:p>
        </w:tc>
        <w:tc>
          <w:tcPr>
            <w:tcW w:w="240" w:type="dxa"/>
            <w:tcBorders/>
            <w:shd w:fill="auto" w:val="clear"/>
            <w:vAlign w:val="bottom"/>
          </w:tcPr>
          <w:p>
            <w:pPr>
              <w:pStyle w:val="TableContents"/>
              <w:spacing w:before="0" w:after="283"/>
              <w:rPr/>
            </w:pPr>
            <w:r>
              <w:rPr/>
              <w:t>%</w:t>
            </w:r>
          </w:p>
        </w:tc>
      </w:tr>
      <w:tr>
        <w:trPr/>
        <w:tc>
          <w:tcPr>
            <w:tcW w:w="6105" w:type="dxa"/>
            <w:tcBorders/>
            <w:shd w:fill="CCEEFF" w:val="clear"/>
            <w:vAlign w:val="bottom"/>
          </w:tcPr>
          <w:p>
            <w:pPr>
              <w:pStyle w:val="TableContents"/>
              <w:spacing w:before="0" w:after="0"/>
              <w:ind w:left="450" w:right="0" w:hanging="225"/>
              <w:rPr/>
            </w:pPr>
            <w:r>
              <w:rPr/>
              <w:t>Pawn loan redemption rate</w:t>
            </w:r>
          </w:p>
        </w:tc>
        <w:tc>
          <w:tcPr>
            <w:tcW w:w="39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jc w:val="right"/>
              <w:rPr/>
            </w:pPr>
            <w:r>
              <w:rPr/>
              <w:t>82</w:t>
            </w:r>
          </w:p>
        </w:tc>
        <w:tc>
          <w:tcPr>
            <w:tcW w:w="289" w:type="dxa"/>
            <w:tcBorders/>
            <w:shd w:fill="CCEEFF" w:val="clear"/>
            <w:vAlign w:val="bottom"/>
          </w:tcPr>
          <w:p>
            <w:pPr>
              <w:pStyle w:val="TableContents"/>
              <w:spacing w:before="0" w:after="283"/>
              <w:rPr/>
            </w:pPr>
            <w:r>
              <w:rPr/>
              <w:t>%</w:t>
            </w:r>
          </w:p>
        </w:tc>
        <w:tc>
          <w:tcPr>
            <w:tcW w:w="4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71" w:type="dxa"/>
            <w:tcBorders/>
            <w:shd w:fill="CCEEFF" w:val="clear"/>
            <w:vAlign w:val="bottom"/>
          </w:tcPr>
          <w:p>
            <w:pPr>
              <w:pStyle w:val="TableContents"/>
              <w:spacing w:before="0" w:after="283"/>
              <w:jc w:val="right"/>
              <w:rPr/>
            </w:pPr>
            <w:r>
              <w:rPr/>
              <w:t>81</w:t>
            </w:r>
          </w:p>
        </w:tc>
        <w:tc>
          <w:tcPr>
            <w:tcW w:w="240"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revenues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U.S. Pawn Operations segment total revenues increased $20.3 million, or 16% from the prior year quarter to $149.4 million. Same store total revenues increased $7.2 million, or 6%, and new and acquired stores net of closed stores contributed $13.1 million. The overall increase in total revenues was comprised primarily of a $13.2 million increase in merchandise and jewelry scrapping sales and a $6.8 million increase in pawn service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quarter U.S. pawn service charge revenues increased $6.8 million, or 18% from the prior year quarter to $43.8 million. Same store pawn service charges increased $3.4 million, or 9% due primarily to a higher average pawn loan balance, while new and acquired stores net of closed stores contributed $3.4 million. Inventory purchases from customers represent 35% of total inventory additions, excluding acquisitions, in the current and prior year quarters.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merchandise sales gross profit increased $3.3 million, or 15% from the prior year quarter to $25.3 million. This was due to a $3.9 million, or 8% increase in same store sales and a $4.5 million increase in sales from new and acquired stores net of closed stores, partially offset by a 0.8 percentage point decrease in gross margins to 43.4%.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gross profit on jewelry scrapping sales increased $3.3 million, or 23% from the prior year quarter to $17.4 million. Jewelry scrapping revenues increased $4.7 million, or 11% due to a 28% increase in proceeds realized per gram of gold jewelry scrapped partially offset by a 16% decrease in gold volume. The current quarters jewelry scrapping sales include the sale of approximately $2.6 million of loose diamonds removed from scrapped jewelry compared to $1.1 million of loose diamond sales in the prior year quarter. As a result of the higher average cost per gram of jewelry scrapped, scrap cost of goods increased $1.4 million, or 5%. Gross margins on gold scrapping increased 3.7 percentage points to 37.7% as proceeds per gram increased at a greater rate than our gold lending guidelines.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$44.3 million (51% of net revenues) in the current quarter from $39.1 million (53% of net revenues) in the prior year quarter. The dollar increase in expense was primarily due to higher operating costs at new and acquired stores. The improvement as a percent of net revenues is from greater scale at same stores and from expense management improvements made at acquired and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$13.5 million greater net revenues from U.S. pawn activities, partially offset by the $5.1 million higher operations expense resulted in an $8.4 million overall increase in store operating income from the U.S. Pawn Operations segment. The segment comprised 77% of consolidated store operating income in the current quarter compared to 74% in the prior year quarter.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Empeño Fácil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Empeño Fácil segment after translation to U.S. dollars and in its functional currency of the Mexican peso: </w:t>
      </w:r>
    </w:p>
    <w:tbl>
      <w:tblPr>
        <w:tblW w:w="5000" w:type="pct"/>
        <w:jc w:val="center"/>
        <w:tblInd w:w="0" w:type="dxa"/>
        <w:tblCellMar>
          <w:top w:w="0" w:type="dxa"/>
          <w:left w:w="0" w:type="dxa"/>
          <w:bottom w:w="0" w:type="dxa"/>
          <w:right w:w="0" w:type="dxa"/>
        </w:tblCellMar>
      </w:tblPr>
      <w:tblGrid>
        <w:gridCol w:w="3693"/>
        <w:gridCol w:w="325"/>
        <w:gridCol w:w="187"/>
        <w:gridCol w:w="922"/>
        <w:gridCol w:w="258"/>
        <w:gridCol w:w="334"/>
        <w:gridCol w:w="187"/>
        <w:gridCol w:w="811"/>
        <w:gridCol w:w="225"/>
        <w:gridCol w:w="325"/>
        <w:gridCol w:w="166"/>
        <w:gridCol w:w="911"/>
        <w:gridCol w:w="224"/>
        <w:gridCol w:w="325"/>
        <w:gridCol w:w="166"/>
        <w:gridCol w:w="911"/>
        <w:gridCol w:w="235"/>
      </w:tblGrid>
      <w:tr>
        <w:trPr/>
        <w:tc>
          <w:tcPr>
            <w:tcW w:w="3693"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3693"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5952" w:type="dxa"/>
            <w:gridSpan w:val="14"/>
            <w:tcBorders>
              <w:bottom w:val="single" w:sz="2" w:space="0" w:color="000000"/>
            </w:tcBorders>
            <w:shd w:fill="auto" w:val="clear"/>
            <w:tcMar>
              <w:bottom w:w="28" w:type="dxa"/>
            </w:tcMar>
            <w:vAlign w:val="bottom"/>
          </w:tcPr>
          <w:p>
            <w:pPr>
              <w:pStyle w:val="TableContents"/>
              <w:spacing w:before="0" w:after="283"/>
              <w:jc w:val="center"/>
              <w:rPr/>
            </w:pPr>
            <w:r>
              <w:rPr/>
              <w:t>Three Months Ended June 30,</w:t>
            </w:r>
          </w:p>
        </w:tc>
        <w:tc>
          <w:tcPr>
            <w:tcW w:w="235" w:type="dxa"/>
            <w:tcBorders/>
            <w:shd w:fill="auto" w:val="clear"/>
            <w:vAlign w:val="bottom"/>
          </w:tcPr>
          <w:p>
            <w:pPr>
              <w:pStyle w:val="TableContents"/>
              <w:spacing w:before="0" w:after="283"/>
              <w:rPr/>
            </w:pPr>
            <w:r>
              <w:rPr/>
              <w:t> </w:t>
            </w:r>
          </w:p>
        </w:tc>
      </w:tr>
      <w:tr>
        <w:trPr/>
        <w:tc>
          <w:tcPr>
            <w:tcW w:w="3693"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0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5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7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2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7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35" w:type="dxa"/>
            <w:tcBorders/>
            <w:shd w:fill="auto" w:val="clear"/>
            <w:vAlign w:val="bottom"/>
          </w:tcPr>
          <w:p>
            <w:pPr>
              <w:pStyle w:val="TableContents"/>
              <w:spacing w:before="0" w:after="283"/>
              <w:rPr/>
            </w:pPr>
            <w:r>
              <w:rPr/>
              <w:t> </w:t>
            </w:r>
          </w:p>
        </w:tc>
      </w:tr>
      <w:tr>
        <w:trPr/>
        <w:tc>
          <w:tcPr>
            <w:tcW w:w="3693"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699" w:type="dxa"/>
            <w:gridSpan w:val="6"/>
            <w:tcBorders/>
            <w:shd w:fill="auto" w:val="clear"/>
            <w:vAlign w:val="bottom"/>
          </w:tcPr>
          <w:p>
            <w:pPr>
              <w:pStyle w:val="TableContents"/>
              <w:spacing w:before="0" w:after="283"/>
              <w:jc w:val="center"/>
              <w:rPr>
                <w:i/>
              </w:rPr>
            </w:pPr>
            <w:r>
              <w:rPr>
                <w:i/>
              </w:rPr>
              <w:t>(Dollars in thousands)</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703" w:type="dxa"/>
            <w:gridSpan w:val="6"/>
            <w:tcBorders/>
            <w:shd w:fill="auto" w:val="clear"/>
            <w:vAlign w:val="bottom"/>
          </w:tcPr>
          <w:p>
            <w:pPr>
              <w:pStyle w:val="TableContents"/>
              <w:spacing w:before="0" w:after="283"/>
              <w:jc w:val="center"/>
              <w:rPr>
                <w:i/>
              </w:rPr>
            </w:pPr>
            <w:r>
              <w:rPr>
                <w:i/>
              </w:rPr>
              <w:t>(Pesos in thousands)</w:t>
            </w:r>
          </w:p>
        </w:tc>
        <w:tc>
          <w:tcPr>
            <w:tcW w:w="235" w:type="dxa"/>
            <w:tcBorders/>
            <w:shd w:fill="auto" w:val="clear"/>
            <w:vAlign w:val="bottom"/>
          </w:tcPr>
          <w:p>
            <w:pPr>
              <w:pStyle w:val="TableContents"/>
              <w:spacing w:before="0" w:after="283"/>
              <w:rPr/>
            </w:pPr>
            <w:r>
              <w:rPr/>
              <w:t> </w:t>
            </w:r>
          </w:p>
        </w:tc>
      </w:tr>
      <w:tr>
        <w:trPr/>
        <w:tc>
          <w:tcPr>
            <w:tcW w:w="3693" w:type="dxa"/>
            <w:tcBorders/>
            <w:shd w:fill="CCEEFF" w:val="clear"/>
            <w:vAlign w:val="bottom"/>
          </w:tcPr>
          <w:p>
            <w:pPr>
              <w:pStyle w:val="TableContents"/>
              <w:spacing w:before="0" w:after="0"/>
              <w:ind w:left="450" w:right="0" w:hanging="225"/>
              <w:rPr/>
            </w:pPr>
            <w:r>
              <w:rPr/>
              <w:t>Merchandise sales</w:t>
            </w:r>
          </w:p>
        </w:tc>
        <w:tc>
          <w:tcPr>
            <w:tcW w:w="3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922" w:type="dxa"/>
            <w:tcBorders/>
            <w:shd w:fill="CCEEFF" w:val="clear"/>
            <w:vAlign w:val="bottom"/>
          </w:tcPr>
          <w:p>
            <w:pPr>
              <w:pStyle w:val="TableContents"/>
              <w:spacing w:before="0" w:after="283"/>
              <w:jc w:val="right"/>
              <w:rPr/>
            </w:pPr>
            <w:r>
              <w:rPr/>
              <w:t>6,401</w:t>
            </w:r>
          </w:p>
        </w:tc>
        <w:tc>
          <w:tcPr>
            <w:tcW w:w="25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3,529</w:t>
            </w:r>
          </w:p>
        </w:tc>
        <w:tc>
          <w:tcPr>
            <w:tcW w:w="2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11" w:type="dxa"/>
            <w:tcBorders/>
            <w:shd w:fill="CCEEFF" w:val="clear"/>
            <w:vAlign w:val="bottom"/>
          </w:tcPr>
          <w:p>
            <w:pPr>
              <w:pStyle w:val="TableContents"/>
              <w:spacing w:before="0" w:after="283"/>
              <w:jc w:val="right"/>
              <w:rPr/>
            </w:pPr>
            <w:r>
              <w:rPr/>
              <w:t>75,119</w:t>
            </w:r>
          </w:p>
        </w:tc>
        <w:tc>
          <w:tcPr>
            <w:tcW w:w="22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11" w:type="dxa"/>
            <w:tcBorders/>
            <w:shd w:fill="CCEEFF" w:val="clear"/>
            <w:vAlign w:val="bottom"/>
          </w:tcPr>
          <w:p>
            <w:pPr>
              <w:pStyle w:val="TableContents"/>
              <w:spacing w:before="0" w:after="283"/>
              <w:jc w:val="right"/>
              <w:rPr/>
            </w:pPr>
            <w:r>
              <w:rPr/>
              <w:t>44,328</w:t>
            </w:r>
          </w:p>
        </w:tc>
        <w:tc>
          <w:tcPr>
            <w:tcW w:w="235" w:type="dxa"/>
            <w:tcBorders/>
            <w:shd w:fill="CCEEFF" w:val="clear"/>
            <w:vAlign w:val="bottom"/>
          </w:tcPr>
          <w:p>
            <w:pPr>
              <w:pStyle w:val="TableContents"/>
              <w:spacing w:before="0" w:after="283"/>
              <w:rPr/>
            </w:pPr>
            <w:r>
              <w:rPr/>
              <w:t> </w:t>
            </w:r>
          </w:p>
        </w:tc>
      </w:tr>
      <w:tr>
        <w:trPr/>
        <w:tc>
          <w:tcPr>
            <w:tcW w:w="3693" w:type="dxa"/>
            <w:tcBorders/>
            <w:shd w:fill="auto" w:val="clear"/>
            <w:vAlign w:val="bottom"/>
          </w:tcPr>
          <w:p>
            <w:pPr>
              <w:pStyle w:val="TableContents"/>
              <w:spacing w:before="0" w:after="0"/>
              <w:ind w:left="450" w:right="0" w:hanging="225"/>
              <w:rPr/>
            </w:pPr>
            <w:r>
              <w:rPr/>
              <w:t>Jewelry scrapping sales</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pPr>
            <w:r>
              <w:rPr/>
              <w:t>4,257</w:t>
            </w:r>
          </w:p>
        </w:tc>
        <w:tc>
          <w:tcPr>
            <w:tcW w:w="25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2,181</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49,973</w:t>
            </w:r>
          </w:p>
        </w:tc>
        <w:tc>
          <w:tcPr>
            <w:tcW w:w="22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27,300</w:t>
            </w:r>
          </w:p>
        </w:tc>
        <w:tc>
          <w:tcPr>
            <w:tcW w:w="235" w:type="dxa"/>
            <w:tcBorders/>
            <w:shd w:fill="auto" w:val="clear"/>
            <w:vAlign w:val="bottom"/>
          </w:tcPr>
          <w:p>
            <w:pPr>
              <w:pStyle w:val="TableContents"/>
              <w:spacing w:before="0" w:after="283"/>
              <w:rPr/>
            </w:pPr>
            <w:r>
              <w:rPr/>
              <w:t> </w:t>
            </w:r>
          </w:p>
        </w:tc>
      </w:tr>
      <w:tr>
        <w:trPr/>
        <w:tc>
          <w:tcPr>
            <w:tcW w:w="3693" w:type="dxa"/>
            <w:tcBorders/>
            <w:shd w:fill="CCEEFF" w:val="clear"/>
            <w:vAlign w:val="bottom"/>
          </w:tcPr>
          <w:p>
            <w:pPr>
              <w:pStyle w:val="TableContents"/>
              <w:spacing w:before="0" w:after="0"/>
              <w:ind w:left="450" w:right="0" w:hanging="225"/>
              <w:rPr/>
            </w:pPr>
            <w:r>
              <w:rPr/>
              <w:t>Pawn service charges</w:t>
            </w:r>
          </w:p>
        </w:tc>
        <w:tc>
          <w:tcPr>
            <w:tcW w:w="3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pPr>
            <w:r>
              <w:rPr/>
              <w:t>4,519</w:t>
            </w:r>
          </w:p>
        </w:tc>
        <w:tc>
          <w:tcPr>
            <w:tcW w:w="25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2,410</w:t>
            </w:r>
          </w:p>
        </w:tc>
        <w:tc>
          <w:tcPr>
            <w:tcW w:w="2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53,046</w:t>
            </w:r>
          </w:p>
        </w:tc>
        <w:tc>
          <w:tcPr>
            <w:tcW w:w="22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30,257</w:t>
            </w:r>
          </w:p>
        </w:tc>
        <w:tc>
          <w:tcPr>
            <w:tcW w:w="235" w:type="dxa"/>
            <w:tcBorders/>
            <w:shd w:fill="CCEEFF" w:val="clear"/>
            <w:vAlign w:val="bottom"/>
          </w:tcPr>
          <w:p>
            <w:pPr>
              <w:pStyle w:val="TableContents"/>
              <w:spacing w:before="0" w:after="283"/>
              <w:rPr/>
            </w:pPr>
            <w:r>
              <w:rPr/>
              <w:t> </w:t>
            </w:r>
          </w:p>
        </w:tc>
      </w:tr>
      <w:tr>
        <w:trPr/>
        <w:tc>
          <w:tcPr>
            <w:tcW w:w="3693" w:type="dxa"/>
            <w:tcBorders/>
            <w:shd w:fill="auto" w:val="clear"/>
            <w:vAlign w:val="bottom"/>
          </w:tcPr>
          <w:p>
            <w:pPr>
              <w:pStyle w:val="TableContents"/>
              <w:spacing w:before="0" w:after="0"/>
              <w:ind w:left="450" w:right="0" w:hanging="225"/>
              <w:rPr/>
            </w:pPr>
            <w:r>
              <w:rPr/>
              <w:t>Other</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pPr>
            <w:r>
              <w:rPr/>
              <w:t>6</w:t>
            </w:r>
          </w:p>
        </w:tc>
        <w:tc>
          <w:tcPr>
            <w:tcW w:w="25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67</w:t>
            </w:r>
          </w:p>
        </w:tc>
        <w:tc>
          <w:tcPr>
            <w:tcW w:w="22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w:t>
            </w:r>
          </w:p>
        </w:tc>
        <w:tc>
          <w:tcPr>
            <w:tcW w:w="235" w:type="dxa"/>
            <w:tcBorders/>
            <w:shd w:fill="auto" w:val="clear"/>
            <w:vAlign w:val="bottom"/>
          </w:tcPr>
          <w:p>
            <w:pPr>
              <w:pStyle w:val="TableContents"/>
              <w:spacing w:before="0" w:after="283"/>
              <w:rPr/>
            </w:pPr>
            <w:r>
              <w:rPr/>
              <w:t> </w:t>
            </w:r>
          </w:p>
        </w:tc>
      </w:tr>
      <w:tr>
        <w:trPr/>
        <w:tc>
          <w:tcPr>
            <w:tcW w:w="3693" w:type="dxa"/>
            <w:tcBorders/>
            <w:shd w:fill="auto" w:val="clear"/>
            <w:vAlign w:val="center"/>
          </w:tcPr>
          <w:p>
            <w:pPr>
              <w:pStyle w:val="TableContents"/>
              <w:spacing w:before="0" w:after="0"/>
              <w:ind w:left="450" w:right="0" w:hanging="225"/>
              <w:rPr/>
            </w:pPr>
            <w:r>
              <w:rPr/>
              <w:t> </w:t>
            </w:r>
          </w:p>
        </w:tc>
        <w:tc>
          <w:tcPr>
            <w:tcW w:w="325" w:type="dxa"/>
            <w:tcBorders/>
            <w:shd w:fill="auto" w:val="clear"/>
            <w:vAlign w:val="center"/>
          </w:tcPr>
          <w:p>
            <w:pPr>
              <w:pStyle w:val="TableContents"/>
              <w:spacing w:before="0" w:after="283"/>
              <w:rPr/>
            </w:pPr>
            <w:r>
              <w:rPr/>
              <w:t> </w:t>
            </w:r>
          </w:p>
        </w:tc>
        <w:tc>
          <w:tcPr>
            <w:tcW w:w="11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4"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693" w:type="dxa"/>
            <w:tcBorders/>
            <w:shd w:fill="CCEEFF" w:val="clear"/>
            <w:vAlign w:val="bottom"/>
          </w:tcPr>
          <w:p>
            <w:pPr>
              <w:pStyle w:val="TableContents"/>
              <w:spacing w:before="0" w:after="0"/>
              <w:ind w:left="900" w:right="0" w:hanging="225"/>
              <w:rPr/>
            </w:pPr>
            <w:r>
              <w:rPr/>
              <w:t>Total revenues</w:t>
            </w:r>
          </w:p>
        </w:tc>
        <w:tc>
          <w:tcPr>
            <w:tcW w:w="3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pPr>
            <w:r>
              <w:rPr/>
              <w:t>15,183</w:t>
            </w:r>
          </w:p>
        </w:tc>
        <w:tc>
          <w:tcPr>
            <w:tcW w:w="25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8,120</w:t>
            </w:r>
          </w:p>
        </w:tc>
        <w:tc>
          <w:tcPr>
            <w:tcW w:w="2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178,205</w:t>
            </w:r>
          </w:p>
        </w:tc>
        <w:tc>
          <w:tcPr>
            <w:tcW w:w="22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101,885</w:t>
            </w:r>
          </w:p>
        </w:tc>
        <w:tc>
          <w:tcPr>
            <w:tcW w:w="235" w:type="dxa"/>
            <w:tcBorders/>
            <w:shd w:fill="CCEEFF" w:val="clear"/>
            <w:vAlign w:val="bottom"/>
          </w:tcPr>
          <w:p>
            <w:pPr>
              <w:pStyle w:val="TableContents"/>
              <w:spacing w:before="0" w:after="283"/>
              <w:rPr/>
            </w:pPr>
            <w:r>
              <w:rPr/>
              <w:t> </w:t>
            </w:r>
          </w:p>
        </w:tc>
      </w:tr>
      <w:tr>
        <w:trPr/>
        <w:tc>
          <w:tcPr>
            <w:tcW w:w="3693" w:type="dxa"/>
            <w:tcBorders/>
            <w:shd w:fill="auto" w:val="clear"/>
            <w:vAlign w:val="bottom"/>
          </w:tcPr>
          <w:p>
            <w:pPr>
              <w:pStyle w:val="TableContents"/>
              <w:spacing w:before="0" w:after="0"/>
              <w:ind w:left="225" w:right="0" w:hanging="225"/>
              <w:rPr/>
            </w:pPr>
            <w:r>
              <w:rPr/>
              <w:t> </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3693" w:type="dxa"/>
            <w:tcBorders/>
            <w:shd w:fill="auto" w:val="clear"/>
            <w:vAlign w:val="bottom"/>
          </w:tcPr>
          <w:p>
            <w:pPr>
              <w:pStyle w:val="TableContents"/>
              <w:spacing w:before="0" w:after="0"/>
              <w:ind w:left="450" w:right="0" w:hanging="225"/>
              <w:rPr/>
            </w:pPr>
            <w:r>
              <w:rPr/>
              <w:t>Merchandise cost of goods sold</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pPr>
            <w:r>
              <w:rPr/>
              <w:t>3,767</w:t>
            </w:r>
          </w:p>
        </w:tc>
        <w:tc>
          <w:tcPr>
            <w:tcW w:w="25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1,961</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44,191</w:t>
            </w:r>
          </w:p>
        </w:tc>
        <w:tc>
          <w:tcPr>
            <w:tcW w:w="22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24,649</w:t>
            </w:r>
          </w:p>
        </w:tc>
        <w:tc>
          <w:tcPr>
            <w:tcW w:w="235" w:type="dxa"/>
            <w:tcBorders/>
            <w:shd w:fill="auto" w:val="clear"/>
            <w:vAlign w:val="bottom"/>
          </w:tcPr>
          <w:p>
            <w:pPr>
              <w:pStyle w:val="TableContents"/>
              <w:spacing w:before="0" w:after="283"/>
              <w:rPr/>
            </w:pPr>
            <w:r>
              <w:rPr/>
              <w:t> </w:t>
            </w:r>
          </w:p>
        </w:tc>
      </w:tr>
      <w:tr>
        <w:trPr/>
        <w:tc>
          <w:tcPr>
            <w:tcW w:w="3693" w:type="dxa"/>
            <w:tcBorders/>
            <w:shd w:fill="CCEEFF" w:val="clear"/>
            <w:vAlign w:val="bottom"/>
          </w:tcPr>
          <w:p>
            <w:pPr>
              <w:pStyle w:val="TableContents"/>
              <w:spacing w:before="0" w:after="0"/>
              <w:ind w:left="450" w:right="0" w:hanging="225"/>
              <w:rPr/>
            </w:pPr>
            <w:r>
              <w:rPr/>
              <w:t>Jewelry scrapping cost of goods sold</w:t>
            </w:r>
          </w:p>
        </w:tc>
        <w:tc>
          <w:tcPr>
            <w:tcW w:w="3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pPr>
            <w:r>
              <w:rPr/>
              <w:t>3,486</w:t>
            </w:r>
          </w:p>
        </w:tc>
        <w:tc>
          <w:tcPr>
            <w:tcW w:w="25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1,862</w:t>
            </w:r>
          </w:p>
        </w:tc>
        <w:tc>
          <w:tcPr>
            <w:tcW w:w="2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40,921</w:t>
            </w:r>
          </w:p>
        </w:tc>
        <w:tc>
          <w:tcPr>
            <w:tcW w:w="22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23,281</w:t>
            </w:r>
          </w:p>
        </w:tc>
        <w:tc>
          <w:tcPr>
            <w:tcW w:w="235" w:type="dxa"/>
            <w:tcBorders/>
            <w:shd w:fill="CCEEFF" w:val="clear"/>
            <w:vAlign w:val="bottom"/>
          </w:tcPr>
          <w:p>
            <w:pPr>
              <w:pStyle w:val="TableContents"/>
              <w:spacing w:before="0" w:after="283"/>
              <w:rPr/>
            </w:pPr>
            <w:r>
              <w:rPr/>
              <w:t> </w:t>
            </w:r>
          </w:p>
        </w:tc>
      </w:tr>
      <w:tr>
        <w:trPr/>
        <w:tc>
          <w:tcPr>
            <w:tcW w:w="3693" w:type="dxa"/>
            <w:tcBorders/>
            <w:shd w:fill="auto" w:val="clear"/>
            <w:vAlign w:val="center"/>
          </w:tcPr>
          <w:p>
            <w:pPr>
              <w:pStyle w:val="TableContents"/>
              <w:spacing w:before="0" w:after="0"/>
              <w:ind w:left="450" w:right="0" w:hanging="225"/>
              <w:rPr/>
            </w:pPr>
            <w:r>
              <w:rPr/>
              <w:t> </w:t>
            </w:r>
          </w:p>
        </w:tc>
        <w:tc>
          <w:tcPr>
            <w:tcW w:w="325" w:type="dxa"/>
            <w:tcBorders/>
            <w:shd w:fill="auto" w:val="clear"/>
            <w:vAlign w:val="center"/>
          </w:tcPr>
          <w:p>
            <w:pPr>
              <w:pStyle w:val="TableContents"/>
              <w:spacing w:before="0" w:after="283"/>
              <w:rPr/>
            </w:pPr>
            <w:r>
              <w:rPr/>
              <w:t> </w:t>
            </w:r>
          </w:p>
        </w:tc>
        <w:tc>
          <w:tcPr>
            <w:tcW w:w="11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4"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693" w:type="dxa"/>
            <w:tcBorders/>
            <w:shd w:fill="auto" w:val="clear"/>
            <w:vAlign w:val="bottom"/>
          </w:tcPr>
          <w:p>
            <w:pPr>
              <w:pStyle w:val="TableContents"/>
              <w:spacing w:before="0" w:after="0"/>
              <w:ind w:left="900" w:right="0" w:hanging="225"/>
              <w:rPr/>
            </w:pPr>
            <w:r>
              <w:rPr/>
              <w:t>Net revenues</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pPr>
            <w:r>
              <w:rPr/>
              <w:t>7,930</w:t>
            </w:r>
          </w:p>
        </w:tc>
        <w:tc>
          <w:tcPr>
            <w:tcW w:w="25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4,297</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93,093</w:t>
            </w:r>
          </w:p>
        </w:tc>
        <w:tc>
          <w:tcPr>
            <w:tcW w:w="22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53,955</w:t>
            </w:r>
          </w:p>
        </w:tc>
        <w:tc>
          <w:tcPr>
            <w:tcW w:w="235" w:type="dxa"/>
            <w:tcBorders/>
            <w:shd w:fill="auto" w:val="clear"/>
            <w:vAlign w:val="bottom"/>
          </w:tcPr>
          <w:p>
            <w:pPr>
              <w:pStyle w:val="TableContents"/>
              <w:spacing w:before="0" w:after="283"/>
              <w:rPr/>
            </w:pPr>
            <w:r>
              <w:rPr/>
              <w:t> </w:t>
            </w:r>
          </w:p>
        </w:tc>
      </w:tr>
      <w:tr>
        <w:trPr/>
        <w:tc>
          <w:tcPr>
            <w:tcW w:w="3693" w:type="dxa"/>
            <w:tcBorders/>
            <w:shd w:fill="auto" w:val="clear"/>
            <w:vAlign w:val="bottom"/>
          </w:tcPr>
          <w:p>
            <w:pPr>
              <w:pStyle w:val="TableContents"/>
              <w:spacing w:before="0" w:after="0"/>
              <w:ind w:left="225" w:right="0" w:hanging="225"/>
              <w:rPr/>
            </w:pPr>
            <w:r>
              <w:rPr/>
              <w:t> </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3693" w:type="dxa"/>
            <w:tcBorders/>
            <w:shd w:fill="CCEEFF" w:val="clear"/>
            <w:vAlign w:val="bottom"/>
          </w:tcPr>
          <w:p>
            <w:pPr>
              <w:pStyle w:val="TableContents"/>
              <w:spacing w:before="0" w:after="0"/>
              <w:ind w:left="450" w:right="0" w:hanging="225"/>
              <w:rPr/>
            </w:pPr>
            <w:r>
              <w:rPr/>
              <w:t>Operations expense</w:t>
            </w:r>
          </w:p>
        </w:tc>
        <w:tc>
          <w:tcPr>
            <w:tcW w:w="3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pPr>
            <w:r>
              <w:rPr/>
              <w:t>5,406</w:t>
            </w:r>
          </w:p>
        </w:tc>
        <w:tc>
          <w:tcPr>
            <w:tcW w:w="25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2,999</w:t>
            </w:r>
          </w:p>
        </w:tc>
        <w:tc>
          <w:tcPr>
            <w:tcW w:w="2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63,469</w:t>
            </w:r>
          </w:p>
        </w:tc>
        <w:tc>
          <w:tcPr>
            <w:tcW w:w="22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37,707</w:t>
            </w:r>
          </w:p>
        </w:tc>
        <w:tc>
          <w:tcPr>
            <w:tcW w:w="235" w:type="dxa"/>
            <w:tcBorders/>
            <w:shd w:fill="CCEEFF" w:val="clear"/>
            <w:vAlign w:val="bottom"/>
          </w:tcPr>
          <w:p>
            <w:pPr>
              <w:pStyle w:val="TableContents"/>
              <w:spacing w:before="0" w:after="283"/>
              <w:rPr/>
            </w:pPr>
            <w:r>
              <w:rPr/>
              <w:t> </w:t>
            </w:r>
          </w:p>
        </w:tc>
      </w:tr>
      <w:tr>
        <w:trPr/>
        <w:tc>
          <w:tcPr>
            <w:tcW w:w="3693" w:type="dxa"/>
            <w:tcBorders/>
            <w:shd w:fill="auto" w:val="clear"/>
            <w:vAlign w:val="center"/>
          </w:tcPr>
          <w:p>
            <w:pPr>
              <w:pStyle w:val="TableContents"/>
              <w:spacing w:before="0" w:after="0"/>
              <w:ind w:left="450" w:right="0" w:hanging="225"/>
              <w:rPr/>
            </w:pPr>
            <w:r>
              <w:rPr/>
              <w:t> </w:t>
            </w:r>
          </w:p>
        </w:tc>
        <w:tc>
          <w:tcPr>
            <w:tcW w:w="325" w:type="dxa"/>
            <w:tcBorders/>
            <w:shd w:fill="auto" w:val="clear"/>
            <w:vAlign w:val="center"/>
          </w:tcPr>
          <w:p>
            <w:pPr>
              <w:pStyle w:val="TableContents"/>
              <w:spacing w:before="0" w:after="283"/>
              <w:rPr/>
            </w:pPr>
            <w:r>
              <w:rPr/>
              <w:t> </w:t>
            </w:r>
          </w:p>
        </w:tc>
        <w:tc>
          <w:tcPr>
            <w:tcW w:w="11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4"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693" w:type="dxa"/>
            <w:tcBorders/>
            <w:shd w:fill="auto" w:val="clear"/>
            <w:vAlign w:val="bottom"/>
          </w:tcPr>
          <w:p>
            <w:pPr>
              <w:pStyle w:val="TableContents"/>
              <w:spacing w:before="0" w:after="0"/>
              <w:ind w:left="900" w:right="0" w:hanging="225"/>
              <w:rPr/>
            </w:pPr>
            <w:r>
              <w:rPr/>
              <w:t>Store operating income</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922" w:type="dxa"/>
            <w:tcBorders/>
            <w:shd w:fill="auto" w:val="clear"/>
            <w:vAlign w:val="bottom"/>
          </w:tcPr>
          <w:p>
            <w:pPr>
              <w:pStyle w:val="TableContents"/>
              <w:spacing w:before="0" w:after="283"/>
              <w:jc w:val="right"/>
              <w:rPr/>
            </w:pPr>
            <w:r>
              <w:rPr/>
              <w:t>2,524</w:t>
            </w:r>
          </w:p>
        </w:tc>
        <w:tc>
          <w:tcPr>
            <w:tcW w:w="25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1,298</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11" w:type="dxa"/>
            <w:tcBorders/>
            <w:shd w:fill="auto" w:val="clear"/>
            <w:vAlign w:val="bottom"/>
          </w:tcPr>
          <w:p>
            <w:pPr>
              <w:pStyle w:val="TableContents"/>
              <w:spacing w:before="0" w:after="283"/>
              <w:jc w:val="right"/>
              <w:rPr/>
            </w:pPr>
            <w:r>
              <w:rPr/>
              <w:t>29,624</w:t>
            </w:r>
          </w:p>
        </w:tc>
        <w:tc>
          <w:tcPr>
            <w:tcW w:w="22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11" w:type="dxa"/>
            <w:tcBorders/>
            <w:shd w:fill="auto" w:val="clear"/>
            <w:vAlign w:val="bottom"/>
          </w:tcPr>
          <w:p>
            <w:pPr>
              <w:pStyle w:val="TableContents"/>
              <w:spacing w:before="0" w:after="283"/>
              <w:jc w:val="right"/>
              <w:rPr/>
            </w:pPr>
            <w:r>
              <w:rPr/>
              <w:t>16,248</w:t>
            </w:r>
          </w:p>
        </w:tc>
        <w:tc>
          <w:tcPr>
            <w:tcW w:w="235" w:type="dxa"/>
            <w:tcBorders/>
            <w:shd w:fill="auto" w:val="clear"/>
            <w:vAlign w:val="bottom"/>
          </w:tcPr>
          <w:p>
            <w:pPr>
              <w:pStyle w:val="TableContents"/>
              <w:spacing w:before="0" w:after="283"/>
              <w:rPr/>
            </w:pPr>
            <w:r>
              <w:rPr/>
              <w:t> </w:t>
            </w:r>
          </w:p>
        </w:tc>
      </w:tr>
      <w:tr>
        <w:trPr/>
        <w:tc>
          <w:tcPr>
            <w:tcW w:w="3693" w:type="dxa"/>
            <w:tcBorders/>
            <w:shd w:fill="auto" w:val="clear"/>
            <w:vAlign w:val="center"/>
          </w:tcPr>
          <w:p>
            <w:pPr>
              <w:pStyle w:val="TableContents"/>
              <w:spacing w:before="0" w:after="0"/>
              <w:ind w:left="450" w:right="0" w:hanging="225"/>
              <w:rPr/>
            </w:pPr>
            <w:r>
              <w:rPr/>
              <w:t> </w:t>
            </w:r>
          </w:p>
        </w:tc>
        <w:tc>
          <w:tcPr>
            <w:tcW w:w="325" w:type="dxa"/>
            <w:tcBorders/>
            <w:shd w:fill="auto" w:val="clear"/>
            <w:vAlign w:val="center"/>
          </w:tcPr>
          <w:p>
            <w:pPr>
              <w:pStyle w:val="TableContents"/>
              <w:spacing w:before="0" w:after="283"/>
              <w:rPr/>
            </w:pPr>
            <w:r>
              <w:rPr/>
              <w:t> </w:t>
            </w:r>
          </w:p>
        </w:tc>
        <w:tc>
          <w:tcPr>
            <w:tcW w:w="11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 </w:t>
            </w:r>
          </w:p>
        </w:tc>
        <w:tc>
          <w:tcPr>
            <w:tcW w:w="9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4"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693" w:type="dxa"/>
            <w:tcBorders/>
            <w:shd w:fill="auto" w:val="clear"/>
            <w:vAlign w:val="bottom"/>
          </w:tcPr>
          <w:p>
            <w:pPr>
              <w:pStyle w:val="TableContents"/>
              <w:spacing w:before="0" w:after="0"/>
              <w:ind w:left="225" w:right="0" w:hanging="225"/>
              <w:rPr/>
            </w:pPr>
            <w:r>
              <w:rPr/>
              <w:t> </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3693" w:type="dxa"/>
            <w:tcBorders/>
            <w:shd w:fill="CCEEFF" w:val="clear"/>
            <w:vAlign w:val="bottom"/>
          </w:tcPr>
          <w:p>
            <w:pPr>
              <w:pStyle w:val="TableContents"/>
              <w:spacing w:before="0" w:after="0"/>
              <w:ind w:left="225" w:right="0" w:hanging="225"/>
              <w:rPr/>
            </w:pPr>
            <w:r>
              <w:rPr/>
              <w:t>Other Data:</w:t>
            </w:r>
          </w:p>
        </w:tc>
        <w:tc>
          <w:tcPr>
            <w:tcW w:w="3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r>
      <w:tr>
        <w:trPr/>
        <w:tc>
          <w:tcPr>
            <w:tcW w:w="3693" w:type="dxa"/>
            <w:tcBorders/>
            <w:shd w:fill="auto" w:val="clear"/>
            <w:vAlign w:val="bottom"/>
          </w:tcPr>
          <w:p>
            <w:pPr>
              <w:pStyle w:val="TableContents"/>
              <w:spacing w:before="0" w:after="0"/>
              <w:ind w:left="450" w:right="0" w:hanging="225"/>
              <w:rPr/>
            </w:pPr>
            <w:r>
              <w:rPr/>
              <w:t>Gross margin on merchandise sales</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283"/>
              <w:jc w:val="right"/>
              <w:rPr/>
            </w:pPr>
            <w:r>
              <w:rPr/>
              <w:t>41.1</w:t>
            </w:r>
          </w:p>
        </w:tc>
        <w:tc>
          <w:tcPr>
            <w:tcW w:w="258" w:type="dxa"/>
            <w:tcBorders/>
            <w:shd w:fill="auto" w:val="clear"/>
            <w:vAlign w:val="bottom"/>
          </w:tcPr>
          <w:p>
            <w:pPr>
              <w:pStyle w:val="TableContents"/>
              <w:spacing w:before="0" w:after="283"/>
              <w:rPr/>
            </w:pPr>
            <w:r>
              <w:rPr/>
              <w:t>%</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11" w:type="dxa"/>
            <w:tcBorders/>
            <w:shd w:fill="auto" w:val="clear"/>
            <w:vAlign w:val="bottom"/>
          </w:tcPr>
          <w:p>
            <w:pPr>
              <w:pStyle w:val="TableContents"/>
              <w:spacing w:before="0" w:after="283"/>
              <w:jc w:val="right"/>
              <w:rPr/>
            </w:pPr>
            <w:r>
              <w:rPr/>
              <w:t>44.4</w:t>
            </w:r>
          </w:p>
        </w:tc>
        <w:tc>
          <w:tcPr>
            <w:tcW w:w="225" w:type="dxa"/>
            <w:tcBorders/>
            <w:shd w:fill="auto" w:val="clear"/>
            <w:vAlign w:val="bottom"/>
          </w:tcPr>
          <w:p>
            <w:pPr>
              <w:pStyle w:val="TableContents"/>
              <w:spacing w:before="0" w:after="283"/>
              <w:rPr/>
            </w:pPr>
            <w:r>
              <w:rPr/>
              <w:t>%</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11" w:type="dxa"/>
            <w:tcBorders/>
            <w:shd w:fill="auto" w:val="clear"/>
            <w:vAlign w:val="bottom"/>
          </w:tcPr>
          <w:p>
            <w:pPr>
              <w:pStyle w:val="TableContents"/>
              <w:spacing w:before="0" w:after="283"/>
              <w:jc w:val="right"/>
              <w:rPr/>
            </w:pPr>
            <w:r>
              <w:rPr/>
              <w:t>41.1</w:t>
            </w:r>
          </w:p>
        </w:tc>
        <w:tc>
          <w:tcPr>
            <w:tcW w:w="224" w:type="dxa"/>
            <w:tcBorders/>
            <w:shd w:fill="auto" w:val="clear"/>
            <w:vAlign w:val="bottom"/>
          </w:tcPr>
          <w:p>
            <w:pPr>
              <w:pStyle w:val="TableContents"/>
              <w:spacing w:before="0" w:after="283"/>
              <w:rPr/>
            </w:pPr>
            <w:r>
              <w:rPr/>
              <w:t>%</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11" w:type="dxa"/>
            <w:tcBorders/>
            <w:shd w:fill="auto" w:val="clear"/>
            <w:vAlign w:val="bottom"/>
          </w:tcPr>
          <w:p>
            <w:pPr>
              <w:pStyle w:val="TableContents"/>
              <w:spacing w:before="0" w:after="283"/>
              <w:jc w:val="right"/>
              <w:rPr/>
            </w:pPr>
            <w:r>
              <w:rPr/>
              <w:t>44.4</w:t>
            </w:r>
          </w:p>
        </w:tc>
        <w:tc>
          <w:tcPr>
            <w:tcW w:w="235" w:type="dxa"/>
            <w:tcBorders/>
            <w:shd w:fill="auto" w:val="clear"/>
            <w:vAlign w:val="bottom"/>
          </w:tcPr>
          <w:p>
            <w:pPr>
              <w:pStyle w:val="TableContents"/>
              <w:spacing w:before="0" w:after="283"/>
              <w:rPr/>
            </w:pPr>
            <w:r>
              <w:rPr/>
              <w:t>%</w:t>
            </w:r>
          </w:p>
        </w:tc>
      </w:tr>
      <w:tr>
        <w:trPr/>
        <w:tc>
          <w:tcPr>
            <w:tcW w:w="3693" w:type="dxa"/>
            <w:tcBorders/>
            <w:shd w:fill="CCEEFF" w:val="clear"/>
            <w:vAlign w:val="bottom"/>
          </w:tcPr>
          <w:p>
            <w:pPr>
              <w:pStyle w:val="TableContents"/>
              <w:spacing w:before="0" w:after="0"/>
              <w:ind w:left="450" w:right="0" w:hanging="225"/>
              <w:rPr/>
            </w:pPr>
            <w:r>
              <w:rPr/>
              <w:t>Gross margin on jewelry scrapping sales</w:t>
            </w:r>
          </w:p>
        </w:tc>
        <w:tc>
          <w:tcPr>
            <w:tcW w:w="3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283"/>
              <w:jc w:val="right"/>
              <w:rPr/>
            </w:pPr>
            <w:r>
              <w:rPr/>
              <w:t>18.1</w:t>
            </w:r>
          </w:p>
        </w:tc>
        <w:tc>
          <w:tcPr>
            <w:tcW w:w="258" w:type="dxa"/>
            <w:tcBorders/>
            <w:shd w:fill="CCEEFF" w:val="clear"/>
            <w:vAlign w:val="bottom"/>
          </w:tcPr>
          <w:p>
            <w:pPr>
              <w:pStyle w:val="TableContents"/>
              <w:spacing w:before="0" w:after="283"/>
              <w:rPr/>
            </w:pPr>
            <w:r>
              <w:rPr/>
              <w:t>%</w:t>
            </w:r>
          </w:p>
        </w:tc>
        <w:tc>
          <w:tcPr>
            <w:tcW w:w="33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11" w:type="dxa"/>
            <w:tcBorders/>
            <w:shd w:fill="CCEEFF" w:val="clear"/>
            <w:vAlign w:val="bottom"/>
          </w:tcPr>
          <w:p>
            <w:pPr>
              <w:pStyle w:val="TableContents"/>
              <w:spacing w:before="0" w:after="283"/>
              <w:jc w:val="right"/>
              <w:rPr/>
            </w:pPr>
            <w:r>
              <w:rPr/>
              <w:t>14.6</w:t>
            </w:r>
          </w:p>
        </w:tc>
        <w:tc>
          <w:tcPr>
            <w:tcW w:w="225" w:type="dxa"/>
            <w:tcBorders/>
            <w:shd w:fill="CCEEFF" w:val="clear"/>
            <w:vAlign w:val="bottom"/>
          </w:tcPr>
          <w:p>
            <w:pPr>
              <w:pStyle w:val="TableContents"/>
              <w:spacing w:before="0" w:after="283"/>
              <w:rPr/>
            </w:pPr>
            <w:r>
              <w:rPr/>
              <w:t>%</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18.1</w:t>
            </w:r>
          </w:p>
        </w:tc>
        <w:tc>
          <w:tcPr>
            <w:tcW w:w="224" w:type="dxa"/>
            <w:tcBorders/>
            <w:shd w:fill="CCEEFF" w:val="clear"/>
            <w:vAlign w:val="bottom"/>
          </w:tcPr>
          <w:p>
            <w:pPr>
              <w:pStyle w:val="TableContents"/>
              <w:spacing w:before="0" w:after="283"/>
              <w:rPr/>
            </w:pPr>
            <w:r>
              <w:rPr/>
              <w:t>%</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14.6</w:t>
            </w:r>
          </w:p>
        </w:tc>
        <w:tc>
          <w:tcPr>
            <w:tcW w:w="235" w:type="dxa"/>
            <w:tcBorders/>
            <w:shd w:fill="CCEEFF" w:val="clear"/>
            <w:vAlign w:val="bottom"/>
          </w:tcPr>
          <w:p>
            <w:pPr>
              <w:pStyle w:val="TableContents"/>
              <w:spacing w:before="0" w:after="283"/>
              <w:rPr/>
            </w:pPr>
            <w:r>
              <w:rPr/>
              <w:t>%</w:t>
            </w:r>
          </w:p>
        </w:tc>
      </w:tr>
      <w:tr>
        <w:trPr/>
        <w:tc>
          <w:tcPr>
            <w:tcW w:w="3693" w:type="dxa"/>
            <w:tcBorders/>
            <w:shd w:fill="auto" w:val="clear"/>
            <w:vAlign w:val="bottom"/>
          </w:tcPr>
          <w:p>
            <w:pPr>
              <w:pStyle w:val="TableContents"/>
              <w:spacing w:before="0" w:after="0"/>
              <w:ind w:left="450" w:right="0" w:hanging="225"/>
              <w:rPr/>
            </w:pPr>
            <w:r>
              <w:rPr/>
              <w:t>Gross margin on total sales</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283"/>
              <w:jc w:val="right"/>
              <w:rPr/>
            </w:pPr>
            <w:r>
              <w:rPr/>
              <w:t>31.9</w:t>
            </w:r>
          </w:p>
        </w:tc>
        <w:tc>
          <w:tcPr>
            <w:tcW w:w="258" w:type="dxa"/>
            <w:tcBorders/>
            <w:shd w:fill="auto" w:val="clear"/>
            <w:vAlign w:val="bottom"/>
          </w:tcPr>
          <w:p>
            <w:pPr>
              <w:pStyle w:val="TableContents"/>
              <w:spacing w:before="0" w:after="283"/>
              <w:rPr/>
            </w:pPr>
            <w:r>
              <w:rPr/>
              <w:t>%</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11" w:type="dxa"/>
            <w:tcBorders/>
            <w:shd w:fill="auto" w:val="clear"/>
            <w:vAlign w:val="bottom"/>
          </w:tcPr>
          <w:p>
            <w:pPr>
              <w:pStyle w:val="TableContents"/>
              <w:spacing w:before="0" w:after="283"/>
              <w:jc w:val="right"/>
              <w:rPr/>
            </w:pPr>
            <w:r>
              <w:rPr/>
              <w:t>33.0</w:t>
            </w:r>
          </w:p>
        </w:tc>
        <w:tc>
          <w:tcPr>
            <w:tcW w:w="225" w:type="dxa"/>
            <w:tcBorders/>
            <w:shd w:fill="auto" w:val="clear"/>
            <w:vAlign w:val="bottom"/>
          </w:tcPr>
          <w:p>
            <w:pPr>
              <w:pStyle w:val="TableContents"/>
              <w:spacing w:before="0" w:after="283"/>
              <w:rPr/>
            </w:pPr>
            <w:r>
              <w:rPr/>
              <w:t>%</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11" w:type="dxa"/>
            <w:tcBorders/>
            <w:shd w:fill="auto" w:val="clear"/>
            <w:vAlign w:val="bottom"/>
          </w:tcPr>
          <w:p>
            <w:pPr>
              <w:pStyle w:val="TableContents"/>
              <w:spacing w:before="0" w:after="283"/>
              <w:jc w:val="right"/>
              <w:rPr/>
            </w:pPr>
            <w:r>
              <w:rPr/>
              <w:t>31.9</w:t>
            </w:r>
          </w:p>
        </w:tc>
        <w:tc>
          <w:tcPr>
            <w:tcW w:w="224" w:type="dxa"/>
            <w:tcBorders/>
            <w:shd w:fill="auto" w:val="clear"/>
            <w:vAlign w:val="bottom"/>
          </w:tcPr>
          <w:p>
            <w:pPr>
              <w:pStyle w:val="TableContents"/>
              <w:spacing w:before="0" w:after="283"/>
              <w:rPr/>
            </w:pPr>
            <w:r>
              <w:rPr/>
              <w:t>%</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11" w:type="dxa"/>
            <w:tcBorders/>
            <w:shd w:fill="auto" w:val="clear"/>
            <w:vAlign w:val="bottom"/>
          </w:tcPr>
          <w:p>
            <w:pPr>
              <w:pStyle w:val="TableContents"/>
              <w:spacing w:before="0" w:after="283"/>
              <w:jc w:val="right"/>
              <w:rPr/>
            </w:pPr>
            <w:r>
              <w:rPr/>
              <w:t>33.0</w:t>
            </w:r>
          </w:p>
        </w:tc>
        <w:tc>
          <w:tcPr>
            <w:tcW w:w="235" w:type="dxa"/>
            <w:tcBorders/>
            <w:shd w:fill="auto" w:val="clear"/>
            <w:vAlign w:val="bottom"/>
          </w:tcPr>
          <w:p>
            <w:pPr>
              <w:pStyle w:val="TableContents"/>
              <w:spacing w:before="0" w:after="283"/>
              <w:rPr/>
            </w:pPr>
            <w:r>
              <w:rPr/>
              <w:t>%</w:t>
            </w:r>
          </w:p>
        </w:tc>
      </w:tr>
      <w:tr>
        <w:trPr/>
        <w:tc>
          <w:tcPr>
            <w:tcW w:w="3693" w:type="dxa"/>
            <w:tcBorders/>
            <w:shd w:fill="CCEEFF" w:val="clear"/>
            <w:vAlign w:val="bottom"/>
          </w:tcPr>
          <w:p>
            <w:pPr>
              <w:pStyle w:val="TableContents"/>
              <w:spacing w:before="0" w:after="0"/>
              <w:ind w:left="450" w:right="0" w:hanging="225"/>
              <w:rPr/>
            </w:pPr>
            <w:r>
              <w:rPr/>
              <w:t>Average pawn loan balance per pawn store at quarter-end</w:t>
            </w:r>
          </w:p>
        </w:tc>
        <w:tc>
          <w:tcPr>
            <w:tcW w:w="3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922" w:type="dxa"/>
            <w:tcBorders/>
            <w:shd w:fill="CCEEFF" w:val="clear"/>
            <w:vAlign w:val="bottom"/>
          </w:tcPr>
          <w:p>
            <w:pPr>
              <w:pStyle w:val="TableContents"/>
              <w:spacing w:before="0" w:after="283"/>
              <w:jc w:val="right"/>
              <w:rPr/>
            </w:pPr>
            <w:r>
              <w:rPr/>
              <w:t>63</w:t>
            </w:r>
          </w:p>
        </w:tc>
        <w:tc>
          <w:tcPr>
            <w:tcW w:w="25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54</w:t>
            </w:r>
          </w:p>
        </w:tc>
        <w:tc>
          <w:tcPr>
            <w:tcW w:w="2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11" w:type="dxa"/>
            <w:tcBorders/>
            <w:shd w:fill="CCEEFF" w:val="clear"/>
            <w:vAlign w:val="bottom"/>
          </w:tcPr>
          <w:p>
            <w:pPr>
              <w:pStyle w:val="TableContents"/>
              <w:spacing w:before="0" w:after="283"/>
              <w:jc w:val="right"/>
              <w:rPr/>
            </w:pPr>
            <w:r>
              <w:rPr/>
              <w:t>747</w:t>
            </w:r>
          </w:p>
        </w:tc>
        <w:tc>
          <w:tcPr>
            <w:tcW w:w="22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11" w:type="dxa"/>
            <w:tcBorders/>
            <w:shd w:fill="CCEEFF" w:val="clear"/>
            <w:vAlign w:val="bottom"/>
          </w:tcPr>
          <w:p>
            <w:pPr>
              <w:pStyle w:val="TableContents"/>
              <w:spacing w:before="0" w:after="283"/>
              <w:jc w:val="right"/>
              <w:rPr/>
            </w:pPr>
            <w:r>
              <w:rPr/>
              <w:t>689</w:t>
            </w:r>
          </w:p>
        </w:tc>
        <w:tc>
          <w:tcPr>
            <w:tcW w:w="235" w:type="dxa"/>
            <w:tcBorders/>
            <w:shd w:fill="CCEEFF" w:val="clear"/>
            <w:vAlign w:val="bottom"/>
          </w:tcPr>
          <w:p>
            <w:pPr>
              <w:pStyle w:val="TableContents"/>
              <w:spacing w:before="0" w:after="283"/>
              <w:rPr/>
            </w:pPr>
            <w:r>
              <w:rPr/>
              <w:t> </w:t>
            </w:r>
          </w:p>
        </w:tc>
      </w:tr>
      <w:tr>
        <w:trPr/>
        <w:tc>
          <w:tcPr>
            <w:tcW w:w="3693" w:type="dxa"/>
            <w:tcBorders/>
            <w:shd w:fill="auto" w:val="clear"/>
            <w:vAlign w:val="bottom"/>
          </w:tcPr>
          <w:p>
            <w:pPr>
              <w:pStyle w:val="TableContents"/>
              <w:spacing w:before="0" w:after="0"/>
              <w:ind w:left="450" w:right="0" w:hanging="225"/>
              <w:rPr/>
            </w:pPr>
            <w:r>
              <w:rPr/>
              <w:t>Average yield on pawn loan portfolio (a)</w:t>
            </w:r>
          </w:p>
        </w:tc>
        <w:tc>
          <w:tcPr>
            <w:tcW w:w="3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283"/>
              <w:jc w:val="right"/>
              <w:rPr/>
            </w:pPr>
            <w:r>
              <w:rPr/>
              <w:t>187</w:t>
            </w:r>
          </w:p>
        </w:tc>
        <w:tc>
          <w:tcPr>
            <w:tcW w:w="258" w:type="dxa"/>
            <w:tcBorders/>
            <w:shd w:fill="auto" w:val="clear"/>
            <w:vAlign w:val="bottom"/>
          </w:tcPr>
          <w:p>
            <w:pPr>
              <w:pStyle w:val="TableContents"/>
              <w:spacing w:before="0" w:after="283"/>
              <w:rPr/>
            </w:pPr>
            <w:r>
              <w:rPr/>
              <w:t>%</w:t>
            </w:r>
          </w:p>
        </w:tc>
        <w:tc>
          <w:tcPr>
            <w:tcW w:w="33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11" w:type="dxa"/>
            <w:tcBorders/>
            <w:shd w:fill="auto" w:val="clear"/>
            <w:vAlign w:val="bottom"/>
          </w:tcPr>
          <w:p>
            <w:pPr>
              <w:pStyle w:val="TableContents"/>
              <w:spacing w:before="0" w:after="283"/>
              <w:jc w:val="right"/>
              <w:rPr/>
            </w:pPr>
            <w:r>
              <w:rPr/>
              <w:t>190</w:t>
            </w:r>
          </w:p>
        </w:tc>
        <w:tc>
          <w:tcPr>
            <w:tcW w:w="225" w:type="dxa"/>
            <w:tcBorders/>
            <w:shd w:fill="auto" w:val="clear"/>
            <w:vAlign w:val="bottom"/>
          </w:tcPr>
          <w:p>
            <w:pPr>
              <w:pStyle w:val="TableContents"/>
              <w:spacing w:before="0" w:after="283"/>
              <w:rPr/>
            </w:pPr>
            <w:r>
              <w:rPr/>
              <w:t>%</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11" w:type="dxa"/>
            <w:tcBorders/>
            <w:shd w:fill="auto" w:val="clear"/>
            <w:vAlign w:val="bottom"/>
          </w:tcPr>
          <w:p>
            <w:pPr>
              <w:pStyle w:val="TableContents"/>
              <w:spacing w:before="0" w:after="283"/>
              <w:jc w:val="right"/>
              <w:rPr/>
            </w:pPr>
            <w:r>
              <w:rPr/>
              <w:t>187</w:t>
            </w:r>
          </w:p>
        </w:tc>
        <w:tc>
          <w:tcPr>
            <w:tcW w:w="224" w:type="dxa"/>
            <w:tcBorders/>
            <w:shd w:fill="auto" w:val="clear"/>
            <w:vAlign w:val="bottom"/>
          </w:tcPr>
          <w:p>
            <w:pPr>
              <w:pStyle w:val="TableContents"/>
              <w:spacing w:before="0" w:after="283"/>
              <w:rPr/>
            </w:pPr>
            <w:r>
              <w:rPr/>
              <w:t>%</w:t>
            </w:r>
          </w:p>
        </w:tc>
        <w:tc>
          <w:tcPr>
            <w:tcW w:w="3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11" w:type="dxa"/>
            <w:tcBorders/>
            <w:shd w:fill="auto" w:val="clear"/>
            <w:vAlign w:val="bottom"/>
          </w:tcPr>
          <w:p>
            <w:pPr>
              <w:pStyle w:val="TableContents"/>
              <w:spacing w:before="0" w:after="283"/>
              <w:jc w:val="right"/>
              <w:rPr/>
            </w:pPr>
            <w:r>
              <w:rPr/>
              <w:t>190</w:t>
            </w:r>
          </w:p>
        </w:tc>
        <w:tc>
          <w:tcPr>
            <w:tcW w:w="235" w:type="dxa"/>
            <w:tcBorders/>
            <w:shd w:fill="auto" w:val="clear"/>
            <w:vAlign w:val="bottom"/>
          </w:tcPr>
          <w:p>
            <w:pPr>
              <w:pStyle w:val="TableContents"/>
              <w:spacing w:before="0" w:after="283"/>
              <w:rPr/>
            </w:pPr>
            <w:r>
              <w:rPr/>
              <w:t>%</w:t>
            </w:r>
          </w:p>
        </w:tc>
      </w:tr>
      <w:tr>
        <w:trPr/>
        <w:tc>
          <w:tcPr>
            <w:tcW w:w="3693" w:type="dxa"/>
            <w:tcBorders/>
            <w:shd w:fill="CCEEFF" w:val="clear"/>
            <w:vAlign w:val="bottom"/>
          </w:tcPr>
          <w:p>
            <w:pPr>
              <w:pStyle w:val="TableContents"/>
              <w:spacing w:before="0" w:after="0"/>
              <w:ind w:left="450" w:right="0" w:hanging="225"/>
              <w:rPr/>
            </w:pPr>
            <w:r>
              <w:rPr/>
              <w:t>Pawn loan redemption rate</w:t>
            </w:r>
          </w:p>
        </w:tc>
        <w:tc>
          <w:tcPr>
            <w:tcW w:w="3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283"/>
              <w:jc w:val="right"/>
              <w:rPr/>
            </w:pPr>
            <w:r>
              <w:rPr/>
              <w:t>73</w:t>
            </w:r>
          </w:p>
        </w:tc>
        <w:tc>
          <w:tcPr>
            <w:tcW w:w="258" w:type="dxa"/>
            <w:tcBorders/>
            <w:shd w:fill="CCEEFF" w:val="clear"/>
            <w:vAlign w:val="bottom"/>
          </w:tcPr>
          <w:p>
            <w:pPr>
              <w:pStyle w:val="TableContents"/>
              <w:spacing w:before="0" w:after="283"/>
              <w:rPr/>
            </w:pPr>
            <w:r>
              <w:rPr/>
              <w:t>%</w:t>
            </w:r>
          </w:p>
        </w:tc>
        <w:tc>
          <w:tcPr>
            <w:tcW w:w="33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11" w:type="dxa"/>
            <w:tcBorders/>
            <w:shd w:fill="CCEEFF" w:val="clear"/>
            <w:vAlign w:val="bottom"/>
          </w:tcPr>
          <w:p>
            <w:pPr>
              <w:pStyle w:val="TableContents"/>
              <w:spacing w:before="0" w:after="283"/>
              <w:jc w:val="right"/>
              <w:rPr/>
            </w:pPr>
            <w:r>
              <w:rPr/>
              <w:t>73</w:t>
            </w:r>
          </w:p>
        </w:tc>
        <w:tc>
          <w:tcPr>
            <w:tcW w:w="225" w:type="dxa"/>
            <w:tcBorders/>
            <w:shd w:fill="CCEEFF" w:val="clear"/>
            <w:vAlign w:val="bottom"/>
          </w:tcPr>
          <w:p>
            <w:pPr>
              <w:pStyle w:val="TableContents"/>
              <w:spacing w:before="0" w:after="283"/>
              <w:rPr/>
            </w:pPr>
            <w:r>
              <w:rPr/>
              <w:t>%</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73</w:t>
            </w:r>
          </w:p>
        </w:tc>
        <w:tc>
          <w:tcPr>
            <w:tcW w:w="224" w:type="dxa"/>
            <w:tcBorders/>
            <w:shd w:fill="CCEEFF" w:val="clear"/>
            <w:vAlign w:val="bottom"/>
          </w:tcPr>
          <w:p>
            <w:pPr>
              <w:pStyle w:val="TableContents"/>
              <w:spacing w:before="0" w:after="283"/>
              <w:rPr/>
            </w:pPr>
            <w:r>
              <w:rPr/>
              <w:t>%</w:t>
            </w:r>
          </w:p>
        </w:tc>
        <w:tc>
          <w:tcPr>
            <w:tcW w:w="3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73.0</w:t>
            </w:r>
          </w:p>
        </w:tc>
        <w:tc>
          <w:tcPr>
            <w:tcW w:w="235"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revenues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average exchange rate used to translate Empeño Fácils current quarter results from Mexican pesos to U.S. dollars was 7% stronger than in the prior year quarter, affecting all revenue and expense items. Store operating income improved 94% in the current quarter in dollars and 82% in peso terms. The 85% increase in net revenues was partially offset by higher operating costs from new stores that we expect will be a drag on earnings until they become profitable in their second year of operation. Approximately 36% of the stores open at June 30, 2011 had been open less than a year, and we opened 8 new stores in the current quarter.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total revenues increased $7.1 million, or 87% in the current quarter to $15.2 million. Same store total revenues increased $2.6 million or 32%, and new stores contributed $4.5 million. The overall increase in total revenues was comprised of a $5.0 million increase in merchandise and jewelry scrapping sales and a $2.1 million improvement in pawn service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pawn service charge revenues increased $2.1 million, or 88% in the current quarter to $4.5 million. Same store pawn service charges increased approximately $1.0 million, or 43% and new stores contributed $1.1 million. The same store increase was due primarily to an increase in average loan balance during the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merchandise gross profit increased $1.1 million from the prior year quarter to $2.6 million. This was due to a $1.0 million, or 29% same store sales increase and $1.9 million in sales from new stores, partially offset by a 3.3 percentage point decrease in gross margins to 41.1%.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gross profit on jewelry scrapping sales increased $0.5 million from the prior year quarter to $0.8 million. Jewelry scrapping revenues increased $2.1 million due to an increase in volume and the sales proceeds per gram. Margins improved 3.5 percentage points to 18.1%. The significant volume increase is due primarily to new store openings and the continuing maturation of stores opened in the prior year. Increased purchases from customers in our jewelry-only pawn stores contributed to the margin improvement.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$5.4 million (68% of net revenues) in the current quarter from $3.0 million (70% of net revenues) in the prior year quarter. The dollar increase in expense was primarily due to new stores. We expect continued percentage improvements in future periods as we continue to build a larger base of maturing stores to support our new store growth.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$3.6 million greater net revenues were partially offset by the $2.4 million higher operations expense, resulting in a $1.2 million increase in store operating income from the Empeño Fácil segment. Empeño Fácil comprised 4% of consolidated store operating income in the current quarter compared to 3% in the prior year quarter.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6022"/>
        <w:gridCol w:w="391"/>
        <w:gridCol w:w="237"/>
        <w:gridCol w:w="1164"/>
        <w:gridCol w:w="327"/>
        <w:gridCol w:w="415"/>
        <w:gridCol w:w="237"/>
        <w:gridCol w:w="1167"/>
        <w:gridCol w:w="245"/>
      </w:tblGrid>
      <w:tr>
        <w:trPr/>
        <w:tc>
          <w:tcPr>
            <w:tcW w:w="602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547"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June 30,</w:t>
            </w:r>
          </w:p>
        </w:tc>
        <w:tc>
          <w:tcPr>
            <w:tcW w:w="245" w:type="dxa"/>
            <w:tcBorders/>
            <w:shd w:fill="auto"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4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40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5" w:type="dxa"/>
            <w:tcBorders/>
            <w:shd w:fill="auto"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547" w:type="dxa"/>
            <w:gridSpan w:val="6"/>
            <w:tcBorders/>
            <w:shd w:fill="auto" w:val="clear"/>
            <w:vAlign w:val="bottom"/>
          </w:tcPr>
          <w:p>
            <w:pPr>
              <w:pStyle w:val="TableContents"/>
              <w:spacing w:before="0" w:after="283"/>
              <w:jc w:val="center"/>
              <w:rPr>
                <w:i/>
              </w:rPr>
            </w:pPr>
            <w:r>
              <w:rPr>
                <w:i/>
              </w:rPr>
              <w:t>(Dollars in thousands)</w:t>
            </w:r>
          </w:p>
        </w:tc>
        <w:tc>
          <w:tcPr>
            <w:tcW w:w="245" w:type="dxa"/>
            <w:tcBorders/>
            <w:shd w:fill="auto" w:val="clear"/>
            <w:vAlign w:val="bottom"/>
          </w:tcPr>
          <w:p>
            <w:pPr>
              <w:pStyle w:val="TableContents"/>
              <w:spacing w:before="0" w:after="283"/>
              <w:rPr/>
            </w:pPr>
            <w:r>
              <w:rPr/>
              <w:t> </w:t>
            </w:r>
          </w:p>
        </w:tc>
      </w:tr>
      <w:tr>
        <w:trPr/>
        <w:tc>
          <w:tcPr>
            <w:tcW w:w="6022" w:type="dxa"/>
            <w:tcBorders/>
            <w:shd w:fill="CCEEFF" w:val="clear"/>
            <w:vAlign w:val="bottom"/>
          </w:tcPr>
          <w:p>
            <w:pPr>
              <w:pStyle w:val="TableContents"/>
              <w:spacing w:before="0" w:after="0"/>
              <w:ind w:left="450" w:right="0" w:hanging="225"/>
              <w:rPr/>
            </w:pPr>
            <w:r>
              <w:rPr/>
              <w:t>Signature loan fees</w:t>
            </w:r>
          </w:p>
        </w:tc>
        <w:tc>
          <w:tcPr>
            <w:tcW w:w="39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1164" w:type="dxa"/>
            <w:tcBorders/>
            <w:shd w:fill="CCEEFF" w:val="clear"/>
            <w:vAlign w:val="bottom"/>
          </w:tcPr>
          <w:p>
            <w:pPr>
              <w:pStyle w:val="TableContents"/>
              <w:spacing w:before="0" w:after="283"/>
              <w:jc w:val="right"/>
              <w:rPr/>
            </w:pPr>
            <w:r>
              <w:rPr/>
              <w:t>33,504</w:t>
            </w:r>
          </w:p>
        </w:tc>
        <w:tc>
          <w:tcPr>
            <w:tcW w:w="327"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1167" w:type="dxa"/>
            <w:tcBorders/>
            <w:shd w:fill="CCEEFF" w:val="clear"/>
            <w:vAlign w:val="bottom"/>
          </w:tcPr>
          <w:p>
            <w:pPr>
              <w:pStyle w:val="TableContents"/>
              <w:spacing w:before="0" w:after="283"/>
              <w:jc w:val="right"/>
              <w:rPr/>
            </w:pPr>
            <w:r>
              <w:rPr/>
              <w:t>31,841</w:t>
            </w:r>
          </w:p>
        </w:tc>
        <w:tc>
          <w:tcPr>
            <w:tcW w:w="245" w:type="dxa"/>
            <w:tcBorders/>
            <w:shd w:fill="CCEEFF"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0"/>
              <w:ind w:left="450" w:right="0" w:hanging="225"/>
              <w:rPr/>
            </w:pPr>
            <w:r>
              <w:rPr/>
              <w:t>Auto title loan fees</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4,323</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4,299</w:t>
            </w:r>
          </w:p>
        </w:tc>
        <w:tc>
          <w:tcPr>
            <w:tcW w:w="245" w:type="dxa"/>
            <w:tcBorders/>
            <w:shd w:fill="auto" w:val="clear"/>
            <w:vAlign w:val="bottom"/>
          </w:tcPr>
          <w:p>
            <w:pPr>
              <w:pStyle w:val="TableContents"/>
              <w:spacing w:before="0" w:after="283"/>
              <w:rPr/>
            </w:pPr>
            <w:r>
              <w:rPr/>
              <w:t> </w:t>
            </w:r>
          </w:p>
        </w:tc>
      </w:tr>
      <w:tr>
        <w:trPr/>
        <w:tc>
          <w:tcPr>
            <w:tcW w:w="6022" w:type="dxa"/>
            <w:tcBorders/>
            <w:shd w:fill="CCEEFF" w:val="clear"/>
            <w:vAlign w:val="bottom"/>
          </w:tcPr>
          <w:p>
            <w:pPr>
              <w:pStyle w:val="TableContents"/>
              <w:spacing w:before="0" w:after="0"/>
              <w:ind w:left="450" w:right="0" w:hanging="225"/>
              <w:rPr/>
            </w:pPr>
            <w:r>
              <w:rPr/>
              <w:t>Merchandise sales</w:t>
            </w:r>
          </w:p>
        </w:tc>
        <w:tc>
          <w:tcPr>
            <w:tcW w:w="39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5</w:t>
            </w:r>
          </w:p>
        </w:tc>
        <w:tc>
          <w:tcPr>
            <w:tcW w:w="327"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w:t>
            </w:r>
          </w:p>
        </w:tc>
        <w:tc>
          <w:tcPr>
            <w:tcW w:w="245" w:type="dxa"/>
            <w:tcBorders/>
            <w:shd w:fill="CCEEFF"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0"/>
              <w:ind w:left="450" w:right="0" w:hanging="225"/>
              <w:rPr/>
            </w:pPr>
            <w:r>
              <w:rPr/>
              <w:t>Jewelry scrapping sales</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357</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169</w:t>
            </w:r>
          </w:p>
        </w:tc>
        <w:tc>
          <w:tcPr>
            <w:tcW w:w="245" w:type="dxa"/>
            <w:tcBorders/>
            <w:shd w:fill="auto" w:val="clear"/>
            <w:vAlign w:val="bottom"/>
          </w:tcPr>
          <w:p>
            <w:pPr>
              <w:pStyle w:val="TableContents"/>
              <w:spacing w:before="0" w:after="283"/>
              <w:rPr/>
            </w:pPr>
            <w:r>
              <w:rPr/>
              <w:t> </w:t>
            </w:r>
          </w:p>
        </w:tc>
      </w:tr>
      <w:tr>
        <w:trPr/>
        <w:tc>
          <w:tcPr>
            <w:tcW w:w="6022" w:type="dxa"/>
            <w:tcBorders/>
            <w:shd w:fill="CCEEFF" w:val="clear"/>
            <w:vAlign w:val="bottom"/>
          </w:tcPr>
          <w:p>
            <w:pPr>
              <w:pStyle w:val="TableContents"/>
              <w:spacing w:before="0" w:after="0"/>
              <w:ind w:left="450" w:right="0" w:hanging="225"/>
              <w:rPr/>
            </w:pPr>
            <w:r>
              <w:rPr/>
              <w:t>Other</w:t>
            </w:r>
          </w:p>
        </w:tc>
        <w:tc>
          <w:tcPr>
            <w:tcW w:w="39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405</w:t>
            </w:r>
          </w:p>
        </w:tc>
        <w:tc>
          <w:tcPr>
            <w:tcW w:w="327"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8</w:t>
            </w:r>
          </w:p>
        </w:tc>
        <w:tc>
          <w:tcPr>
            <w:tcW w:w="245" w:type="dxa"/>
            <w:tcBorders/>
            <w:shd w:fill="CCEEFF" w:val="clear"/>
            <w:vAlign w:val="bottom"/>
          </w:tcPr>
          <w:p>
            <w:pPr>
              <w:pStyle w:val="TableContents"/>
              <w:spacing w:before="0" w:after="283"/>
              <w:rPr/>
            </w:pPr>
            <w:r>
              <w:rPr/>
              <w:t> </w:t>
            </w:r>
          </w:p>
        </w:tc>
      </w:tr>
      <w:tr>
        <w:trPr/>
        <w:tc>
          <w:tcPr>
            <w:tcW w:w="6022"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7"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6022" w:type="dxa"/>
            <w:tcBorders/>
            <w:shd w:fill="auto" w:val="clear"/>
            <w:vAlign w:val="bottom"/>
          </w:tcPr>
          <w:p>
            <w:pPr>
              <w:pStyle w:val="TableContents"/>
              <w:spacing w:before="0" w:after="0"/>
              <w:ind w:left="675" w:right="0" w:hanging="225"/>
              <w:rPr/>
            </w:pPr>
            <w:r>
              <w:rPr/>
              <w:t>Total revenues</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38,594</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36,317</w:t>
            </w:r>
          </w:p>
        </w:tc>
        <w:tc>
          <w:tcPr>
            <w:tcW w:w="245" w:type="dxa"/>
            <w:tcBorders/>
            <w:shd w:fill="auto"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6022" w:type="dxa"/>
            <w:tcBorders/>
            <w:shd w:fill="CCEEFF" w:val="clear"/>
            <w:vAlign w:val="bottom"/>
          </w:tcPr>
          <w:p>
            <w:pPr>
              <w:pStyle w:val="TableContents"/>
              <w:spacing w:before="0" w:after="0"/>
              <w:ind w:left="450" w:right="0" w:hanging="225"/>
              <w:rPr/>
            </w:pPr>
            <w:r>
              <w:rPr/>
              <w:t>Signature loan bad debt</w:t>
            </w:r>
          </w:p>
        </w:tc>
        <w:tc>
          <w:tcPr>
            <w:tcW w:w="39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10,166</w:t>
            </w:r>
          </w:p>
        </w:tc>
        <w:tc>
          <w:tcPr>
            <w:tcW w:w="327"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8,758</w:t>
            </w:r>
          </w:p>
        </w:tc>
        <w:tc>
          <w:tcPr>
            <w:tcW w:w="245" w:type="dxa"/>
            <w:tcBorders/>
            <w:shd w:fill="CCEEFF"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0"/>
              <w:ind w:left="450" w:right="0" w:hanging="225"/>
              <w:rPr/>
            </w:pPr>
            <w:r>
              <w:rPr/>
              <w:t>Auto title loan bad debt</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467</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792</w:t>
            </w:r>
          </w:p>
        </w:tc>
        <w:tc>
          <w:tcPr>
            <w:tcW w:w="245" w:type="dxa"/>
            <w:tcBorders/>
            <w:shd w:fill="auto" w:val="clear"/>
            <w:vAlign w:val="bottom"/>
          </w:tcPr>
          <w:p>
            <w:pPr>
              <w:pStyle w:val="TableContents"/>
              <w:spacing w:before="0" w:after="283"/>
              <w:rPr/>
            </w:pPr>
            <w:r>
              <w:rPr/>
              <w:t> </w:t>
            </w:r>
          </w:p>
        </w:tc>
      </w:tr>
      <w:tr>
        <w:trPr/>
        <w:tc>
          <w:tcPr>
            <w:tcW w:w="6022" w:type="dxa"/>
            <w:tcBorders/>
            <w:shd w:fill="CCEEFF" w:val="clear"/>
            <w:vAlign w:val="bottom"/>
          </w:tcPr>
          <w:p>
            <w:pPr>
              <w:pStyle w:val="TableContents"/>
              <w:spacing w:before="0" w:after="0"/>
              <w:ind w:left="450" w:right="0" w:hanging="225"/>
              <w:rPr/>
            </w:pPr>
            <w:r>
              <w:rPr/>
              <w:t>Merchandise cost of goods sold</w:t>
            </w:r>
          </w:p>
        </w:tc>
        <w:tc>
          <w:tcPr>
            <w:tcW w:w="39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13</w:t>
            </w:r>
          </w:p>
        </w:tc>
        <w:tc>
          <w:tcPr>
            <w:tcW w:w="327"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w:t>
            </w:r>
          </w:p>
        </w:tc>
        <w:tc>
          <w:tcPr>
            <w:tcW w:w="245" w:type="dxa"/>
            <w:tcBorders/>
            <w:shd w:fill="CCEEFF"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0"/>
              <w:ind w:left="450" w:right="0" w:hanging="225"/>
              <w:rPr/>
            </w:pPr>
            <w:r>
              <w:rPr/>
              <w:t>Jewelry scrapping cost of goods sold</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197</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85</w:t>
            </w:r>
          </w:p>
        </w:tc>
        <w:tc>
          <w:tcPr>
            <w:tcW w:w="245" w:type="dxa"/>
            <w:tcBorders/>
            <w:shd w:fill="auto" w:val="clear"/>
            <w:vAlign w:val="bottom"/>
          </w:tcPr>
          <w:p>
            <w:pPr>
              <w:pStyle w:val="TableContents"/>
              <w:spacing w:before="0" w:after="283"/>
              <w:rPr/>
            </w:pPr>
            <w:r>
              <w:rPr/>
              <w:t> </w:t>
            </w:r>
          </w:p>
        </w:tc>
      </w:tr>
      <w:tr>
        <w:trPr/>
        <w:tc>
          <w:tcPr>
            <w:tcW w:w="6022"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7"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6022"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6022" w:type="dxa"/>
            <w:tcBorders/>
            <w:shd w:fill="CCEEFF" w:val="clear"/>
            <w:vAlign w:val="bottom"/>
          </w:tcPr>
          <w:p>
            <w:pPr>
              <w:pStyle w:val="TableContents"/>
              <w:spacing w:before="0" w:after="0"/>
              <w:ind w:left="675" w:right="0" w:hanging="225"/>
              <w:rPr/>
            </w:pPr>
            <w:r>
              <w:rPr/>
              <w:t>Net revenues</w:t>
            </w:r>
          </w:p>
        </w:tc>
        <w:tc>
          <w:tcPr>
            <w:tcW w:w="39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27,751</w:t>
            </w:r>
          </w:p>
        </w:tc>
        <w:tc>
          <w:tcPr>
            <w:tcW w:w="327"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26,682</w:t>
            </w:r>
          </w:p>
        </w:tc>
        <w:tc>
          <w:tcPr>
            <w:tcW w:w="245" w:type="dxa"/>
            <w:tcBorders/>
            <w:shd w:fill="CCEEFF"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0"/>
              <w:ind w:left="450" w:right="0" w:hanging="225"/>
              <w:rPr/>
            </w:pPr>
            <w:r>
              <w:rPr/>
              <w:t>Operations expense</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17,067</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15,805</w:t>
            </w:r>
          </w:p>
        </w:tc>
        <w:tc>
          <w:tcPr>
            <w:tcW w:w="245" w:type="dxa"/>
            <w:tcBorders/>
            <w:shd w:fill="auto" w:val="clear"/>
            <w:vAlign w:val="bottom"/>
          </w:tcPr>
          <w:p>
            <w:pPr>
              <w:pStyle w:val="TableContents"/>
              <w:spacing w:before="0" w:after="283"/>
              <w:rPr/>
            </w:pPr>
            <w:r>
              <w:rPr/>
              <w:t> </w:t>
            </w:r>
          </w:p>
        </w:tc>
      </w:tr>
      <w:tr>
        <w:trPr/>
        <w:tc>
          <w:tcPr>
            <w:tcW w:w="6022"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7"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pPr>
            <w:r>
              <w:rPr/>
              <w:t> </w:t>
            </w:r>
          </w:p>
        </w:tc>
        <w:tc>
          <w:tcPr>
            <w:tcW w:w="14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6022" w:type="dxa"/>
            <w:tcBorders/>
            <w:shd w:fill="CCEEFF" w:val="clear"/>
            <w:vAlign w:val="bottom"/>
          </w:tcPr>
          <w:p>
            <w:pPr>
              <w:pStyle w:val="TableContents"/>
              <w:spacing w:before="0" w:after="0"/>
              <w:ind w:left="675" w:right="0" w:hanging="225"/>
              <w:rPr/>
            </w:pPr>
            <w:r>
              <w:rPr/>
              <w:t>Store operating income</w:t>
            </w:r>
          </w:p>
        </w:tc>
        <w:tc>
          <w:tcPr>
            <w:tcW w:w="39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1164" w:type="dxa"/>
            <w:tcBorders/>
            <w:shd w:fill="CCEEFF" w:val="clear"/>
            <w:vAlign w:val="bottom"/>
          </w:tcPr>
          <w:p>
            <w:pPr>
              <w:pStyle w:val="TableContents"/>
              <w:spacing w:before="0" w:after="283"/>
              <w:jc w:val="right"/>
              <w:rPr/>
            </w:pPr>
            <w:r>
              <w:rPr/>
              <w:t>10,684</w:t>
            </w:r>
          </w:p>
        </w:tc>
        <w:tc>
          <w:tcPr>
            <w:tcW w:w="327"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1167" w:type="dxa"/>
            <w:tcBorders/>
            <w:shd w:fill="CCEEFF" w:val="clear"/>
            <w:vAlign w:val="bottom"/>
          </w:tcPr>
          <w:p>
            <w:pPr>
              <w:pStyle w:val="TableContents"/>
              <w:spacing w:before="0" w:after="283"/>
              <w:jc w:val="right"/>
              <w:rPr/>
            </w:pPr>
            <w:r>
              <w:rPr/>
              <w:t>10,877</w:t>
            </w:r>
          </w:p>
        </w:tc>
        <w:tc>
          <w:tcPr>
            <w:tcW w:w="245" w:type="dxa"/>
            <w:tcBorders/>
            <w:shd w:fill="CCEEFF" w:val="clear"/>
            <w:vAlign w:val="bottom"/>
          </w:tcPr>
          <w:p>
            <w:pPr>
              <w:pStyle w:val="TableContents"/>
              <w:spacing w:before="0" w:after="283"/>
              <w:rPr/>
            </w:pPr>
            <w:r>
              <w:rPr/>
              <w:t> </w:t>
            </w:r>
          </w:p>
        </w:tc>
      </w:tr>
      <w:tr>
        <w:trPr/>
        <w:tc>
          <w:tcPr>
            <w:tcW w:w="6022"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4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27"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pPr>
            <w:r>
              <w:rPr/>
              <w:t> </w:t>
            </w:r>
          </w:p>
        </w:tc>
        <w:tc>
          <w:tcPr>
            <w:tcW w:w="14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6022"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0"/>
              <w:ind w:left="225" w:right="0" w:hanging="225"/>
              <w:rPr/>
            </w:pPr>
            <w:r>
              <w:rPr/>
              <w:t>Other Data:</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6022" w:type="dxa"/>
            <w:tcBorders/>
            <w:shd w:fill="CCEEFF" w:val="clear"/>
            <w:vAlign w:val="bottom"/>
          </w:tcPr>
          <w:p>
            <w:pPr>
              <w:pStyle w:val="TableContents"/>
              <w:spacing w:before="0" w:after="0"/>
              <w:ind w:left="450" w:right="0" w:hanging="225"/>
              <w:rPr/>
            </w:pPr>
            <w:r>
              <w:rPr/>
              <w:t>Signature loan bad debt as a percent of signature loan fees</w:t>
            </w:r>
          </w:p>
        </w:tc>
        <w:tc>
          <w:tcPr>
            <w:tcW w:w="39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pPr>
            <w:r>
              <w:rPr/>
              <w:t>30.3</w:t>
            </w:r>
          </w:p>
        </w:tc>
        <w:tc>
          <w:tcPr>
            <w:tcW w:w="327" w:type="dxa"/>
            <w:tcBorders/>
            <w:shd w:fill="CCEEFF" w:val="clear"/>
            <w:vAlign w:val="bottom"/>
          </w:tcPr>
          <w:p>
            <w:pPr>
              <w:pStyle w:val="TableContents"/>
              <w:spacing w:before="0" w:after="283"/>
              <w:rPr/>
            </w:pPr>
            <w:r>
              <w:rPr/>
              <w:t>%</w:t>
            </w:r>
          </w:p>
        </w:tc>
        <w:tc>
          <w:tcPr>
            <w:tcW w:w="41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 </w:t>
            </w:r>
          </w:p>
        </w:tc>
        <w:tc>
          <w:tcPr>
            <w:tcW w:w="1167" w:type="dxa"/>
            <w:tcBorders/>
            <w:shd w:fill="CCEEFF" w:val="clear"/>
            <w:vAlign w:val="bottom"/>
          </w:tcPr>
          <w:p>
            <w:pPr>
              <w:pStyle w:val="TableContents"/>
              <w:spacing w:before="0" w:after="283"/>
              <w:jc w:val="right"/>
              <w:rPr/>
            </w:pPr>
            <w:r>
              <w:rPr/>
              <w:t>27.5</w:t>
            </w:r>
          </w:p>
        </w:tc>
        <w:tc>
          <w:tcPr>
            <w:tcW w:w="245" w:type="dxa"/>
            <w:tcBorders/>
            <w:shd w:fill="CCEEFF" w:val="clear"/>
            <w:vAlign w:val="bottom"/>
          </w:tcPr>
          <w:p>
            <w:pPr>
              <w:pStyle w:val="TableContents"/>
              <w:spacing w:before="0" w:after="283"/>
              <w:rPr/>
            </w:pPr>
            <w:r>
              <w:rPr/>
              <w:t>%</w:t>
            </w:r>
          </w:p>
        </w:tc>
      </w:tr>
      <w:tr>
        <w:trPr/>
        <w:tc>
          <w:tcPr>
            <w:tcW w:w="6022" w:type="dxa"/>
            <w:tcBorders/>
            <w:shd w:fill="auto" w:val="clear"/>
            <w:vAlign w:val="bottom"/>
          </w:tcPr>
          <w:p>
            <w:pPr>
              <w:pStyle w:val="TableContents"/>
              <w:spacing w:before="0" w:after="0"/>
              <w:ind w:left="450" w:right="0" w:hanging="225"/>
              <w:rPr/>
            </w:pPr>
            <w:r>
              <w:rPr/>
              <w:t>Auto title loan bad debt as a percent of auto title loan fees</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 </w:t>
            </w:r>
          </w:p>
        </w:tc>
        <w:tc>
          <w:tcPr>
            <w:tcW w:w="1164" w:type="dxa"/>
            <w:tcBorders/>
            <w:shd w:fill="auto" w:val="clear"/>
            <w:vAlign w:val="bottom"/>
          </w:tcPr>
          <w:p>
            <w:pPr>
              <w:pStyle w:val="TableContents"/>
              <w:spacing w:before="0" w:after="283"/>
              <w:jc w:val="right"/>
              <w:rPr/>
            </w:pPr>
            <w:r>
              <w:rPr/>
              <w:t>10.8</w:t>
            </w:r>
          </w:p>
        </w:tc>
        <w:tc>
          <w:tcPr>
            <w:tcW w:w="327" w:type="dxa"/>
            <w:tcBorders/>
            <w:shd w:fill="auto" w:val="clear"/>
            <w:vAlign w:val="bottom"/>
          </w:tcPr>
          <w:p>
            <w:pPr>
              <w:pStyle w:val="TableContents"/>
              <w:spacing w:before="0" w:after="283"/>
              <w:rPr/>
            </w:pPr>
            <w:r>
              <w:rPr/>
              <w:t>%</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 </w:t>
            </w:r>
          </w:p>
        </w:tc>
        <w:tc>
          <w:tcPr>
            <w:tcW w:w="1167" w:type="dxa"/>
            <w:tcBorders/>
            <w:shd w:fill="auto" w:val="clear"/>
            <w:vAlign w:val="bottom"/>
          </w:tcPr>
          <w:p>
            <w:pPr>
              <w:pStyle w:val="TableContents"/>
              <w:spacing w:before="0" w:after="283"/>
              <w:jc w:val="right"/>
              <w:rPr/>
            </w:pPr>
            <w:r>
              <w:rPr/>
              <w:t>18.4</w:t>
            </w:r>
          </w:p>
        </w:tc>
        <w:tc>
          <w:tcPr>
            <w:tcW w:w="245" w:type="dxa"/>
            <w:tcBorders/>
            <w:shd w:fill="auto" w:val="clear"/>
            <w:vAlign w:val="bottom"/>
          </w:tcPr>
          <w:p>
            <w:pPr>
              <w:pStyle w:val="TableContents"/>
              <w:spacing w:before="0" w:after="283"/>
              <w:rPr/>
            </w:pPr>
            <w:r>
              <w:rPr/>
              <w:t>%</w:t>
            </w:r>
          </w:p>
        </w:tc>
      </w:tr>
      <w:tr>
        <w:trPr/>
        <w:tc>
          <w:tcPr>
            <w:tcW w:w="6022" w:type="dxa"/>
            <w:tcBorders/>
            <w:shd w:fill="CCEEFF" w:val="clear"/>
            <w:vAlign w:val="bottom"/>
          </w:tcPr>
          <w:p>
            <w:pPr>
              <w:pStyle w:val="TableContents"/>
              <w:spacing w:before="0" w:after="0"/>
              <w:ind w:left="450" w:right="0" w:hanging="225"/>
              <w:rPr/>
            </w:pPr>
            <w:r>
              <w:rPr/>
              <w:t>Average signature loan balance per store offering signature loans at quarter-end (a)</w:t>
            </w:r>
          </w:p>
        </w:tc>
        <w:tc>
          <w:tcPr>
            <w:tcW w:w="39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1164" w:type="dxa"/>
            <w:tcBorders/>
            <w:shd w:fill="CCEEFF" w:val="clear"/>
            <w:vAlign w:val="bottom"/>
          </w:tcPr>
          <w:p>
            <w:pPr>
              <w:pStyle w:val="TableContents"/>
              <w:spacing w:before="0" w:after="283"/>
              <w:jc w:val="right"/>
              <w:rPr/>
            </w:pPr>
            <w:r>
              <w:rPr/>
              <w:t>63</w:t>
            </w:r>
          </w:p>
        </w:tc>
        <w:tc>
          <w:tcPr>
            <w:tcW w:w="327"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1167" w:type="dxa"/>
            <w:tcBorders/>
            <w:shd w:fill="CCEEFF" w:val="clear"/>
            <w:vAlign w:val="bottom"/>
          </w:tcPr>
          <w:p>
            <w:pPr>
              <w:pStyle w:val="TableContents"/>
              <w:spacing w:before="0" w:after="283"/>
              <w:jc w:val="right"/>
              <w:rPr/>
            </w:pPr>
            <w:r>
              <w:rPr/>
              <w:t>61</w:t>
            </w:r>
          </w:p>
        </w:tc>
        <w:tc>
          <w:tcPr>
            <w:tcW w:w="245" w:type="dxa"/>
            <w:tcBorders/>
            <w:shd w:fill="CCEEFF" w:val="clear"/>
            <w:vAlign w:val="bottom"/>
          </w:tcPr>
          <w:p>
            <w:pPr>
              <w:pStyle w:val="TableContents"/>
              <w:spacing w:before="0" w:after="283"/>
              <w:rPr/>
            </w:pPr>
            <w:r>
              <w:rPr/>
              <w:t> </w:t>
            </w:r>
          </w:p>
        </w:tc>
      </w:tr>
      <w:tr>
        <w:trPr/>
        <w:tc>
          <w:tcPr>
            <w:tcW w:w="6022" w:type="dxa"/>
            <w:tcBorders/>
            <w:shd w:fill="auto" w:val="clear"/>
            <w:vAlign w:val="bottom"/>
          </w:tcPr>
          <w:p>
            <w:pPr>
              <w:pStyle w:val="TableContents"/>
              <w:spacing w:before="0" w:after="0"/>
              <w:ind w:left="450" w:right="0" w:hanging="225"/>
              <w:rPr/>
            </w:pPr>
            <w:r>
              <w:rPr/>
              <w:t>Average auto title loan balance per store offering auto title loans at quarter-end (b)</w:t>
            </w:r>
          </w:p>
        </w:tc>
        <w:tc>
          <w:tcPr>
            <w:tcW w:w="39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1164" w:type="dxa"/>
            <w:tcBorders/>
            <w:shd w:fill="auto" w:val="clear"/>
            <w:vAlign w:val="bottom"/>
          </w:tcPr>
          <w:p>
            <w:pPr>
              <w:pStyle w:val="TableContents"/>
              <w:spacing w:before="0" w:after="283"/>
              <w:jc w:val="right"/>
              <w:rPr/>
            </w:pPr>
            <w:r>
              <w:rPr/>
              <w:t>19</w:t>
            </w:r>
          </w:p>
        </w:tc>
        <w:tc>
          <w:tcPr>
            <w:tcW w:w="32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1167" w:type="dxa"/>
            <w:tcBorders/>
            <w:shd w:fill="auto" w:val="clear"/>
            <w:vAlign w:val="bottom"/>
          </w:tcPr>
          <w:p>
            <w:pPr>
              <w:pStyle w:val="TableContents"/>
              <w:spacing w:before="0" w:after="283"/>
              <w:jc w:val="right"/>
              <w:rPr/>
            </w:pPr>
            <w:r>
              <w:rPr/>
              <w:t>19</w:t>
            </w:r>
          </w:p>
        </w:tc>
        <w:tc>
          <w:tcPr>
            <w:tcW w:w="245"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and installment loans (net of valuation allowance) recorded on our balance sheets and the principal portion of active signature loans outstanding from unaffiliated lenders, the balance of which is not included on our balance sheets.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sheets and the principal portion of active brokered loans outstanding from unaffiliated lenders, the balance of which is not included on our balance sheets.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Operations segment total revenues increased $2.3 million, or 6% to $38.6 million, compared to the prior year quarter. This was due to a $1.5 million, or 4% increase in same store total revenues and $0.8 million of total revenues at new stores net of closed or consolidated stores. The overall increase in total revenues was comprised primarily of a $1.7 million increase in signature loan fees, which include both installment loans and payday loans, a $0.2 million increase in jewelry scrapping sales and a $0.4 million increase in other revenues. In August 2010 and January 2011, we introduced installment loans in Colorado and Wisconsin, respectively, as a replacement product for payday loans. This contributed to the migration of some customers from payday loans to installment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quarter, we opened one Cash Converters store in Canada and converted two of our CASHMAX stores to the Cash Converters brand bringing our total there to 60. At June 30, 2010, we had 35 Canadian stores. In the quarter we closed six EZMONEY stores in the U.S., bringing our total to 436.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net revenues increased $0.3 million, or 1% to $23.3 million, compared to the prior year quarter due to a growth in revenues mostly offset by an increase in bad debt. Total signature loan revenues increased 5%, and same store signature loan revenues increased 4% due to the growth in installment loans as the product continues to mature and following its introduction in Colorado and Wisconsin as a replacement for payday loans. Revenue growth slowed as we experienced increased competitive pressures in Texas from other payday loan stores, online payday lenders and auto title lenders. Partially offsetting the revenue growth was a 2.8 percentage point increase in bad debt to 30.3% of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fees, largely due to the migration of many customers to installment loans. We anticipate bad debt rates will improve over the next several quarters as we optimize our underwriting and operational execution specifically on installment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net revenues from auto title loans increased to $3.9 million in the current quarter, compared to $3.5 million in the prior year quarter, as the product continues to mature. Same store auto title loan fees increased 2%, partially offset by the regulatory elimination of auto title loans in Wisconsin beginning January 1, 2011. Bad debt decreased to 10.8% of related fees from 18.4% in the prior year quarter, mainly due to some operational improvements at our collections center. Following a favorable legislative change, auto title loans were re-introduced in Wisconsin in July 2011, which we expect will increase auto title loan activity in future periods. Including the 35 Wisconsin stores, we now offer auto title loans in 400 EZMONEY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segment began buying and scrapping gold jewelry in the prior year. The segment generated $0.2 million of jewelry scrapping gross profit in the current quarter, with a 45% gross margin compared to $0.1 million with a 50% gross margin in the prior year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April 2011, the EZMONEY segment acquired the Cash Converters franchise rights for Canada which allows us to open new stores and operate our Canadian stores as Cash Converters stores. By June 30, 2011, two of our Canadian stores had been rebranded and began buying and selling second-hand goods in addition to offering payday loans. We also began receiving franchise fees from franchisees, comprising the majority of the increase in the segments other revenues. Merchandise sales in the quarter were nominal. We expect to rebrand our remaining Canadian stores as Cash Converters stores within the next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$17.1 million (62% of net revenues) from $15.8 million (59% of net revenues) in the prior year quarter. The increase was due to additional labor, rent, and other costs at new and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$0.3 million increase in net revenues from signature loans, the $0.3 million increase in net revenues from auto title loans, and the $0.5 million increase in scrap sales gross profit and other revenues were more than offset by a $1.3 million greater operations expense, resulting in a $0.2 million, or 2% decrease in the segments store operating income. The EZMONEY Operations segment comprised 19% of consolidated store operating income in the current quarter compared to 23% in the prior year quarter.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our consolidated store operating income discussed above to net income, including items that affect our consolidated financial results but are not allocated among segments: </w:t>
      </w:r>
    </w:p>
    <w:tbl>
      <w:tblPr>
        <w:tblW w:w="5000" w:type="pct"/>
        <w:jc w:val="center"/>
        <w:tblInd w:w="0" w:type="dxa"/>
        <w:tblCellMar>
          <w:top w:w="0" w:type="dxa"/>
          <w:left w:w="0" w:type="dxa"/>
          <w:bottom w:w="0" w:type="dxa"/>
          <w:right w:w="0" w:type="dxa"/>
        </w:tblCellMar>
      </w:tblPr>
      <w:tblGrid>
        <w:gridCol w:w="6356"/>
        <w:gridCol w:w="404"/>
        <w:gridCol w:w="228"/>
        <w:gridCol w:w="1119"/>
        <w:gridCol w:w="177"/>
        <w:gridCol w:w="429"/>
        <w:gridCol w:w="228"/>
        <w:gridCol w:w="1121"/>
        <w:gridCol w:w="143"/>
      </w:tblGrid>
      <w:tr>
        <w:trPr/>
        <w:tc>
          <w:tcPr>
            <w:tcW w:w="6356"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6356"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3302"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June 30,</w:t>
            </w:r>
          </w:p>
        </w:tc>
        <w:tc>
          <w:tcPr>
            <w:tcW w:w="143" w:type="dxa"/>
            <w:tcBorders/>
            <w:shd w:fill="auto" w:val="clear"/>
            <w:vAlign w:val="bottom"/>
          </w:tcPr>
          <w:p>
            <w:pPr>
              <w:pStyle w:val="TableContents"/>
              <w:spacing w:before="0" w:after="283"/>
              <w:rPr/>
            </w:pPr>
            <w:r>
              <w:rPr/>
              <w:t> </w:t>
            </w:r>
          </w:p>
        </w:tc>
      </w:tr>
      <w:tr>
        <w:trPr/>
        <w:tc>
          <w:tcPr>
            <w:tcW w:w="6356"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34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7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34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3" w:type="dxa"/>
            <w:tcBorders/>
            <w:shd w:fill="auto" w:val="clear"/>
            <w:vAlign w:val="bottom"/>
          </w:tcPr>
          <w:p>
            <w:pPr>
              <w:pStyle w:val="TableContents"/>
              <w:spacing w:before="0" w:after="283"/>
              <w:rPr/>
            </w:pPr>
            <w:r>
              <w:rPr/>
              <w:t> </w:t>
            </w:r>
          </w:p>
        </w:tc>
      </w:tr>
      <w:tr>
        <w:trPr/>
        <w:tc>
          <w:tcPr>
            <w:tcW w:w="6356"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3302" w:type="dxa"/>
            <w:gridSpan w:val="6"/>
            <w:tcBorders/>
            <w:shd w:fill="auto" w:val="clear"/>
            <w:vAlign w:val="bottom"/>
          </w:tcPr>
          <w:p>
            <w:pPr>
              <w:pStyle w:val="TableContents"/>
              <w:spacing w:before="0" w:after="283"/>
              <w:jc w:val="center"/>
              <w:rPr>
                <w:i/>
              </w:rPr>
            </w:pPr>
            <w:r>
              <w:rPr>
                <w:i/>
              </w:rPr>
              <w:t>(in thousands)</w:t>
            </w:r>
          </w:p>
        </w:tc>
        <w:tc>
          <w:tcPr>
            <w:tcW w:w="143" w:type="dxa"/>
            <w:tcBorders/>
            <w:shd w:fill="auto" w:val="clear"/>
            <w:vAlign w:val="bottom"/>
          </w:tcPr>
          <w:p>
            <w:pPr>
              <w:pStyle w:val="TableContents"/>
              <w:spacing w:before="0" w:after="283"/>
              <w:rPr/>
            </w:pPr>
            <w:r>
              <w:rPr/>
              <w:t> </w:t>
            </w:r>
          </w:p>
        </w:tc>
      </w:tr>
      <w:tr>
        <w:trPr/>
        <w:tc>
          <w:tcPr>
            <w:tcW w:w="6356" w:type="dxa"/>
            <w:tcBorders/>
            <w:shd w:fill="CCEEFF" w:val="clear"/>
            <w:vAlign w:val="bottom"/>
          </w:tcPr>
          <w:p>
            <w:pPr>
              <w:pStyle w:val="TableContents"/>
              <w:spacing w:before="0" w:after="0"/>
              <w:ind w:left="225" w:right="0" w:hanging="225"/>
              <w:rPr/>
            </w:pPr>
            <w:r>
              <w:rPr/>
              <w:t>Consolidated store operating income</w:t>
            </w:r>
          </w:p>
        </w:tc>
        <w:tc>
          <w:tcPr>
            <w:tcW w:w="40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119" w:type="dxa"/>
            <w:tcBorders/>
            <w:shd w:fill="CCEEFF" w:val="clear"/>
            <w:vAlign w:val="bottom"/>
          </w:tcPr>
          <w:p>
            <w:pPr>
              <w:pStyle w:val="TableContents"/>
              <w:spacing w:before="0" w:after="283"/>
              <w:jc w:val="right"/>
              <w:rPr/>
            </w:pPr>
            <w:r>
              <w:rPr/>
              <w:t>56,244</w:t>
            </w:r>
          </w:p>
        </w:tc>
        <w:tc>
          <w:tcPr>
            <w:tcW w:w="177"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121" w:type="dxa"/>
            <w:tcBorders/>
            <w:shd w:fill="CCEEFF" w:val="clear"/>
            <w:vAlign w:val="bottom"/>
          </w:tcPr>
          <w:p>
            <w:pPr>
              <w:pStyle w:val="TableContents"/>
              <w:spacing w:before="0" w:after="283"/>
              <w:jc w:val="right"/>
              <w:rPr/>
            </w:pPr>
            <w:r>
              <w:rPr/>
              <w:t>46,852</w:t>
            </w:r>
          </w:p>
        </w:tc>
        <w:tc>
          <w:tcPr>
            <w:tcW w:w="143" w:type="dxa"/>
            <w:tcBorders/>
            <w:shd w:fill="CCEEFF" w:val="clear"/>
            <w:vAlign w:val="bottom"/>
          </w:tcPr>
          <w:p>
            <w:pPr>
              <w:pStyle w:val="TableContents"/>
              <w:spacing w:before="0" w:after="283"/>
              <w:rPr/>
            </w:pPr>
            <w:r>
              <w:rPr/>
              <w:t> </w:t>
            </w:r>
          </w:p>
        </w:tc>
      </w:tr>
      <w:tr>
        <w:trPr/>
        <w:tc>
          <w:tcPr>
            <w:tcW w:w="6356" w:type="dxa"/>
            <w:tcBorders/>
            <w:shd w:fill="auto" w:val="clear"/>
            <w:vAlign w:val="bottom"/>
          </w:tcPr>
          <w:p>
            <w:pPr>
              <w:pStyle w:val="TableContents"/>
              <w:spacing w:before="0" w:after="0"/>
              <w:ind w:left="225" w:right="0" w:hanging="225"/>
              <w:rPr/>
            </w:pPr>
            <w:r>
              <w:rPr/>
              <w:t>Administrative expenses</w:t>
            </w:r>
          </w:p>
        </w:tc>
        <w:tc>
          <w:tcPr>
            <w:tcW w:w="40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14,379</w:t>
            </w:r>
          </w:p>
        </w:tc>
        <w:tc>
          <w:tcPr>
            <w:tcW w:w="17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13,576</w:t>
            </w:r>
          </w:p>
        </w:tc>
        <w:tc>
          <w:tcPr>
            <w:tcW w:w="143" w:type="dxa"/>
            <w:tcBorders/>
            <w:shd w:fill="auto" w:val="clear"/>
            <w:vAlign w:val="bottom"/>
          </w:tcPr>
          <w:p>
            <w:pPr>
              <w:pStyle w:val="TableContents"/>
              <w:spacing w:before="0" w:after="283"/>
              <w:rPr/>
            </w:pPr>
            <w:r>
              <w:rPr/>
              <w:t> </w:t>
            </w:r>
          </w:p>
        </w:tc>
      </w:tr>
      <w:tr>
        <w:trPr/>
        <w:tc>
          <w:tcPr>
            <w:tcW w:w="6356" w:type="dxa"/>
            <w:tcBorders/>
            <w:shd w:fill="CCEEFF" w:val="clear"/>
            <w:vAlign w:val="bottom"/>
          </w:tcPr>
          <w:p>
            <w:pPr>
              <w:pStyle w:val="TableContents"/>
              <w:spacing w:before="0" w:after="0"/>
              <w:ind w:left="225" w:right="0" w:hanging="225"/>
              <w:rPr/>
            </w:pPr>
            <w:r>
              <w:rPr/>
              <w:t>Depreciation and amortization</w:t>
            </w:r>
          </w:p>
        </w:tc>
        <w:tc>
          <w:tcPr>
            <w:tcW w:w="40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4,679</w:t>
            </w:r>
          </w:p>
        </w:tc>
        <w:tc>
          <w:tcPr>
            <w:tcW w:w="177"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3,759</w:t>
            </w:r>
          </w:p>
        </w:tc>
        <w:tc>
          <w:tcPr>
            <w:tcW w:w="143" w:type="dxa"/>
            <w:tcBorders/>
            <w:shd w:fill="CCEEFF" w:val="clear"/>
            <w:vAlign w:val="bottom"/>
          </w:tcPr>
          <w:p>
            <w:pPr>
              <w:pStyle w:val="TableContents"/>
              <w:spacing w:before="0" w:after="283"/>
              <w:rPr/>
            </w:pPr>
            <w:r>
              <w:rPr/>
              <w:t> </w:t>
            </w:r>
          </w:p>
        </w:tc>
      </w:tr>
      <w:tr>
        <w:trPr/>
        <w:tc>
          <w:tcPr>
            <w:tcW w:w="6356" w:type="dxa"/>
            <w:tcBorders/>
            <w:shd w:fill="auto" w:val="clear"/>
            <w:vAlign w:val="bottom"/>
          </w:tcPr>
          <w:p>
            <w:pPr>
              <w:pStyle w:val="TableContents"/>
              <w:spacing w:before="0" w:after="0"/>
              <w:ind w:left="225" w:right="0" w:hanging="225"/>
              <w:rPr/>
            </w:pPr>
            <w:r>
              <w:rPr/>
              <w:t>(Gain) / loss on sale or disposal of assets</w:t>
            </w:r>
          </w:p>
        </w:tc>
        <w:tc>
          <w:tcPr>
            <w:tcW w:w="40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169</w:t>
            </w:r>
          </w:p>
        </w:tc>
        <w:tc>
          <w:tcPr>
            <w:tcW w:w="17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734</w:t>
            </w:r>
          </w:p>
        </w:tc>
        <w:tc>
          <w:tcPr>
            <w:tcW w:w="143" w:type="dxa"/>
            <w:tcBorders/>
            <w:shd w:fill="auto" w:val="clear"/>
            <w:vAlign w:val="bottom"/>
          </w:tcPr>
          <w:p>
            <w:pPr>
              <w:pStyle w:val="TableContents"/>
              <w:spacing w:before="0" w:after="283"/>
              <w:rPr/>
            </w:pPr>
            <w:r>
              <w:rPr/>
              <w:t> </w:t>
            </w:r>
          </w:p>
        </w:tc>
      </w:tr>
      <w:tr>
        <w:trPr/>
        <w:tc>
          <w:tcPr>
            <w:tcW w:w="6356" w:type="dxa"/>
            <w:tcBorders/>
            <w:shd w:fill="CCEEFF" w:val="clear"/>
            <w:vAlign w:val="bottom"/>
          </w:tcPr>
          <w:p>
            <w:pPr>
              <w:pStyle w:val="TableContents"/>
              <w:spacing w:before="0" w:after="0"/>
              <w:ind w:left="225" w:right="0" w:hanging="225"/>
              <w:rPr/>
            </w:pPr>
            <w:r>
              <w:rPr/>
              <w:t>Interest income</w:t>
            </w:r>
          </w:p>
        </w:tc>
        <w:tc>
          <w:tcPr>
            <w:tcW w:w="40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119" w:type="dxa"/>
            <w:tcBorders/>
            <w:shd w:fill="CCEEFF" w:val="clear"/>
            <w:vAlign w:val="bottom"/>
          </w:tcPr>
          <w:p>
            <w:pPr>
              <w:pStyle w:val="TableContents"/>
              <w:spacing w:before="0" w:after="283"/>
              <w:jc w:val="right"/>
              <w:rPr/>
            </w:pPr>
            <w:r>
              <w:rPr/>
              <w:t>(21</w:t>
            </w:r>
          </w:p>
        </w:tc>
        <w:tc>
          <w:tcPr>
            <w:tcW w:w="177"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121" w:type="dxa"/>
            <w:tcBorders/>
            <w:shd w:fill="CCEEFF" w:val="clear"/>
            <w:vAlign w:val="bottom"/>
          </w:tcPr>
          <w:p>
            <w:pPr>
              <w:pStyle w:val="TableContents"/>
              <w:spacing w:before="0" w:after="283"/>
              <w:jc w:val="right"/>
              <w:rPr/>
            </w:pPr>
            <w:r>
              <w:rPr/>
              <w:t>(135</w:t>
            </w:r>
          </w:p>
        </w:tc>
        <w:tc>
          <w:tcPr>
            <w:tcW w:w="143" w:type="dxa"/>
            <w:tcBorders/>
            <w:shd w:fill="CCEEFF" w:val="clear"/>
            <w:vAlign w:val="bottom"/>
          </w:tcPr>
          <w:p>
            <w:pPr>
              <w:pStyle w:val="TableContents"/>
              <w:spacing w:before="0" w:after="283"/>
              <w:rPr/>
            </w:pPr>
            <w:r>
              <w:rPr/>
              <w:t>)</w:t>
            </w:r>
          </w:p>
        </w:tc>
      </w:tr>
      <w:tr>
        <w:trPr/>
        <w:tc>
          <w:tcPr>
            <w:tcW w:w="6356" w:type="dxa"/>
            <w:tcBorders/>
            <w:shd w:fill="auto" w:val="clear"/>
            <w:vAlign w:val="bottom"/>
          </w:tcPr>
          <w:p>
            <w:pPr>
              <w:pStyle w:val="TableContents"/>
              <w:spacing w:before="0" w:after="0"/>
              <w:ind w:left="225" w:right="0" w:hanging="225"/>
              <w:rPr/>
            </w:pPr>
            <w:r>
              <w:rPr/>
              <w:t>Interest expense</w:t>
            </w:r>
          </w:p>
        </w:tc>
        <w:tc>
          <w:tcPr>
            <w:tcW w:w="40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586</w:t>
            </w:r>
          </w:p>
        </w:tc>
        <w:tc>
          <w:tcPr>
            <w:tcW w:w="17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311</w:t>
            </w:r>
          </w:p>
        </w:tc>
        <w:tc>
          <w:tcPr>
            <w:tcW w:w="143" w:type="dxa"/>
            <w:tcBorders/>
            <w:shd w:fill="auto" w:val="clear"/>
            <w:vAlign w:val="bottom"/>
          </w:tcPr>
          <w:p>
            <w:pPr>
              <w:pStyle w:val="TableContents"/>
              <w:spacing w:before="0" w:after="283"/>
              <w:rPr/>
            </w:pPr>
            <w:r>
              <w:rPr/>
              <w:t> </w:t>
            </w:r>
          </w:p>
        </w:tc>
      </w:tr>
      <w:tr>
        <w:trPr/>
        <w:tc>
          <w:tcPr>
            <w:tcW w:w="6356" w:type="dxa"/>
            <w:tcBorders/>
            <w:shd w:fill="CCEEFF" w:val="clear"/>
            <w:vAlign w:val="bottom"/>
          </w:tcPr>
          <w:p>
            <w:pPr>
              <w:pStyle w:val="TableContents"/>
              <w:spacing w:before="0" w:after="0"/>
              <w:ind w:left="225" w:right="0" w:hanging="225"/>
              <w:rPr/>
            </w:pPr>
            <w:r>
              <w:rPr/>
              <w:t>Equity in net income of unconsolidated affiliates</w:t>
            </w:r>
          </w:p>
        </w:tc>
        <w:tc>
          <w:tcPr>
            <w:tcW w:w="40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119" w:type="dxa"/>
            <w:tcBorders/>
            <w:shd w:fill="CCEEFF" w:val="clear"/>
            <w:vAlign w:val="bottom"/>
          </w:tcPr>
          <w:p>
            <w:pPr>
              <w:pStyle w:val="TableContents"/>
              <w:spacing w:before="0" w:after="283"/>
              <w:jc w:val="right"/>
              <w:rPr/>
            </w:pPr>
            <w:r>
              <w:rPr/>
              <w:t>(4,099</w:t>
            </w:r>
          </w:p>
        </w:tc>
        <w:tc>
          <w:tcPr>
            <w:tcW w:w="177"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121" w:type="dxa"/>
            <w:tcBorders/>
            <w:shd w:fill="CCEEFF" w:val="clear"/>
            <w:vAlign w:val="bottom"/>
          </w:tcPr>
          <w:p>
            <w:pPr>
              <w:pStyle w:val="TableContents"/>
              <w:spacing w:before="0" w:after="283"/>
              <w:jc w:val="right"/>
              <w:rPr/>
            </w:pPr>
            <w:r>
              <w:rPr/>
              <w:t>(2,930</w:t>
            </w:r>
          </w:p>
        </w:tc>
        <w:tc>
          <w:tcPr>
            <w:tcW w:w="143" w:type="dxa"/>
            <w:tcBorders/>
            <w:shd w:fill="CCEEFF" w:val="clear"/>
            <w:vAlign w:val="bottom"/>
          </w:tcPr>
          <w:p>
            <w:pPr>
              <w:pStyle w:val="TableContents"/>
              <w:spacing w:before="0" w:after="283"/>
              <w:rPr/>
            </w:pPr>
            <w:r>
              <w:rPr/>
              <w:t>)</w:t>
            </w:r>
          </w:p>
        </w:tc>
      </w:tr>
      <w:tr>
        <w:trPr/>
        <w:tc>
          <w:tcPr>
            <w:tcW w:w="6356" w:type="dxa"/>
            <w:tcBorders/>
            <w:shd w:fill="auto" w:val="clear"/>
            <w:vAlign w:val="bottom"/>
          </w:tcPr>
          <w:p>
            <w:pPr>
              <w:pStyle w:val="TableContents"/>
              <w:spacing w:before="0" w:after="0"/>
              <w:ind w:left="225" w:right="0" w:hanging="225"/>
              <w:rPr/>
            </w:pPr>
            <w:r>
              <w:rPr/>
              <w:t>Other</w:t>
            </w:r>
          </w:p>
        </w:tc>
        <w:tc>
          <w:tcPr>
            <w:tcW w:w="40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 </w:t>
            </w:r>
          </w:p>
        </w:tc>
        <w:tc>
          <w:tcPr>
            <w:tcW w:w="1119" w:type="dxa"/>
            <w:tcBorders/>
            <w:shd w:fill="auto" w:val="clear"/>
            <w:vAlign w:val="bottom"/>
          </w:tcPr>
          <w:p>
            <w:pPr>
              <w:pStyle w:val="TableContents"/>
              <w:spacing w:before="0" w:after="283"/>
              <w:jc w:val="right"/>
              <w:rPr/>
            </w:pPr>
            <w:r>
              <w:rPr/>
              <w:t>(103</w:t>
            </w:r>
          </w:p>
        </w:tc>
        <w:tc>
          <w:tcPr>
            <w:tcW w:w="177"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 </w:t>
            </w:r>
          </w:p>
        </w:tc>
        <w:tc>
          <w:tcPr>
            <w:tcW w:w="1121" w:type="dxa"/>
            <w:tcBorders/>
            <w:shd w:fill="auto" w:val="clear"/>
            <w:vAlign w:val="bottom"/>
          </w:tcPr>
          <w:p>
            <w:pPr>
              <w:pStyle w:val="TableContents"/>
              <w:spacing w:before="0" w:after="283"/>
              <w:jc w:val="right"/>
              <w:rPr/>
            </w:pPr>
            <w:r>
              <w:rPr/>
              <w:t>(100</w:t>
            </w:r>
          </w:p>
        </w:tc>
        <w:tc>
          <w:tcPr>
            <w:tcW w:w="143" w:type="dxa"/>
            <w:tcBorders/>
            <w:shd w:fill="auto" w:val="clear"/>
            <w:vAlign w:val="bottom"/>
          </w:tcPr>
          <w:p>
            <w:pPr>
              <w:pStyle w:val="TableContents"/>
              <w:spacing w:before="0" w:after="283"/>
              <w:rPr/>
            </w:pPr>
            <w:r>
              <w:rPr/>
              <w:t>)</w:t>
            </w:r>
          </w:p>
        </w:tc>
      </w:tr>
      <w:tr>
        <w:trPr/>
        <w:tc>
          <w:tcPr>
            <w:tcW w:w="6356"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3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7"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6356" w:type="dxa"/>
            <w:tcBorders/>
            <w:shd w:fill="CCEEFF" w:val="clear"/>
            <w:vAlign w:val="bottom"/>
          </w:tcPr>
          <w:p>
            <w:pPr>
              <w:pStyle w:val="TableContents"/>
              <w:spacing w:before="0" w:after="0"/>
              <w:ind w:left="450" w:right="0" w:hanging="225"/>
              <w:rPr/>
            </w:pPr>
            <w:r>
              <w:rPr/>
              <w:t>Consolidated income before income taxes</w:t>
            </w:r>
          </w:p>
        </w:tc>
        <w:tc>
          <w:tcPr>
            <w:tcW w:w="40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40,654</w:t>
            </w:r>
          </w:p>
        </w:tc>
        <w:tc>
          <w:tcPr>
            <w:tcW w:w="177"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31,637</w:t>
            </w:r>
          </w:p>
        </w:tc>
        <w:tc>
          <w:tcPr>
            <w:tcW w:w="143" w:type="dxa"/>
            <w:tcBorders/>
            <w:shd w:fill="CCEEFF" w:val="clear"/>
            <w:vAlign w:val="bottom"/>
          </w:tcPr>
          <w:p>
            <w:pPr>
              <w:pStyle w:val="TableContents"/>
              <w:spacing w:before="0" w:after="283"/>
              <w:rPr/>
            </w:pPr>
            <w:r>
              <w:rPr/>
              <w:t> </w:t>
            </w:r>
          </w:p>
        </w:tc>
      </w:tr>
      <w:tr>
        <w:trPr/>
        <w:tc>
          <w:tcPr>
            <w:tcW w:w="6356" w:type="dxa"/>
            <w:tcBorders/>
            <w:shd w:fill="auto" w:val="clear"/>
            <w:vAlign w:val="bottom"/>
          </w:tcPr>
          <w:p>
            <w:pPr>
              <w:pStyle w:val="TableContents"/>
              <w:spacing w:before="0" w:after="0"/>
              <w:ind w:left="225" w:right="0" w:hanging="225"/>
              <w:rPr/>
            </w:pPr>
            <w:r>
              <w:rPr/>
              <w:t>Income tax expense</w:t>
            </w:r>
          </w:p>
        </w:tc>
        <w:tc>
          <w:tcPr>
            <w:tcW w:w="40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14,127</w:t>
            </w:r>
          </w:p>
        </w:tc>
        <w:tc>
          <w:tcPr>
            <w:tcW w:w="17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11,675</w:t>
            </w:r>
          </w:p>
        </w:tc>
        <w:tc>
          <w:tcPr>
            <w:tcW w:w="143" w:type="dxa"/>
            <w:tcBorders/>
            <w:shd w:fill="auto" w:val="clear"/>
            <w:vAlign w:val="bottom"/>
          </w:tcPr>
          <w:p>
            <w:pPr>
              <w:pStyle w:val="TableContents"/>
              <w:spacing w:before="0" w:after="283"/>
              <w:rPr/>
            </w:pPr>
            <w:r>
              <w:rPr/>
              <w:t> </w:t>
            </w:r>
          </w:p>
        </w:tc>
      </w:tr>
      <w:tr>
        <w:trPr/>
        <w:tc>
          <w:tcPr>
            <w:tcW w:w="6356"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3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7"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6356" w:type="dxa"/>
            <w:tcBorders/>
            <w:shd w:fill="CCEEFF" w:val="clear"/>
            <w:vAlign w:val="bottom"/>
          </w:tcPr>
          <w:p>
            <w:pPr>
              <w:pStyle w:val="TableContents"/>
              <w:spacing w:before="0" w:after="0"/>
              <w:ind w:left="450" w:right="0" w:hanging="225"/>
              <w:rPr/>
            </w:pPr>
            <w:r>
              <w:rPr/>
              <w:t>Net income</w:t>
            </w:r>
          </w:p>
        </w:tc>
        <w:tc>
          <w:tcPr>
            <w:tcW w:w="40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119" w:type="dxa"/>
            <w:tcBorders/>
            <w:shd w:fill="CCEEFF" w:val="clear"/>
            <w:vAlign w:val="bottom"/>
          </w:tcPr>
          <w:p>
            <w:pPr>
              <w:pStyle w:val="TableContents"/>
              <w:spacing w:before="0" w:after="283"/>
              <w:jc w:val="right"/>
              <w:rPr/>
            </w:pPr>
            <w:r>
              <w:rPr/>
              <w:t>26,527</w:t>
            </w:r>
          </w:p>
        </w:tc>
        <w:tc>
          <w:tcPr>
            <w:tcW w:w="177"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121" w:type="dxa"/>
            <w:tcBorders/>
            <w:shd w:fill="CCEEFF" w:val="clear"/>
            <w:vAlign w:val="bottom"/>
          </w:tcPr>
          <w:p>
            <w:pPr>
              <w:pStyle w:val="TableContents"/>
              <w:spacing w:before="0" w:after="283"/>
              <w:jc w:val="right"/>
              <w:rPr/>
            </w:pPr>
            <w:r>
              <w:rPr/>
              <w:t>19,962</w:t>
            </w:r>
          </w:p>
        </w:tc>
        <w:tc>
          <w:tcPr>
            <w:tcW w:w="143" w:type="dxa"/>
            <w:tcBorders/>
            <w:shd w:fill="CCEEFF" w:val="clear"/>
            <w:vAlign w:val="bottom"/>
          </w:tcPr>
          <w:p>
            <w:pPr>
              <w:pStyle w:val="TableContents"/>
              <w:spacing w:before="0" w:after="283"/>
              <w:rPr/>
            </w:pPr>
            <w:r>
              <w:rPr/>
              <w:t> </w:t>
            </w:r>
          </w:p>
        </w:tc>
      </w:tr>
      <w:tr>
        <w:trPr/>
        <w:tc>
          <w:tcPr>
            <w:tcW w:w="6356"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3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7"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were $14.4 million in the current quarter (12% of net revenues) compared to $13.6 million (13% of net revenues) in the prior year-to-date period. The dollar increase is due to a $0.4 million increase in stock compensation, a $0.2 million increase in charitable donations and a $0.2 million net increase in other items.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$4.7 million in the current quarter, compared to $3.8 million in the prior year quarter. Depreciation on assets placed in service, primarily at new and acquired stores, was partially offset by assets that were retired or became fully depreciated during the period.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loss on disposal of assets, due to store closures or consolidations, decreased to $0.2 million in the current quarter compared to $0.7 million in the prior year quarter. The prior year amount included a $0.5 million charge related to the closure of stores in Colorado and Wisconsin following the passage of legislative changes in those states negatively affecting payday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$0.6 million net interest expense in the current quarter and $0.2 million in the prior year quarter represent primarily interest on borrowed funds, the amortization of deferred financing costs and the commitment fee on our unused available credit. At June 30, 2011 we had $26.5 million in outstanding debt under our revolving credit agreement compared to $27.5 million of term debt outstanding at the end of the prior year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estimated equity in the net income of Albemarle &amp; Bond increased $0.1 million, or 8% in the current quarter to $1.7 million. On November 6, 2009, we acquired approximately 30% of the capital stock of Cash Converters International Limited, a publicly traded company headquartered in Perth, Australia. We acquired additional shares on May 20, 2010 which increased our ownership level to almost 33%. Our estimated equity in the net income of Cash Converters increased $1.1 million or 79% in the current quarter to $2.4 as a result of Cash Converters higher earnings and our additional investment acquired in the prior year quarter accounted for on a three-month lag.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 income tax expense was $14.1 million (34.7% of pretax income) compared to $11.7 million (36.9% of pretax income) for the prior year quarter. The decrease in effective tax rates is primarily due to an increase in both domestic employment tax credits and the foreign tax credit on overseas earnings, partially offset by the valuation allowance established for operating losses in our Canada operations during their start-up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the current quarter improved $8.2 million over the prior year quarter to $37.0 million. Contributing to this were the $8.4 million and $1.2 million increases in store operating income in our U.S. Pawn and Empeño Fácil segments and the $0.5 million improvement in loss of disposal of assets. Partially offsetting these was a $0.2 million decrease in store operating income in our EZMONEY segment, a $0.8 million increase in other administrative expenses and a $0.9 million increase in depreciation and amortization. After a $1.2 million increase in our equity in the net income of unconsolidated affiliates, a $0.4 million increase in net interest expense and a $2.5 million increase in income taxes and other smaller items, net income improved 33% to $26.5 million from $20.0 million in the prior year quarter.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Nine Months Ended June 30, 2011 vs. Nine Months Ended June 30, 2010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nine months ended June 30, 2011 to the nine months ended June 30, 2010. It should be read with the accompanying unaudited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U.S. Pawn Operations segment: </w:t>
      </w:r>
    </w:p>
    <w:tbl>
      <w:tblPr>
        <w:tblW w:w="5000" w:type="pct"/>
        <w:jc w:val="center"/>
        <w:tblInd w:w="0" w:type="dxa"/>
        <w:tblCellMar>
          <w:top w:w="0" w:type="dxa"/>
          <w:left w:w="0" w:type="dxa"/>
          <w:bottom w:w="0" w:type="dxa"/>
          <w:right w:w="0" w:type="dxa"/>
        </w:tblCellMar>
      </w:tblPr>
      <w:tblGrid>
        <w:gridCol w:w="6175"/>
        <w:gridCol w:w="401"/>
        <w:gridCol w:w="207"/>
        <w:gridCol w:w="1139"/>
        <w:gridCol w:w="281"/>
        <w:gridCol w:w="414"/>
        <w:gridCol w:w="207"/>
        <w:gridCol w:w="1142"/>
        <w:gridCol w:w="239"/>
      </w:tblGrid>
      <w:tr>
        <w:trPr/>
        <w:tc>
          <w:tcPr>
            <w:tcW w:w="617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3390" w:type="dxa"/>
            <w:gridSpan w:val="6"/>
            <w:tcBorders>
              <w:bottom w:val="single" w:sz="2" w:space="0" w:color="000000"/>
            </w:tcBorders>
            <w:shd w:fill="auto" w:val="clear"/>
            <w:tcMar>
              <w:bottom w:w="28" w:type="dxa"/>
            </w:tcMar>
            <w:vAlign w:val="bottom"/>
          </w:tcPr>
          <w:p>
            <w:pPr>
              <w:pStyle w:val="TableContents"/>
              <w:spacing w:before="0" w:after="283"/>
              <w:jc w:val="center"/>
              <w:rPr/>
            </w:pPr>
            <w:r>
              <w:rPr/>
              <w:t>Nine Months Ended June 30,</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34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34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3390" w:type="dxa"/>
            <w:gridSpan w:val="6"/>
            <w:tcBorders/>
            <w:shd w:fill="auto" w:val="clear"/>
            <w:vAlign w:val="bottom"/>
          </w:tcPr>
          <w:p>
            <w:pPr>
              <w:pStyle w:val="TableContents"/>
              <w:spacing w:before="0" w:after="283"/>
              <w:jc w:val="center"/>
              <w:rPr>
                <w:i/>
              </w:rPr>
            </w:pPr>
            <w:r>
              <w:rPr>
                <w:i/>
              </w:rPr>
              <w:t>(Dollars in thousands)</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Merchandise sales</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39" w:type="dxa"/>
            <w:tcBorders/>
            <w:shd w:fill="CCEEFF" w:val="clear"/>
            <w:vAlign w:val="bottom"/>
          </w:tcPr>
          <w:p>
            <w:pPr>
              <w:pStyle w:val="TableContents"/>
              <w:spacing w:before="0" w:after="283"/>
              <w:jc w:val="right"/>
              <w:rPr/>
            </w:pPr>
            <w:r>
              <w:rPr/>
              <w:t>196,893</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42" w:type="dxa"/>
            <w:tcBorders/>
            <w:shd w:fill="CCEEFF" w:val="clear"/>
            <w:vAlign w:val="bottom"/>
          </w:tcPr>
          <w:p>
            <w:pPr>
              <w:pStyle w:val="TableContents"/>
              <w:spacing w:before="0" w:after="283"/>
              <w:jc w:val="right"/>
              <w:rPr/>
            </w:pPr>
            <w:r>
              <w:rPr/>
              <w:t>174,060</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Jewelry scrapping sales</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137,221</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112,660</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Pawn service charges</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133,355</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112,211</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Signature loan fees</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1,607</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1,442</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Auto title loan fees</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1,092</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1,261</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Other</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420</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365</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center"/>
          </w:tcPr>
          <w:p>
            <w:pPr>
              <w:pStyle w:val="TableContents"/>
              <w:spacing w:before="0" w:after="0"/>
              <w:ind w:left="450" w:right="0" w:hanging="225"/>
              <w:rPr/>
            </w:pPr>
            <w:r>
              <w:rPr/>
              <w:t> </w:t>
            </w:r>
          </w:p>
        </w:tc>
        <w:tc>
          <w:tcPr>
            <w:tcW w:w="401" w:type="dxa"/>
            <w:tcBorders/>
            <w:shd w:fill="auto" w:val="clear"/>
            <w:vAlign w:val="center"/>
          </w:tcPr>
          <w:p>
            <w:pPr>
              <w:pStyle w:val="TableContents"/>
              <w:spacing w:before="0" w:after="283"/>
              <w:rPr/>
            </w:pPr>
            <w:r>
              <w:rPr/>
              <w:t> </w:t>
            </w:r>
          </w:p>
        </w:tc>
        <w:tc>
          <w:tcPr>
            <w:tcW w:w="13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1"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675" w:right="0" w:hanging="225"/>
              <w:rPr/>
            </w:pPr>
            <w:r>
              <w:rPr/>
              <w:t>Total revenues</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470,588</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401,999</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225" w:right="0" w:hanging="225"/>
              <w:rPr/>
            </w:pPr>
            <w:r>
              <w:rPr/>
              <w:t> </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Merchandise cost of goods sold</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112,592</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101,713</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Jewelry scrapping cost of goods sold</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86,979</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71,635</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Signature loan bad debt</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583</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446</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Auto title loan bad debt</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110</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166</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center"/>
          </w:tcPr>
          <w:p>
            <w:pPr>
              <w:pStyle w:val="TableContents"/>
              <w:spacing w:before="0" w:after="0"/>
              <w:ind w:left="450" w:right="0" w:hanging="225"/>
              <w:rPr/>
            </w:pPr>
            <w:r>
              <w:rPr/>
              <w:t> </w:t>
            </w:r>
          </w:p>
        </w:tc>
        <w:tc>
          <w:tcPr>
            <w:tcW w:w="401" w:type="dxa"/>
            <w:tcBorders/>
            <w:shd w:fill="auto" w:val="clear"/>
            <w:vAlign w:val="center"/>
          </w:tcPr>
          <w:p>
            <w:pPr>
              <w:pStyle w:val="TableContents"/>
              <w:spacing w:before="0" w:after="283"/>
              <w:rPr/>
            </w:pPr>
            <w:r>
              <w:rPr/>
              <w:t> </w:t>
            </w:r>
          </w:p>
        </w:tc>
        <w:tc>
          <w:tcPr>
            <w:tcW w:w="13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1"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75" w:type="dxa"/>
            <w:tcBorders/>
            <w:shd w:fill="auto" w:val="clear"/>
            <w:vAlign w:val="bottom"/>
          </w:tcPr>
          <w:p>
            <w:pPr>
              <w:pStyle w:val="TableContents"/>
              <w:spacing w:before="0" w:after="0"/>
              <w:ind w:left="225" w:right="0" w:hanging="225"/>
              <w:rPr/>
            </w:pPr>
            <w:r>
              <w:rPr/>
              <w:t> </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675" w:right="0" w:hanging="225"/>
              <w:rPr/>
            </w:pPr>
            <w:r>
              <w:rPr/>
              <w:t>Net revenues</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270,324</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228,039</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Operations expense</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131,293</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119,259</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center"/>
          </w:tcPr>
          <w:p>
            <w:pPr>
              <w:pStyle w:val="TableContents"/>
              <w:spacing w:before="0" w:after="0"/>
              <w:ind w:left="450" w:right="0" w:hanging="225"/>
              <w:rPr/>
            </w:pPr>
            <w:r>
              <w:rPr/>
              <w:t> </w:t>
            </w:r>
          </w:p>
        </w:tc>
        <w:tc>
          <w:tcPr>
            <w:tcW w:w="401" w:type="dxa"/>
            <w:tcBorders/>
            <w:shd w:fill="auto" w:val="clear"/>
            <w:vAlign w:val="center"/>
          </w:tcPr>
          <w:p>
            <w:pPr>
              <w:pStyle w:val="TableContents"/>
              <w:spacing w:before="0" w:after="283"/>
              <w:rPr/>
            </w:pPr>
            <w:r>
              <w:rPr/>
              <w:t> </w:t>
            </w:r>
          </w:p>
        </w:tc>
        <w:tc>
          <w:tcPr>
            <w:tcW w:w="13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1"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75" w:type="dxa"/>
            <w:tcBorders/>
            <w:shd w:fill="auto" w:val="clear"/>
            <w:vAlign w:val="bottom"/>
          </w:tcPr>
          <w:p>
            <w:pPr>
              <w:pStyle w:val="TableContents"/>
              <w:spacing w:before="0" w:after="0"/>
              <w:ind w:left="675" w:right="0" w:hanging="225"/>
              <w:rPr/>
            </w:pPr>
            <w:r>
              <w:rPr/>
              <w:t>Store operating income</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39" w:type="dxa"/>
            <w:tcBorders/>
            <w:shd w:fill="auto" w:val="clear"/>
            <w:vAlign w:val="bottom"/>
          </w:tcPr>
          <w:p>
            <w:pPr>
              <w:pStyle w:val="TableContents"/>
              <w:spacing w:before="0" w:after="283"/>
              <w:jc w:val="right"/>
              <w:rPr/>
            </w:pPr>
            <w:r>
              <w:rPr/>
              <w:t>139,031</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42" w:type="dxa"/>
            <w:tcBorders/>
            <w:shd w:fill="auto" w:val="clear"/>
            <w:vAlign w:val="bottom"/>
          </w:tcPr>
          <w:p>
            <w:pPr>
              <w:pStyle w:val="TableContents"/>
              <w:spacing w:before="0" w:after="283"/>
              <w:jc w:val="right"/>
              <w:rPr/>
            </w:pPr>
            <w:r>
              <w:rPr/>
              <w:t>108,780</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center"/>
          </w:tcPr>
          <w:p>
            <w:pPr>
              <w:pStyle w:val="TableContents"/>
              <w:spacing w:before="0" w:after="0"/>
              <w:ind w:left="450" w:right="0" w:hanging="225"/>
              <w:rPr/>
            </w:pPr>
            <w:r>
              <w:rPr/>
              <w:t> </w:t>
            </w:r>
          </w:p>
        </w:tc>
        <w:tc>
          <w:tcPr>
            <w:tcW w:w="401" w:type="dxa"/>
            <w:tcBorders/>
            <w:shd w:fill="auto" w:val="clear"/>
            <w:vAlign w:val="center"/>
          </w:tcPr>
          <w:p>
            <w:pPr>
              <w:pStyle w:val="TableContents"/>
              <w:spacing w:before="0" w:after="283"/>
              <w:rPr/>
            </w:pPr>
            <w:r>
              <w:rPr/>
              <w:t> </w:t>
            </w:r>
          </w:p>
        </w:tc>
        <w:tc>
          <w:tcPr>
            <w:tcW w:w="13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81"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75" w:type="dxa"/>
            <w:tcBorders/>
            <w:shd w:fill="auto" w:val="clear"/>
            <w:vAlign w:val="bottom"/>
          </w:tcPr>
          <w:p>
            <w:pPr>
              <w:pStyle w:val="TableContents"/>
              <w:spacing w:before="0" w:after="0"/>
              <w:ind w:left="225" w:right="0" w:hanging="225"/>
              <w:rPr/>
            </w:pPr>
            <w:r>
              <w:rPr/>
              <w:t> </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225" w:right="0" w:hanging="225"/>
              <w:rPr/>
            </w:pPr>
            <w:r>
              <w:rPr/>
              <w:t>Other Data:</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Gross margin on merchandise sales</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1139" w:type="dxa"/>
            <w:tcBorders/>
            <w:shd w:fill="auto" w:val="clear"/>
            <w:vAlign w:val="bottom"/>
          </w:tcPr>
          <w:p>
            <w:pPr>
              <w:pStyle w:val="TableContents"/>
              <w:spacing w:before="0" w:after="283"/>
              <w:jc w:val="right"/>
              <w:rPr/>
            </w:pPr>
            <w:r>
              <w:rPr/>
              <w:t>42.8</w:t>
            </w:r>
          </w:p>
        </w:tc>
        <w:tc>
          <w:tcPr>
            <w:tcW w:w="281" w:type="dxa"/>
            <w:tcBorders/>
            <w:shd w:fill="auto" w:val="clear"/>
            <w:vAlign w:val="bottom"/>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1142" w:type="dxa"/>
            <w:tcBorders/>
            <w:shd w:fill="auto" w:val="clear"/>
            <w:vAlign w:val="bottom"/>
          </w:tcPr>
          <w:p>
            <w:pPr>
              <w:pStyle w:val="TableContents"/>
              <w:spacing w:before="0" w:after="283"/>
              <w:jc w:val="right"/>
              <w:rPr/>
            </w:pPr>
            <w:r>
              <w:rPr/>
              <w:t>41.6</w:t>
            </w:r>
          </w:p>
        </w:tc>
        <w:tc>
          <w:tcPr>
            <w:tcW w:w="239" w:type="dxa"/>
            <w:tcBorders/>
            <w:shd w:fill="auto" w:val="clear"/>
            <w:vAlign w:val="bottom"/>
          </w:tcPr>
          <w:p>
            <w:pPr>
              <w:pStyle w:val="TableContents"/>
              <w:spacing w:before="0" w:after="283"/>
              <w:rPr/>
            </w:pPr>
            <w:r>
              <w:rPr/>
              <w:t>%</w:t>
            </w:r>
          </w:p>
        </w:tc>
      </w:tr>
      <w:tr>
        <w:trPr/>
        <w:tc>
          <w:tcPr>
            <w:tcW w:w="6175" w:type="dxa"/>
            <w:tcBorders/>
            <w:shd w:fill="CCEEFF" w:val="clear"/>
            <w:vAlign w:val="bottom"/>
          </w:tcPr>
          <w:p>
            <w:pPr>
              <w:pStyle w:val="TableContents"/>
              <w:spacing w:before="0" w:after="0"/>
              <w:ind w:left="450" w:right="0" w:hanging="225"/>
              <w:rPr/>
            </w:pPr>
            <w:r>
              <w:rPr/>
              <w:t>Gross margin on jewelry scrapping sales</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1139" w:type="dxa"/>
            <w:tcBorders/>
            <w:shd w:fill="CCEEFF" w:val="clear"/>
            <w:vAlign w:val="bottom"/>
          </w:tcPr>
          <w:p>
            <w:pPr>
              <w:pStyle w:val="TableContents"/>
              <w:spacing w:before="0" w:after="283"/>
              <w:jc w:val="right"/>
              <w:rPr/>
            </w:pPr>
            <w:r>
              <w:rPr/>
              <w:t>36.6</w:t>
            </w:r>
          </w:p>
        </w:tc>
        <w:tc>
          <w:tcPr>
            <w:tcW w:w="281" w:type="dxa"/>
            <w:tcBorders/>
            <w:shd w:fill="CCEEFF" w:val="clear"/>
            <w:vAlign w:val="bottom"/>
          </w:tcPr>
          <w:p>
            <w:pPr>
              <w:pStyle w:val="TableContents"/>
              <w:spacing w:before="0" w:after="283"/>
              <w:rPr/>
            </w:pPr>
            <w:r>
              <w:rPr/>
              <w:t>%</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1142" w:type="dxa"/>
            <w:tcBorders/>
            <w:shd w:fill="CCEEFF" w:val="clear"/>
            <w:vAlign w:val="bottom"/>
          </w:tcPr>
          <w:p>
            <w:pPr>
              <w:pStyle w:val="TableContents"/>
              <w:spacing w:before="0" w:after="283"/>
              <w:jc w:val="right"/>
              <w:rPr/>
            </w:pPr>
            <w:r>
              <w:rPr/>
              <w:t>36.4</w:t>
            </w:r>
          </w:p>
        </w:tc>
        <w:tc>
          <w:tcPr>
            <w:tcW w:w="239" w:type="dxa"/>
            <w:tcBorders/>
            <w:shd w:fill="CCEEFF" w:val="clear"/>
            <w:vAlign w:val="bottom"/>
          </w:tcPr>
          <w:p>
            <w:pPr>
              <w:pStyle w:val="TableContents"/>
              <w:spacing w:before="0" w:after="283"/>
              <w:rPr/>
            </w:pPr>
            <w:r>
              <w:rPr/>
              <w:t>%</w:t>
            </w:r>
          </w:p>
        </w:tc>
      </w:tr>
      <w:tr>
        <w:trPr/>
        <w:tc>
          <w:tcPr>
            <w:tcW w:w="6175" w:type="dxa"/>
            <w:tcBorders/>
            <w:shd w:fill="auto" w:val="clear"/>
            <w:vAlign w:val="bottom"/>
          </w:tcPr>
          <w:p>
            <w:pPr>
              <w:pStyle w:val="TableContents"/>
              <w:spacing w:before="0" w:after="0"/>
              <w:ind w:left="450" w:right="0" w:hanging="225"/>
              <w:rPr/>
            </w:pPr>
            <w:r>
              <w:rPr/>
              <w:t>Gross margin on total sales</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1139" w:type="dxa"/>
            <w:tcBorders/>
            <w:shd w:fill="auto" w:val="clear"/>
            <w:vAlign w:val="bottom"/>
          </w:tcPr>
          <w:p>
            <w:pPr>
              <w:pStyle w:val="TableContents"/>
              <w:spacing w:before="0" w:after="283"/>
              <w:jc w:val="right"/>
              <w:rPr/>
            </w:pPr>
            <w:r>
              <w:rPr/>
              <w:t>40.3</w:t>
            </w:r>
          </w:p>
        </w:tc>
        <w:tc>
          <w:tcPr>
            <w:tcW w:w="281" w:type="dxa"/>
            <w:tcBorders/>
            <w:shd w:fill="auto" w:val="clear"/>
            <w:vAlign w:val="bottom"/>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1142" w:type="dxa"/>
            <w:tcBorders/>
            <w:shd w:fill="auto" w:val="clear"/>
            <w:vAlign w:val="bottom"/>
          </w:tcPr>
          <w:p>
            <w:pPr>
              <w:pStyle w:val="TableContents"/>
              <w:spacing w:before="0" w:after="283"/>
              <w:jc w:val="right"/>
              <w:rPr/>
            </w:pPr>
            <w:r>
              <w:rPr/>
              <w:t>39.5</w:t>
            </w:r>
          </w:p>
        </w:tc>
        <w:tc>
          <w:tcPr>
            <w:tcW w:w="239" w:type="dxa"/>
            <w:tcBorders/>
            <w:shd w:fill="auto" w:val="clear"/>
            <w:vAlign w:val="bottom"/>
          </w:tcPr>
          <w:p>
            <w:pPr>
              <w:pStyle w:val="TableContents"/>
              <w:spacing w:before="0" w:after="283"/>
              <w:rPr/>
            </w:pPr>
            <w:r>
              <w:rPr/>
              <w:t>%</w:t>
            </w:r>
          </w:p>
        </w:tc>
      </w:tr>
      <w:tr>
        <w:trPr/>
        <w:tc>
          <w:tcPr>
            <w:tcW w:w="6175" w:type="dxa"/>
            <w:tcBorders/>
            <w:shd w:fill="CCEEFF" w:val="clear"/>
            <w:vAlign w:val="bottom"/>
          </w:tcPr>
          <w:p>
            <w:pPr>
              <w:pStyle w:val="TableContents"/>
              <w:spacing w:before="0" w:after="0"/>
              <w:ind w:left="450" w:right="0" w:hanging="225"/>
              <w:rPr/>
            </w:pPr>
            <w:r>
              <w:rPr/>
              <w:t>Average pawn loan balance per pawn store at period-end</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39" w:type="dxa"/>
            <w:tcBorders/>
            <w:shd w:fill="CCEEFF" w:val="clear"/>
            <w:vAlign w:val="bottom"/>
          </w:tcPr>
          <w:p>
            <w:pPr>
              <w:pStyle w:val="TableContents"/>
              <w:spacing w:before="0" w:after="283"/>
              <w:jc w:val="right"/>
              <w:rPr/>
            </w:pPr>
            <w:r>
              <w:rPr/>
              <w:t>293</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42" w:type="dxa"/>
            <w:tcBorders/>
            <w:shd w:fill="CCEEFF" w:val="clear"/>
            <w:vAlign w:val="bottom"/>
          </w:tcPr>
          <w:p>
            <w:pPr>
              <w:pStyle w:val="TableContents"/>
              <w:spacing w:before="0" w:after="283"/>
              <w:jc w:val="right"/>
              <w:rPr/>
            </w:pPr>
            <w:r>
              <w:rPr/>
              <w:t>280</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Average yield on pawn loan portfolio (a)</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1139" w:type="dxa"/>
            <w:tcBorders/>
            <w:shd w:fill="auto" w:val="clear"/>
            <w:vAlign w:val="bottom"/>
          </w:tcPr>
          <w:p>
            <w:pPr>
              <w:pStyle w:val="TableContents"/>
              <w:spacing w:before="0" w:after="283"/>
              <w:jc w:val="right"/>
              <w:rPr/>
            </w:pPr>
            <w:r>
              <w:rPr/>
              <w:t>159</w:t>
            </w:r>
          </w:p>
        </w:tc>
        <w:tc>
          <w:tcPr>
            <w:tcW w:w="281" w:type="dxa"/>
            <w:tcBorders/>
            <w:shd w:fill="auto" w:val="clear"/>
            <w:vAlign w:val="bottom"/>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1142" w:type="dxa"/>
            <w:tcBorders/>
            <w:shd w:fill="auto" w:val="clear"/>
            <w:vAlign w:val="bottom"/>
          </w:tcPr>
          <w:p>
            <w:pPr>
              <w:pStyle w:val="TableContents"/>
              <w:spacing w:before="0" w:after="283"/>
              <w:jc w:val="right"/>
              <w:rPr/>
            </w:pPr>
            <w:r>
              <w:rPr/>
              <w:t>158</w:t>
            </w:r>
          </w:p>
        </w:tc>
        <w:tc>
          <w:tcPr>
            <w:tcW w:w="239" w:type="dxa"/>
            <w:tcBorders/>
            <w:shd w:fill="auto" w:val="clear"/>
            <w:vAlign w:val="bottom"/>
          </w:tcPr>
          <w:p>
            <w:pPr>
              <w:pStyle w:val="TableContents"/>
              <w:spacing w:before="0" w:after="283"/>
              <w:rPr/>
            </w:pPr>
            <w:r>
              <w:rPr/>
              <w:t>%</w:t>
            </w:r>
          </w:p>
        </w:tc>
      </w:tr>
      <w:tr>
        <w:trPr/>
        <w:tc>
          <w:tcPr>
            <w:tcW w:w="6175" w:type="dxa"/>
            <w:tcBorders/>
            <w:shd w:fill="CCEEFF" w:val="clear"/>
            <w:vAlign w:val="bottom"/>
          </w:tcPr>
          <w:p>
            <w:pPr>
              <w:pStyle w:val="TableContents"/>
              <w:spacing w:before="0" w:after="0"/>
              <w:ind w:left="450" w:right="0" w:hanging="225"/>
              <w:rPr/>
            </w:pPr>
            <w:r>
              <w:rPr/>
              <w:t>Pawn loan redemption rate</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1139" w:type="dxa"/>
            <w:tcBorders/>
            <w:shd w:fill="CCEEFF" w:val="clear"/>
            <w:vAlign w:val="bottom"/>
          </w:tcPr>
          <w:p>
            <w:pPr>
              <w:pStyle w:val="TableContents"/>
              <w:spacing w:before="0" w:after="283"/>
              <w:jc w:val="right"/>
              <w:rPr/>
            </w:pPr>
            <w:r>
              <w:rPr/>
              <w:t>82</w:t>
            </w:r>
          </w:p>
        </w:tc>
        <w:tc>
          <w:tcPr>
            <w:tcW w:w="281" w:type="dxa"/>
            <w:tcBorders/>
            <w:shd w:fill="CCEEFF" w:val="clear"/>
            <w:vAlign w:val="bottom"/>
          </w:tcPr>
          <w:p>
            <w:pPr>
              <w:pStyle w:val="TableContents"/>
              <w:spacing w:before="0" w:after="283"/>
              <w:rPr/>
            </w:pPr>
            <w:r>
              <w:rPr/>
              <w:t>%</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1142" w:type="dxa"/>
            <w:tcBorders/>
            <w:shd w:fill="CCEEFF" w:val="clear"/>
            <w:vAlign w:val="bottom"/>
          </w:tcPr>
          <w:p>
            <w:pPr>
              <w:pStyle w:val="TableContents"/>
              <w:spacing w:before="0" w:after="283"/>
              <w:jc w:val="right"/>
              <w:rPr/>
            </w:pPr>
            <w:r>
              <w:rPr/>
              <w:t>81</w:t>
            </w:r>
          </w:p>
        </w:tc>
        <w:tc>
          <w:tcPr>
            <w:tcW w:w="239"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revenues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U.S. Pawn Operations segment total revenues increased $68.6 million, or 17% from the prior year-to-date period to $470.6 million. Same store total revenues increased $37.8 million, or 9%, and new and acquired stores net of closed stores contributed $30.8 million. The overall increase in total revenues was comprised primarily of a $47.4 million increase in merchandise and jewelry scrapping sales and a $21.1 million increase in pawn service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year-to-date period U.S. pawn service charge revenues increased $21.1 million, or 19% from the prior year-to-date period to $133.4 million. Same store pawn service charges increased $13.6 million, or 12%, while new and acquired stores net of closed stores contributed $7.5 million. The same store improvement was due to a higher average pawn loan balance coupled with a slightly higher yield. Inventory purchases from customers increased 22% from the prior year-to-date period and represent 32% of total inventory additions, excluding acquisitions, compared to 31% of total inventory additions in the prior year-to-date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year-to-date periods merchandise sales gross profit increased $12.0 million, or 17% from the prior year-to-date period to $84.3 million. This was due to an $11.1 million, or 6% increase in same store sales, an $11.7 million increase in sales from new and acquired stores net of closed stores and a 1.2 percentage point improvement in gross margins to 42.8%.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year-to-date periods gross profit on jewelry scrapping sales increased $9.2 million, or 22% from the prior year-to-date period to $50.2 million. Jewelry scrapping revenues increased $24.6 million, or 22% due to a 29% increase in proceeds realized per gram of gold jewelry scrapped, partially offset by an 8% decrease in gold volume. Jewelry scrapping sales include the sale of approximately $4.0 million in the current year-to-date period and $1.5 million in the prior year-to-date period of loose diamonds removed from scrapped jewelry. As a result of the higher average cost per gram of jewelry scrapped, scrap cost of goods increased $15.3 million, or 21%. Gross margins on gold scrapping increased 0.2 of a percentage point to 36.6% as proceeds per gram increased at a slightly faster rate than our gold lending guidelines.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$131.3 million (49% of net revenues) in the current year-to-date period from $119.3 million (52% of net revenues) in the prior year-to-date period. The dollar increase in expense was primarily due to higher operating costs at new and acquired stores. The improvement as a percent of net revenues is from greater scale at same stores and from expense management improvements made at acquired and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the $42.4 million greater net revenues from U.S. pawn activities, the $12.0 million higher operations expense and other smaller items resulted in a $30.3 million overall increase in store operating income from the U.S. Pawn Operations segment. The segment comprised 73% of consolidated store operating income compared to 71% in the prior year-to-date period.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Empeño Fácil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Empeño Fácil segment after translation to U.S. dollars and in its functional currency of the Mexican peso: </w:t>
      </w:r>
    </w:p>
    <w:tbl>
      <w:tblPr>
        <w:tblW w:w="5000" w:type="pct"/>
        <w:jc w:val="center"/>
        <w:tblInd w:w="0" w:type="dxa"/>
        <w:tblCellMar>
          <w:top w:w="0" w:type="dxa"/>
          <w:left w:w="0" w:type="dxa"/>
          <w:bottom w:w="0" w:type="dxa"/>
          <w:right w:w="0" w:type="dxa"/>
        </w:tblCellMar>
      </w:tblPr>
      <w:tblGrid>
        <w:gridCol w:w="3743"/>
        <w:gridCol w:w="331"/>
        <w:gridCol w:w="177"/>
        <w:gridCol w:w="870"/>
        <w:gridCol w:w="241"/>
        <w:gridCol w:w="336"/>
        <w:gridCol w:w="177"/>
        <w:gridCol w:w="871"/>
        <w:gridCol w:w="221"/>
        <w:gridCol w:w="331"/>
        <w:gridCol w:w="164"/>
        <w:gridCol w:w="898"/>
        <w:gridCol w:w="221"/>
        <w:gridCol w:w="330"/>
        <w:gridCol w:w="164"/>
        <w:gridCol w:w="898"/>
        <w:gridCol w:w="232"/>
      </w:tblGrid>
      <w:tr>
        <w:trPr/>
        <w:tc>
          <w:tcPr>
            <w:tcW w:w="3743"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5899" w:type="dxa"/>
            <w:gridSpan w:val="14"/>
            <w:tcBorders>
              <w:bottom w:val="single" w:sz="2" w:space="0" w:color="000000"/>
            </w:tcBorders>
            <w:shd w:fill="auto" w:val="clear"/>
            <w:tcMar>
              <w:bottom w:w="28" w:type="dxa"/>
            </w:tcMar>
            <w:vAlign w:val="bottom"/>
          </w:tcPr>
          <w:p>
            <w:pPr>
              <w:pStyle w:val="TableContents"/>
              <w:spacing w:before="0" w:after="283"/>
              <w:jc w:val="center"/>
              <w:rPr/>
            </w:pPr>
            <w:r>
              <w:rPr/>
              <w:t>Nine Months Ended June 30,</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06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06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672" w:type="dxa"/>
            <w:gridSpan w:val="6"/>
            <w:tcBorders/>
            <w:shd w:fill="auto" w:val="clear"/>
            <w:vAlign w:val="bottom"/>
          </w:tcPr>
          <w:p>
            <w:pPr>
              <w:pStyle w:val="TableContents"/>
              <w:spacing w:before="0" w:after="283"/>
              <w:jc w:val="center"/>
              <w:rPr>
                <w:i/>
              </w:rPr>
            </w:pPr>
            <w:r>
              <w:rPr>
                <w:i/>
              </w:rPr>
              <w:t>(Dollars in thousands)</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675" w:type="dxa"/>
            <w:gridSpan w:val="6"/>
            <w:tcBorders/>
            <w:shd w:fill="auto" w:val="clear"/>
            <w:vAlign w:val="bottom"/>
          </w:tcPr>
          <w:p>
            <w:pPr>
              <w:pStyle w:val="TableContents"/>
              <w:spacing w:before="0" w:after="283"/>
              <w:jc w:val="center"/>
              <w:rPr>
                <w:i/>
              </w:rPr>
            </w:pPr>
            <w:r>
              <w:rPr>
                <w:i/>
              </w:rPr>
              <w:t>(Pesos in thousands)</w:t>
            </w:r>
          </w:p>
        </w:tc>
        <w:tc>
          <w:tcPr>
            <w:tcW w:w="232" w:type="dxa"/>
            <w:tcBorders/>
            <w:shd w:fill="auto" w:val="clear"/>
            <w:vAlign w:val="bottom"/>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450" w:right="0" w:hanging="225"/>
              <w:rPr/>
            </w:pPr>
            <w:r>
              <w:rPr/>
              <w:t>Merchandise sales</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0" w:type="dxa"/>
            <w:tcBorders/>
            <w:shd w:fill="CCEEFF" w:val="clear"/>
            <w:vAlign w:val="bottom"/>
          </w:tcPr>
          <w:p>
            <w:pPr>
              <w:pStyle w:val="TableContents"/>
              <w:spacing w:before="0" w:after="283"/>
              <w:jc w:val="right"/>
              <w:rPr/>
            </w:pPr>
            <w:r>
              <w:rPr/>
              <w:t>17,329</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1" w:type="dxa"/>
            <w:tcBorders/>
            <w:shd w:fill="CCEEFF" w:val="clear"/>
            <w:vAlign w:val="bottom"/>
          </w:tcPr>
          <w:p>
            <w:pPr>
              <w:pStyle w:val="TableContents"/>
              <w:spacing w:before="0" w:after="283"/>
              <w:jc w:val="right"/>
              <w:rPr/>
            </w:pPr>
            <w:r>
              <w:rPr/>
              <w:t>10,142</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208,889</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129,713</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450" w:right="0" w:hanging="225"/>
              <w:rPr/>
            </w:pPr>
            <w:r>
              <w:rPr/>
              <w:t>Jewelry scrapping sales</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11,363</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4,550</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136,885</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57,742</w:t>
            </w:r>
          </w:p>
        </w:tc>
        <w:tc>
          <w:tcPr>
            <w:tcW w:w="232" w:type="dxa"/>
            <w:tcBorders/>
            <w:shd w:fill="auto" w:val="clear"/>
            <w:vAlign w:val="bottom"/>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450" w:right="0" w:hanging="225"/>
              <w:rPr/>
            </w:pPr>
            <w:r>
              <w:rPr/>
              <w:t>Pawn service charges</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11,589</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6,316</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139,495</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80,769</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450" w:right="0" w:hanging="225"/>
              <w:rPr/>
            </w:pPr>
            <w:r>
              <w:rPr/>
              <w:t>Other</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34</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404</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center"/>
          </w:tcPr>
          <w:p>
            <w:pPr>
              <w:pStyle w:val="TableContents"/>
              <w:spacing w:before="0" w:after="0"/>
              <w:ind w:left="450" w:right="0" w:hanging="225"/>
              <w:rPr/>
            </w:pPr>
            <w:r>
              <w:rPr/>
              <w:t> </w:t>
            </w:r>
          </w:p>
        </w:tc>
        <w:tc>
          <w:tcPr>
            <w:tcW w:w="331"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675" w:right="0" w:hanging="225"/>
              <w:rPr/>
            </w:pPr>
            <w:r>
              <w:rPr/>
              <w:t>Total revenues</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40,315</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21,008</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485,673</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268,224</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450" w:right="0" w:hanging="225"/>
              <w:rPr/>
            </w:pPr>
            <w:r>
              <w:rPr/>
              <w:t>Merchandise cost of goods sold</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10,036</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6,342</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120,901</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81,192</w:t>
            </w:r>
          </w:p>
        </w:tc>
        <w:tc>
          <w:tcPr>
            <w:tcW w:w="232" w:type="dxa"/>
            <w:tcBorders/>
            <w:shd w:fill="auto" w:val="clear"/>
            <w:vAlign w:val="bottom"/>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450" w:right="0" w:hanging="225"/>
              <w:rPr/>
            </w:pPr>
            <w:r>
              <w:rPr/>
              <w:t>Jewelry scrapping cost of goods sold</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9,201</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3,911</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110,771</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49,592</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center"/>
          </w:tcPr>
          <w:p>
            <w:pPr>
              <w:pStyle w:val="TableContents"/>
              <w:spacing w:before="0" w:after="0"/>
              <w:ind w:left="450" w:right="0" w:hanging="225"/>
              <w:rPr/>
            </w:pPr>
            <w:r>
              <w:rPr/>
              <w:t> </w:t>
            </w:r>
          </w:p>
        </w:tc>
        <w:tc>
          <w:tcPr>
            <w:tcW w:w="331"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r>
      <w:tr>
        <w:trPr/>
        <w:tc>
          <w:tcPr>
            <w:tcW w:w="3743" w:type="dxa"/>
            <w:tcBorders/>
            <w:shd w:fill="auto" w:val="clear"/>
            <w:vAlign w:val="bottom"/>
          </w:tcPr>
          <w:p>
            <w:pPr>
              <w:pStyle w:val="TableContents"/>
              <w:spacing w:before="0" w:after="0"/>
              <w:ind w:left="675" w:right="0" w:hanging="225"/>
              <w:rPr/>
            </w:pPr>
            <w:r>
              <w:rPr/>
              <w:t>Net revenues</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21,078</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10,755</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254,001</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137,440</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450" w:right="0" w:hanging="225"/>
              <w:rPr/>
            </w:pPr>
            <w:r>
              <w:rPr/>
              <w:t>Operations expense</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14,533</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7,736</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175,042</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98,884</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center"/>
          </w:tcPr>
          <w:p>
            <w:pPr>
              <w:pStyle w:val="TableContents"/>
              <w:spacing w:before="0" w:after="0"/>
              <w:ind w:left="450" w:right="0" w:hanging="225"/>
              <w:rPr/>
            </w:pPr>
            <w:r>
              <w:rPr/>
              <w:t> </w:t>
            </w:r>
          </w:p>
        </w:tc>
        <w:tc>
          <w:tcPr>
            <w:tcW w:w="331"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r>
      <w:tr>
        <w:trPr/>
        <w:tc>
          <w:tcPr>
            <w:tcW w:w="3743" w:type="dxa"/>
            <w:tcBorders/>
            <w:shd w:fill="auto" w:val="clear"/>
            <w:vAlign w:val="bottom"/>
          </w:tcPr>
          <w:p>
            <w:pPr>
              <w:pStyle w:val="TableContents"/>
              <w:spacing w:before="0" w:after="0"/>
              <w:ind w:left="675" w:right="0" w:hanging="225"/>
              <w:rPr/>
            </w:pPr>
            <w:r>
              <w:rPr/>
              <w:t>Store operating income</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0" w:type="dxa"/>
            <w:tcBorders/>
            <w:shd w:fill="auto" w:val="clear"/>
            <w:vAlign w:val="bottom"/>
          </w:tcPr>
          <w:p>
            <w:pPr>
              <w:pStyle w:val="TableContents"/>
              <w:spacing w:before="0" w:after="283"/>
              <w:jc w:val="right"/>
              <w:rPr/>
            </w:pPr>
            <w:r>
              <w:rPr/>
              <w:t>6,545</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1" w:type="dxa"/>
            <w:tcBorders/>
            <w:shd w:fill="auto" w:val="clear"/>
            <w:vAlign w:val="bottom"/>
          </w:tcPr>
          <w:p>
            <w:pPr>
              <w:pStyle w:val="TableContents"/>
              <w:spacing w:before="0" w:after="283"/>
              <w:jc w:val="right"/>
              <w:rPr/>
            </w:pPr>
            <w:r>
              <w:rPr/>
              <w:t>3,019</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78,959</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38,556</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center"/>
          </w:tcPr>
          <w:p>
            <w:pPr>
              <w:pStyle w:val="TableContents"/>
              <w:spacing w:before="0" w:after="0"/>
              <w:ind w:left="450" w:right="0" w:hanging="225"/>
              <w:rPr/>
            </w:pPr>
            <w:r>
              <w:rPr/>
              <w:t> </w:t>
            </w:r>
          </w:p>
        </w:tc>
        <w:tc>
          <w:tcPr>
            <w:tcW w:w="331"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r>
      <w:tr>
        <w:trPr/>
        <w:tc>
          <w:tcPr>
            <w:tcW w:w="3743"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225" w:right="0" w:hanging="225"/>
              <w:rPr/>
            </w:pPr>
            <w:r>
              <w:rPr/>
              <w:t>Other Data:</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450" w:right="0" w:hanging="225"/>
              <w:rPr/>
            </w:pPr>
            <w:r>
              <w:rPr/>
              <w:t>Gross margin on merchandise sales</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0" w:type="dxa"/>
            <w:tcBorders/>
            <w:shd w:fill="auto" w:val="clear"/>
            <w:vAlign w:val="bottom"/>
          </w:tcPr>
          <w:p>
            <w:pPr>
              <w:pStyle w:val="TableContents"/>
              <w:spacing w:before="0" w:after="283"/>
              <w:jc w:val="right"/>
              <w:rPr/>
            </w:pPr>
            <w:r>
              <w:rPr/>
              <w:t>42.1</w:t>
            </w:r>
          </w:p>
        </w:tc>
        <w:tc>
          <w:tcPr>
            <w:tcW w:w="241" w:type="dxa"/>
            <w:tcBorders/>
            <w:shd w:fill="auto" w:val="clear"/>
            <w:vAlign w:val="bottom"/>
          </w:tcPr>
          <w:p>
            <w:pPr>
              <w:pStyle w:val="TableContents"/>
              <w:spacing w:before="0" w:after="283"/>
              <w:rPr/>
            </w:pPr>
            <w:r>
              <w:rPr/>
              <w:t>%</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1" w:type="dxa"/>
            <w:tcBorders/>
            <w:shd w:fill="auto" w:val="clear"/>
            <w:vAlign w:val="bottom"/>
          </w:tcPr>
          <w:p>
            <w:pPr>
              <w:pStyle w:val="TableContents"/>
              <w:spacing w:before="0" w:after="283"/>
              <w:jc w:val="right"/>
              <w:rPr/>
            </w:pPr>
            <w:r>
              <w:rPr/>
              <w:t>37.5</w:t>
            </w:r>
          </w:p>
        </w:tc>
        <w:tc>
          <w:tcPr>
            <w:tcW w:w="221"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42.1</w:t>
            </w:r>
          </w:p>
        </w:tc>
        <w:tc>
          <w:tcPr>
            <w:tcW w:w="221" w:type="dxa"/>
            <w:tcBorders/>
            <w:shd w:fill="auto" w:val="clear"/>
            <w:vAlign w:val="bottom"/>
          </w:tcPr>
          <w:p>
            <w:pPr>
              <w:pStyle w:val="TableContents"/>
              <w:spacing w:before="0" w:after="283"/>
              <w:rPr/>
            </w:pPr>
            <w:r>
              <w:rPr/>
              <w:t>%</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37.5</w:t>
            </w:r>
          </w:p>
        </w:tc>
        <w:tc>
          <w:tcPr>
            <w:tcW w:w="232" w:type="dxa"/>
            <w:tcBorders/>
            <w:shd w:fill="auto" w:val="clear"/>
            <w:vAlign w:val="bottom"/>
          </w:tcPr>
          <w:p>
            <w:pPr>
              <w:pStyle w:val="TableContents"/>
              <w:spacing w:before="0" w:after="283"/>
              <w:rPr/>
            </w:pPr>
            <w:r>
              <w:rPr/>
              <w:t>%</w:t>
            </w:r>
          </w:p>
        </w:tc>
      </w:tr>
      <w:tr>
        <w:trPr/>
        <w:tc>
          <w:tcPr>
            <w:tcW w:w="3743" w:type="dxa"/>
            <w:tcBorders/>
            <w:shd w:fill="CCEEFF" w:val="clear"/>
            <w:vAlign w:val="bottom"/>
          </w:tcPr>
          <w:p>
            <w:pPr>
              <w:pStyle w:val="TableContents"/>
              <w:spacing w:before="0" w:after="0"/>
              <w:ind w:left="450" w:right="0" w:hanging="225"/>
              <w:rPr/>
            </w:pPr>
            <w:r>
              <w:rPr/>
              <w:t>Gross margin on jewelry scrapping sales</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0" w:type="dxa"/>
            <w:tcBorders/>
            <w:shd w:fill="CCEEFF" w:val="clear"/>
            <w:vAlign w:val="bottom"/>
          </w:tcPr>
          <w:p>
            <w:pPr>
              <w:pStyle w:val="TableContents"/>
              <w:spacing w:before="0" w:after="283"/>
              <w:jc w:val="right"/>
              <w:rPr/>
            </w:pPr>
            <w:r>
              <w:rPr/>
              <w:t>19.0</w:t>
            </w:r>
          </w:p>
        </w:tc>
        <w:tc>
          <w:tcPr>
            <w:tcW w:w="241" w:type="dxa"/>
            <w:tcBorders/>
            <w:shd w:fill="CCEEFF" w:val="clear"/>
            <w:vAlign w:val="bottom"/>
          </w:tcPr>
          <w:p>
            <w:pPr>
              <w:pStyle w:val="TableContents"/>
              <w:spacing w:before="0" w:after="283"/>
              <w:rPr/>
            </w:pPr>
            <w:r>
              <w:rPr/>
              <w:t>%</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1" w:type="dxa"/>
            <w:tcBorders/>
            <w:shd w:fill="CCEEFF" w:val="clear"/>
            <w:vAlign w:val="bottom"/>
          </w:tcPr>
          <w:p>
            <w:pPr>
              <w:pStyle w:val="TableContents"/>
              <w:spacing w:before="0" w:after="283"/>
              <w:jc w:val="right"/>
              <w:rPr/>
            </w:pPr>
            <w:r>
              <w:rPr/>
              <w:t>14.0</w:t>
            </w:r>
          </w:p>
        </w:tc>
        <w:tc>
          <w:tcPr>
            <w:tcW w:w="221" w:type="dxa"/>
            <w:tcBorders/>
            <w:shd w:fill="CCEEFF" w:val="clear"/>
            <w:vAlign w:val="bottom"/>
          </w:tcPr>
          <w:p>
            <w:pPr>
              <w:pStyle w:val="TableContents"/>
              <w:spacing w:before="0" w:after="283"/>
              <w:rPr/>
            </w:pPr>
            <w:r>
              <w:rPr/>
              <w:t>%</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19.0</w:t>
            </w:r>
          </w:p>
        </w:tc>
        <w:tc>
          <w:tcPr>
            <w:tcW w:w="221" w:type="dxa"/>
            <w:tcBorders/>
            <w:shd w:fill="CCEEFF" w:val="clear"/>
            <w:vAlign w:val="bottom"/>
          </w:tcPr>
          <w:p>
            <w:pPr>
              <w:pStyle w:val="TableContents"/>
              <w:spacing w:before="0" w:after="283"/>
              <w:rPr/>
            </w:pPr>
            <w:r>
              <w:rPr/>
              <w:t>%</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14.0</w:t>
            </w:r>
          </w:p>
        </w:tc>
        <w:tc>
          <w:tcPr>
            <w:tcW w:w="232" w:type="dxa"/>
            <w:tcBorders/>
            <w:shd w:fill="CCEEFF" w:val="clear"/>
            <w:vAlign w:val="bottom"/>
          </w:tcPr>
          <w:p>
            <w:pPr>
              <w:pStyle w:val="TableContents"/>
              <w:spacing w:before="0" w:after="283"/>
              <w:rPr/>
            </w:pPr>
            <w:r>
              <w:rPr/>
              <w:t>%</w:t>
            </w:r>
          </w:p>
        </w:tc>
      </w:tr>
      <w:tr>
        <w:trPr/>
        <w:tc>
          <w:tcPr>
            <w:tcW w:w="3743" w:type="dxa"/>
            <w:tcBorders/>
            <w:shd w:fill="auto" w:val="clear"/>
            <w:vAlign w:val="bottom"/>
          </w:tcPr>
          <w:p>
            <w:pPr>
              <w:pStyle w:val="TableContents"/>
              <w:spacing w:before="0" w:after="0"/>
              <w:ind w:left="450" w:right="0" w:hanging="225"/>
              <w:rPr/>
            </w:pPr>
            <w:r>
              <w:rPr/>
              <w:t>Gross margin on total sales</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0" w:type="dxa"/>
            <w:tcBorders/>
            <w:shd w:fill="auto" w:val="clear"/>
            <w:vAlign w:val="bottom"/>
          </w:tcPr>
          <w:p>
            <w:pPr>
              <w:pStyle w:val="TableContents"/>
              <w:spacing w:before="0" w:after="283"/>
              <w:jc w:val="right"/>
              <w:rPr/>
            </w:pPr>
            <w:r>
              <w:rPr/>
              <w:t>33.0</w:t>
            </w:r>
          </w:p>
        </w:tc>
        <w:tc>
          <w:tcPr>
            <w:tcW w:w="241" w:type="dxa"/>
            <w:tcBorders/>
            <w:shd w:fill="auto" w:val="clear"/>
            <w:vAlign w:val="bottom"/>
          </w:tcPr>
          <w:p>
            <w:pPr>
              <w:pStyle w:val="TableContents"/>
              <w:spacing w:before="0" w:after="283"/>
              <w:rPr/>
            </w:pPr>
            <w:r>
              <w:rPr/>
              <w:t>%</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1" w:type="dxa"/>
            <w:tcBorders/>
            <w:shd w:fill="auto" w:val="clear"/>
            <w:vAlign w:val="bottom"/>
          </w:tcPr>
          <w:p>
            <w:pPr>
              <w:pStyle w:val="TableContents"/>
              <w:spacing w:before="0" w:after="283"/>
              <w:jc w:val="right"/>
              <w:rPr/>
            </w:pPr>
            <w:r>
              <w:rPr/>
              <w:t>30.2</w:t>
            </w:r>
          </w:p>
        </w:tc>
        <w:tc>
          <w:tcPr>
            <w:tcW w:w="221"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33.0</w:t>
            </w:r>
          </w:p>
        </w:tc>
        <w:tc>
          <w:tcPr>
            <w:tcW w:w="221" w:type="dxa"/>
            <w:tcBorders/>
            <w:shd w:fill="auto" w:val="clear"/>
            <w:vAlign w:val="bottom"/>
          </w:tcPr>
          <w:p>
            <w:pPr>
              <w:pStyle w:val="TableContents"/>
              <w:spacing w:before="0" w:after="283"/>
              <w:rPr/>
            </w:pPr>
            <w:r>
              <w:rPr/>
              <w:t>%</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30.2</w:t>
            </w:r>
          </w:p>
        </w:tc>
        <w:tc>
          <w:tcPr>
            <w:tcW w:w="232" w:type="dxa"/>
            <w:tcBorders/>
            <w:shd w:fill="auto" w:val="clear"/>
            <w:vAlign w:val="bottom"/>
          </w:tcPr>
          <w:p>
            <w:pPr>
              <w:pStyle w:val="TableContents"/>
              <w:spacing w:before="0" w:after="283"/>
              <w:rPr/>
            </w:pPr>
            <w:r>
              <w:rPr/>
              <w:t>%</w:t>
            </w:r>
          </w:p>
        </w:tc>
      </w:tr>
      <w:tr>
        <w:trPr/>
        <w:tc>
          <w:tcPr>
            <w:tcW w:w="3743" w:type="dxa"/>
            <w:tcBorders/>
            <w:shd w:fill="CCEEFF" w:val="clear"/>
            <w:vAlign w:val="bottom"/>
          </w:tcPr>
          <w:p>
            <w:pPr>
              <w:pStyle w:val="TableContents"/>
              <w:spacing w:before="0" w:after="0"/>
              <w:ind w:left="450" w:right="0" w:hanging="225"/>
              <w:rPr/>
            </w:pPr>
            <w:r>
              <w:rPr/>
              <w:t>Average pawn loan balance per pawn store at period-end</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0" w:type="dxa"/>
            <w:tcBorders/>
            <w:shd w:fill="CCEEFF" w:val="clear"/>
            <w:vAlign w:val="bottom"/>
          </w:tcPr>
          <w:p>
            <w:pPr>
              <w:pStyle w:val="TableContents"/>
              <w:spacing w:before="0" w:after="283"/>
              <w:jc w:val="right"/>
              <w:rPr/>
            </w:pPr>
            <w:r>
              <w:rPr/>
              <w:t>63</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1" w:type="dxa"/>
            <w:tcBorders/>
            <w:shd w:fill="CCEEFF" w:val="clear"/>
            <w:vAlign w:val="bottom"/>
          </w:tcPr>
          <w:p>
            <w:pPr>
              <w:pStyle w:val="TableContents"/>
              <w:spacing w:before="0" w:after="283"/>
              <w:jc w:val="right"/>
              <w:rPr/>
            </w:pPr>
            <w:r>
              <w:rPr/>
              <w:t>54</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747</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689</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450" w:right="0" w:hanging="225"/>
              <w:rPr/>
            </w:pPr>
            <w:r>
              <w:rPr/>
              <w:t>Average yield on pawn loan portfolio (a)</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0" w:type="dxa"/>
            <w:tcBorders/>
            <w:shd w:fill="auto" w:val="clear"/>
            <w:vAlign w:val="bottom"/>
          </w:tcPr>
          <w:p>
            <w:pPr>
              <w:pStyle w:val="TableContents"/>
              <w:spacing w:before="0" w:after="283"/>
              <w:jc w:val="right"/>
              <w:rPr/>
            </w:pPr>
            <w:r>
              <w:rPr/>
              <w:t>184</w:t>
            </w:r>
          </w:p>
        </w:tc>
        <w:tc>
          <w:tcPr>
            <w:tcW w:w="241" w:type="dxa"/>
            <w:tcBorders/>
            <w:shd w:fill="auto" w:val="clear"/>
            <w:vAlign w:val="bottom"/>
          </w:tcPr>
          <w:p>
            <w:pPr>
              <w:pStyle w:val="TableContents"/>
              <w:spacing w:before="0" w:after="283"/>
              <w:rPr/>
            </w:pPr>
            <w:r>
              <w:rPr/>
              <w:t>%</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1" w:type="dxa"/>
            <w:tcBorders/>
            <w:shd w:fill="auto" w:val="clear"/>
            <w:vAlign w:val="bottom"/>
          </w:tcPr>
          <w:p>
            <w:pPr>
              <w:pStyle w:val="TableContents"/>
              <w:spacing w:before="0" w:after="283"/>
              <w:jc w:val="right"/>
              <w:rPr/>
            </w:pPr>
            <w:r>
              <w:rPr/>
              <w:t>183</w:t>
            </w:r>
          </w:p>
        </w:tc>
        <w:tc>
          <w:tcPr>
            <w:tcW w:w="221"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184</w:t>
            </w:r>
          </w:p>
        </w:tc>
        <w:tc>
          <w:tcPr>
            <w:tcW w:w="221" w:type="dxa"/>
            <w:tcBorders/>
            <w:shd w:fill="auto" w:val="clear"/>
            <w:vAlign w:val="bottom"/>
          </w:tcPr>
          <w:p>
            <w:pPr>
              <w:pStyle w:val="TableContents"/>
              <w:spacing w:before="0" w:after="283"/>
              <w:rPr/>
            </w:pPr>
            <w:r>
              <w:rPr/>
              <w:t>%</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183</w:t>
            </w:r>
          </w:p>
        </w:tc>
        <w:tc>
          <w:tcPr>
            <w:tcW w:w="232" w:type="dxa"/>
            <w:tcBorders/>
            <w:shd w:fill="auto" w:val="clear"/>
            <w:vAlign w:val="bottom"/>
          </w:tcPr>
          <w:p>
            <w:pPr>
              <w:pStyle w:val="TableContents"/>
              <w:spacing w:before="0" w:after="283"/>
              <w:rPr/>
            </w:pPr>
            <w:r>
              <w:rPr/>
              <w:t>%</w:t>
            </w:r>
          </w:p>
        </w:tc>
      </w:tr>
      <w:tr>
        <w:trPr/>
        <w:tc>
          <w:tcPr>
            <w:tcW w:w="3743" w:type="dxa"/>
            <w:tcBorders/>
            <w:shd w:fill="CCEEFF" w:val="clear"/>
            <w:vAlign w:val="bottom"/>
          </w:tcPr>
          <w:p>
            <w:pPr>
              <w:pStyle w:val="TableContents"/>
              <w:spacing w:before="0" w:after="0"/>
              <w:ind w:left="450" w:right="0" w:hanging="225"/>
              <w:rPr/>
            </w:pPr>
            <w:r>
              <w:rPr/>
              <w:t>Pawn loan redemption rate</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0" w:type="dxa"/>
            <w:tcBorders/>
            <w:shd w:fill="CCEEFF" w:val="clear"/>
            <w:vAlign w:val="bottom"/>
          </w:tcPr>
          <w:p>
            <w:pPr>
              <w:pStyle w:val="TableContents"/>
              <w:spacing w:before="0" w:after="283"/>
              <w:jc w:val="right"/>
              <w:rPr/>
            </w:pPr>
            <w:r>
              <w:rPr/>
              <w:t>73</w:t>
            </w:r>
          </w:p>
        </w:tc>
        <w:tc>
          <w:tcPr>
            <w:tcW w:w="241" w:type="dxa"/>
            <w:tcBorders/>
            <w:shd w:fill="CCEEFF" w:val="clear"/>
            <w:vAlign w:val="bottom"/>
          </w:tcPr>
          <w:p>
            <w:pPr>
              <w:pStyle w:val="TableContents"/>
              <w:spacing w:before="0" w:after="283"/>
              <w:rPr/>
            </w:pPr>
            <w:r>
              <w:rPr/>
              <w:t>%</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1" w:type="dxa"/>
            <w:tcBorders/>
            <w:shd w:fill="CCEEFF" w:val="clear"/>
            <w:vAlign w:val="bottom"/>
          </w:tcPr>
          <w:p>
            <w:pPr>
              <w:pStyle w:val="TableContents"/>
              <w:spacing w:before="0" w:after="283"/>
              <w:jc w:val="right"/>
              <w:rPr/>
            </w:pPr>
            <w:r>
              <w:rPr/>
              <w:t>76</w:t>
            </w:r>
          </w:p>
        </w:tc>
        <w:tc>
          <w:tcPr>
            <w:tcW w:w="221" w:type="dxa"/>
            <w:tcBorders/>
            <w:shd w:fill="CCEEFF" w:val="clear"/>
            <w:vAlign w:val="bottom"/>
          </w:tcPr>
          <w:p>
            <w:pPr>
              <w:pStyle w:val="TableContents"/>
              <w:spacing w:before="0" w:after="283"/>
              <w:rPr/>
            </w:pPr>
            <w:r>
              <w:rPr/>
              <w:t>%</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73</w:t>
            </w:r>
          </w:p>
        </w:tc>
        <w:tc>
          <w:tcPr>
            <w:tcW w:w="221" w:type="dxa"/>
            <w:tcBorders/>
            <w:shd w:fill="CCEEFF" w:val="clear"/>
            <w:vAlign w:val="bottom"/>
          </w:tcPr>
          <w:p>
            <w:pPr>
              <w:pStyle w:val="TableContents"/>
              <w:spacing w:before="0" w:after="283"/>
              <w:rPr/>
            </w:pPr>
            <w:r>
              <w:rPr/>
              <w:t>%</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76</w:t>
            </w:r>
          </w:p>
        </w:tc>
        <w:tc>
          <w:tcPr>
            <w:tcW w:w="232"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revenues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average exchange rate used to translate Empeño Fácils current year-to-date period results from Mexican pesos to U.S. dollars was 6% stronger than in the prior year-to-date period, affecting all revenue and expense items. Store operating income improved 117% in the current year-to-date period in dollars and 105% in peso terms. The 96% increase in net revenues was further improved by greater scale at same stores. Approximately 36% of the stores open at June 30, 2011 had been open less than a year. We opened 40 new stores in the current year-to-date period, six of which are Empeñe su Oro jewelry-only pawn stores. These jewelry-only stores are much smaller and require less staff than our typical pawn stores, but also carry smaller average loan balances per store and immediately sell for scrap any forfeited loan collateral.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total revenues increased $19.3 million, or 92% in the current year-to-date period to $40.3 million. Same store total revenues increased $7.5 million, or 36% and new stores contributed $11.8 million. The overall increase in total revenues was comprised of a $14.0 million increase in merchandise and jewelry scrapping sales and a $5.3 million improvement in pawn service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pawn service charge revenues increased $5.3 million, or 83% in the current year-to-date period to $11.6 million. Same store pawn service charges increased approximately $2.7 million, or 42% and new stores contributed $2.6 million. The same store increase was due to an increase in average loan balance during the year-to-date period, coupled with a slight improvement in the average pawn loan yield. The yield increased primarily due to an increase in pawn service charge rates in certain geographic areas compared to the prior year, partially offset by a lower loan redemption 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Merchandise gross profit increased $3.5 million from the prior year-to-date period to $7.3 million. This was due to a $2.8 million, or 28% same store sales increase and $4.4 million in sales from new stores, combined with a 4.6 percentage point improvement in gross margins to 42.1%. The prior year cost of goods sold was unusually high due to promotions to liquidate aged and damaged inventory in that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gross profit on jewelry scrapping sales increased $1.5 million from the prior year-to-date period to $2.2 million. Jewelry scrapping revenues increased $6.8 million due to an increase in volume and the sales proceeds per gram. Margins improved 5.0 percentage points to 19.0%. The significant volume increase is due primarily to new store openings and the continuing maturation of stores opened in the prior year. Increased purchases from customers in our jewelry-only pawn stores contributed to the margin improvement.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$14.5 million (69% of net revenues) from $7.7 million (72% of net revenues) in the prior year-to-date period. The dollar increase in expense was primarily due to new stores. The improvement as a percent of net revenues is primarily from greater scale at same stores as they mature. We expect further percentage improvements in future periods as we continue to build a larger base of maturing stores to support our new store growth.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the $10.3 million greater net revenues were partially offset by the $6.8 million higher operations expense, resulting in a $3.5 million increase in store operating income from the Empeño Fácil segment. Empeño Fácil comprised 3% of consolidated store operating income compared to 2% in the prior year-to-date period.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6175"/>
        <w:gridCol w:w="401"/>
        <w:gridCol w:w="207"/>
        <w:gridCol w:w="1139"/>
        <w:gridCol w:w="281"/>
        <w:gridCol w:w="414"/>
        <w:gridCol w:w="207"/>
        <w:gridCol w:w="1142"/>
        <w:gridCol w:w="239"/>
      </w:tblGrid>
      <w:tr>
        <w:trPr/>
        <w:tc>
          <w:tcPr>
            <w:tcW w:w="617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3390" w:type="dxa"/>
            <w:gridSpan w:val="6"/>
            <w:tcBorders>
              <w:bottom w:val="single" w:sz="2" w:space="0" w:color="000000"/>
            </w:tcBorders>
            <w:shd w:fill="auto" w:val="clear"/>
            <w:tcMar>
              <w:bottom w:w="28" w:type="dxa"/>
            </w:tcMar>
            <w:vAlign w:val="bottom"/>
          </w:tcPr>
          <w:p>
            <w:pPr>
              <w:pStyle w:val="TableContents"/>
              <w:spacing w:before="0" w:after="283"/>
              <w:jc w:val="center"/>
              <w:rPr/>
            </w:pPr>
            <w:r>
              <w:rPr/>
              <w:t>Nine Months Ended June 30,</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34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34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3390" w:type="dxa"/>
            <w:gridSpan w:val="6"/>
            <w:tcBorders/>
            <w:shd w:fill="auto" w:val="clear"/>
            <w:vAlign w:val="bottom"/>
          </w:tcPr>
          <w:p>
            <w:pPr>
              <w:pStyle w:val="TableContents"/>
              <w:spacing w:before="0" w:after="283"/>
              <w:jc w:val="center"/>
              <w:rPr>
                <w:i/>
              </w:rPr>
            </w:pPr>
            <w:r>
              <w:rPr>
                <w:i/>
              </w:rPr>
              <w:t>(Dollars in thousands)</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Signature loan fees</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39" w:type="dxa"/>
            <w:tcBorders/>
            <w:shd w:fill="CCEEFF" w:val="clear"/>
            <w:vAlign w:val="bottom"/>
          </w:tcPr>
          <w:p>
            <w:pPr>
              <w:pStyle w:val="TableContents"/>
              <w:spacing w:before="0" w:after="283"/>
              <w:jc w:val="right"/>
              <w:rPr/>
            </w:pPr>
            <w:r>
              <w:rPr/>
              <w:t>107,757</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42" w:type="dxa"/>
            <w:tcBorders/>
            <w:shd w:fill="CCEEFF" w:val="clear"/>
            <w:vAlign w:val="bottom"/>
          </w:tcPr>
          <w:p>
            <w:pPr>
              <w:pStyle w:val="TableContents"/>
              <w:spacing w:before="0" w:after="283"/>
              <w:jc w:val="right"/>
              <w:rPr/>
            </w:pPr>
            <w:r>
              <w:rPr/>
              <w:t>101,174</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Auto title loan fees</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15,196</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10,455</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Merchandise sales</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5</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Jewelry scrapping sales</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847</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233</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Other</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524</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8</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center"/>
          </w:tcPr>
          <w:p>
            <w:pPr>
              <w:pStyle w:val="TableContents"/>
              <w:spacing w:before="0" w:after="0"/>
              <w:ind w:left="225" w:right="0" w:hanging="225"/>
              <w:rPr/>
            </w:pPr>
            <w:r>
              <w:rPr/>
              <w:t> </w:t>
            </w:r>
          </w:p>
        </w:tc>
        <w:tc>
          <w:tcPr>
            <w:tcW w:w="401" w:type="dxa"/>
            <w:tcBorders/>
            <w:shd w:fill="auto" w:val="clear"/>
            <w:vAlign w:val="center"/>
          </w:tcPr>
          <w:p>
            <w:pPr>
              <w:pStyle w:val="TableContents"/>
              <w:spacing w:before="0" w:after="283"/>
              <w:rPr/>
            </w:pPr>
            <w:r>
              <w:rPr/>
              <w:t> </w:t>
            </w:r>
          </w:p>
        </w:tc>
        <w:tc>
          <w:tcPr>
            <w:tcW w:w="13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1"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75" w:type="dxa"/>
            <w:tcBorders/>
            <w:shd w:fill="auto" w:val="clear"/>
            <w:vAlign w:val="bottom"/>
          </w:tcPr>
          <w:p>
            <w:pPr>
              <w:pStyle w:val="TableContents"/>
              <w:spacing w:before="0" w:after="0"/>
              <w:ind w:left="675" w:right="0" w:hanging="225"/>
              <w:rPr/>
            </w:pPr>
            <w:r>
              <w:rPr/>
              <w:t>Total revenues</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124,329</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111,870</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225" w:right="0" w:hanging="225"/>
              <w:rPr/>
            </w:pPr>
            <w:r>
              <w:rPr/>
              <w:t> </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Signature loan bad debt</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25,392</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21,658</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Auto title loan bad debt</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1,710</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1,450</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Merchandise cost of goods sold</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13</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Jewelry scrapping cost of goods sold</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437</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116</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center"/>
          </w:tcPr>
          <w:p>
            <w:pPr>
              <w:pStyle w:val="TableContents"/>
              <w:spacing w:before="0" w:after="0"/>
              <w:ind w:left="225" w:right="0" w:hanging="225"/>
              <w:rPr/>
            </w:pPr>
            <w:r>
              <w:rPr/>
              <w:t> </w:t>
            </w:r>
          </w:p>
        </w:tc>
        <w:tc>
          <w:tcPr>
            <w:tcW w:w="401" w:type="dxa"/>
            <w:tcBorders/>
            <w:shd w:fill="auto" w:val="clear"/>
            <w:vAlign w:val="center"/>
          </w:tcPr>
          <w:p>
            <w:pPr>
              <w:pStyle w:val="TableContents"/>
              <w:spacing w:before="0" w:after="283"/>
              <w:rPr/>
            </w:pPr>
            <w:r>
              <w:rPr/>
              <w:t> </w:t>
            </w:r>
          </w:p>
        </w:tc>
        <w:tc>
          <w:tcPr>
            <w:tcW w:w="13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1"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675" w:right="0" w:hanging="225"/>
              <w:rPr/>
            </w:pPr>
            <w:r>
              <w:rPr/>
              <w:t>Net revenues</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96,777</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88,646</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225" w:right="0" w:hanging="225"/>
              <w:rPr/>
            </w:pPr>
            <w:r>
              <w:rPr/>
              <w:t> </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Operations expense</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51,476</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47,343</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center"/>
          </w:tcPr>
          <w:p>
            <w:pPr>
              <w:pStyle w:val="TableContents"/>
              <w:spacing w:before="0" w:after="0"/>
              <w:ind w:left="225" w:right="0" w:hanging="225"/>
              <w:rPr/>
            </w:pPr>
            <w:r>
              <w:rPr/>
              <w:t> </w:t>
            </w:r>
          </w:p>
        </w:tc>
        <w:tc>
          <w:tcPr>
            <w:tcW w:w="401" w:type="dxa"/>
            <w:tcBorders/>
            <w:shd w:fill="auto" w:val="clear"/>
            <w:vAlign w:val="center"/>
          </w:tcPr>
          <w:p>
            <w:pPr>
              <w:pStyle w:val="TableContents"/>
              <w:spacing w:before="0" w:after="283"/>
              <w:rPr/>
            </w:pPr>
            <w:r>
              <w:rPr/>
              <w:t> </w:t>
            </w:r>
          </w:p>
        </w:tc>
        <w:tc>
          <w:tcPr>
            <w:tcW w:w="13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1"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675" w:right="0" w:hanging="225"/>
              <w:rPr/>
            </w:pPr>
            <w:r>
              <w:rPr/>
              <w:t>Store operating income</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39" w:type="dxa"/>
            <w:tcBorders/>
            <w:shd w:fill="CCEEFF" w:val="clear"/>
            <w:vAlign w:val="bottom"/>
          </w:tcPr>
          <w:p>
            <w:pPr>
              <w:pStyle w:val="TableContents"/>
              <w:spacing w:before="0" w:after="283"/>
              <w:jc w:val="right"/>
              <w:rPr/>
            </w:pPr>
            <w:r>
              <w:rPr/>
              <w:t>45,301</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42" w:type="dxa"/>
            <w:tcBorders/>
            <w:shd w:fill="CCEEFF" w:val="clear"/>
            <w:vAlign w:val="bottom"/>
          </w:tcPr>
          <w:p>
            <w:pPr>
              <w:pStyle w:val="TableContents"/>
              <w:spacing w:before="0" w:after="283"/>
              <w:jc w:val="right"/>
              <w:rPr/>
            </w:pPr>
            <w:r>
              <w:rPr/>
              <w:t>41,303</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center"/>
          </w:tcPr>
          <w:p>
            <w:pPr>
              <w:pStyle w:val="TableContents"/>
              <w:spacing w:before="0" w:after="0"/>
              <w:ind w:left="225" w:right="0" w:hanging="225"/>
              <w:rPr/>
            </w:pPr>
            <w:r>
              <w:rPr/>
              <w:t> </w:t>
            </w:r>
          </w:p>
        </w:tc>
        <w:tc>
          <w:tcPr>
            <w:tcW w:w="401" w:type="dxa"/>
            <w:tcBorders/>
            <w:shd w:fill="auto" w:val="clear"/>
            <w:vAlign w:val="center"/>
          </w:tcPr>
          <w:p>
            <w:pPr>
              <w:pStyle w:val="TableContents"/>
              <w:spacing w:before="0" w:after="283"/>
              <w:rPr/>
            </w:pPr>
            <w:r>
              <w:rPr/>
              <w:t> </w:t>
            </w:r>
          </w:p>
        </w:tc>
        <w:tc>
          <w:tcPr>
            <w:tcW w:w="13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81"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75" w:type="dxa"/>
            <w:tcBorders/>
            <w:shd w:fill="auto" w:val="clear"/>
            <w:vAlign w:val="bottom"/>
          </w:tcPr>
          <w:p>
            <w:pPr>
              <w:pStyle w:val="TableContents"/>
              <w:spacing w:before="0" w:after="0"/>
              <w:ind w:left="225" w:right="0" w:hanging="225"/>
              <w:rPr/>
            </w:pPr>
            <w:r>
              <w:rPr/>
              <w:t> </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225" w:right="0" w:hanging="225"/>
              <w:rPr/>
            </w:pPr>
            <w:r>
              <w:rPr/>
              <w:t>Other Data:</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75" w:type="dxa"/>
            <w:tcBorders/>
            <w:shd w:fill="CCEEFF" w:val="clear"/>
            <w:vAlign w:val="bottom"/>
          </w:tcPr>
          <w:p>
            <w:pPr>
              <w:pStyle w:val="TableContents"/>
              <w:spacing w:before="0" w:after="0"/>
              <w:ind w:left="450" w:right="0" w:hanging="225"/>
              <w:rPr/>
            </w:pPr>
            <w:r>
              <w:rPr/>
              <w:t>Signature loan bad debt as a percent of signature loan fees</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1139" w:type="dxa"/>
            <w:tcBorders/>
            <w:shd w:fill="CCEEFF" w:val="clear"/>
            <w:vAlign w:val="bottom"/>
          </w:tcPr>
          <w:p>
            <w:pPr>
              <w:pStyle w:val="TableContents"/>
              <w:spacing w:before="0" w:after="283"/>
              <w:jc w:val="right"/>
              <w:rPr/>
            </w:pPr>
            <w:r>
              <w:rPr/>
              <w:t>23.6</w:t>
            </w:r>
          </w:p>
        </w:tc>
        <w:tc>
          <w:tcPr>
            <w:tcW w:w="281" w:type="dxa"/>
            <w:tcBorders/>
            <w:shd w:fill="CCEEFF" w:val="clear"/>
            <w:vAlign w:val="bottom"/>
          </w:tcPr>
          <w:p>
            <w:pPr>
              <w:pStyle w:val="TableContents"/>
              <w:spacing w:before="0" w:after="283"/>
              <w:rPr/>
            </w:pPr>
            <w:r>
              <w:rPr/>
              <w:t>%</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1142" w:type="dxa"/>
            <w:tcBorders/>
            <w:shd w:fill="CCEEFF" w:val="clear"/>
            <w:vAlign w:val="bottom"/>
          </w:tcPr>
          <w:p>
            <w:pPr>
              <w:pStyle w:val="TableContents"/>
              <w:spacing w:before="0" w:after="283"/>
              <w:jc w:val="right"/>
              <w:rPr/>
            </w:pPr>
            <w:r>
              <w:rPr/>
              <w:t>21.4</w:t>
            </w:r>
          </w:p>
        </w:tc>
        <w:tc>
          <w:tcPr>
            <w:tcW w:w="239" w:type="dxa"/>
            <w:tcBorders/>
            <w:shd w:fill="CCEEFF" w:val="clear"/>
            <w:vAlign w:val="bottom"/>
          </w:tcPr>
          <w:p>
            <w:pPr>
              <w:pStyle w:val="TableContents"/>
              <w:spacing w:before="0" w:after="283"/>
              <w:rPr/>
            </w:pPr>
            <w:r>
              <w:rPr/>
              <w:t>%</w:t>
            </w:r>
          </w:p>
        </w:tc>
      </w:tr>
      <w:tr>
        <w:trPr/>
        <w:tc>
          <w:tcPr>
            <w:tcW w:w="6175" w:type="dxa"/>
            <w:tcBorders/>
            <w:shd w:fill="auto" w:val="clear"/>
            <w:vAlign w:val="bottom"/>
          </w:tcPr>
          <w:p>
            <w:pPr>
              <w:pStyle w:val="TableContents"/>
              <w:spacing w:before="0" w:after="0"/>
              <w:ind w:left="450" w:right="0" w:hanging="225"/>
              <w:rPr/>
            </w:pPr>
            <w:r>
              <w:rPr/>
              <w:t>Auto title loan bad debt as a percent of auto title loan fees</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1139" w:type="dxa"/>
            <w:tcBorders/>
            <w:shd w:fill="auto" w:val="clear"/>
            <w:vAlign w:val="bottom"/>
          </w:tcPr>
          <w:p>
            <w:pPr>
              <w:pStyle w:val="TableContents"/>
              <w:spacing w:before="0" w:after="283"/>
              <w:jc w:val="right"/>
              <w:rPr/>
            </w:pPr>
            <w:r>
              <w:rPr/>
              <w:t>11.3</w:t>
            </w:r>
          </w:p>
        </w:tc>
        <w:tc>
          <w:tcPr>
            <w:tcW w:w="281" w:type="dxa"/>
            <w:tcBorders/>
            <w:shd w:fill="auto" w:val="clear"/>
            <w:vAlign w:val="bottom"/>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1142" w:type="dxa"/>
            <w:tcBorders/>
            <w:shd w:fill="auto" w:val="clear"/>
            <w:vAlign w:val="bottom"/>
          </w:tcPr>
          <w:p>
            <w:pPr>
              <w:pStyle w:val="TableContents"/>
              <w:spacing w:before="0" w:after="283"/>
              <w:jc w:val="right"/>
              <w:rPr/>
            </w:pPr>
            <w:r>
              <w:rPr/>
              <w:t>13.9</w:t>
            </w:r>
          </w:p>
        </w:tc>
        <w:tc>
          <w:tcPr>
            <w:tcW w:w="239" w:type="dxa"/>
            <w:tcBorders/>
            <w:shd w:fill="auto" w:val="clear"/>
            <w:vAlign w:val="bottom"/>
          </w:tcPr>
          <w:p>
            <w:pPr>
              <w:pStyle w:val="TableContents"/>
              <w:spacing w:before="0" w:after="283"/>
              <w:rPr/>
            </w:pPr>
            <w:r>
              <w:rPr/>
              <w:t>%</w:t>
            </w:r>
          </w:p>
        </w:tc>
      </w:tr>
      <w:tr>
        <w:trPr/>
        <w:tc>
          <w:tcPr>
            <w:tcW w:w="6175" w:type="dxa"/>
            <w:tcBorders/>
            <w:shd w:fill="CCEEFF" w:val="clear"/>
            <w:vAlign w:val="bottom"/>
          </w:tcPr>
          <w:p>
            <w:pPr>
              <w:pStyle w:val="TableContents"/>
              <w:spacing w:before="0" w:after="0"/>
              <w:ind w:left="450" w:right="0" w:hanging="225"/>
              <w:rPr/>
            </w:pPr>
            <w:r>
              <w:rPr/>
              <w:t>Average signature loan balance per store offering signature loans at period-end (a)</w:t>
            </w:r>
          </w:p>
        </w:tc>
        <w:tc>
          <w:tcPr>
            <w:tcW w:w="40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39" w:type="dxa"/>
            <w:tcBorders/>
            <w:shd w:fill="CCEEFF" w:val="clear"/>
            <w:vAlign w:val="bottom"/>
          </w:tcPr>
          <w:p>
            <w:pPr>
              <w:pStyle w:val="TableContents"/>
              <w:spacing w:before="0" w:after="283"/>
              <w:jc w:val="right"/>
              <w:rPr/>
            </w:pPr>
            <w:r>
              <w:rPr/>
              <w:t>63</w:t>
            </w:r>
          </w:p>
        </w:tc>
        <w:tc>
          <w:tcPr>
            <w:tcW w:w="281"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42" w:type="dxa"/>
            <w:tcBorders/>
            <w:shd w:fill="CCEEFF" w:val="clear"/>
            <w:vAlign w:val="bottom"/>
          </w:tcPr>
          <w:p>
            <w:pPr>
              <w:pStyle w:val="TableContents"/>
              <w:spacing w:before="0" w:after="283"/>
              <w:jc w:val="right"/>
              <w:rPr/>
            </w:pPr>
            <w:r>
              <w:rPr/>
              <w:t>61</w:t>
            </w:r>
          </w:p>
        </w:tc>
        <w:tc>
          <w:tcPr>
            <w:tcW w:w="239" w:type="dxa"/>
            <w:tcBorders/>
            <w:shd w:fill="CCEEFF" w:val="clear"/>
            <w:vAlign w:val="bottom"/>
          </w:tcPr>
          <w:p>
            <w:pPr>
              <w:pStyle w:val="TableContents"/>
              <w:spacing w:before="0" w:after="283"/>
              <w:rPr/>
            </w:pPr>
            <w:r>
              <w:rPr/>
              <w:t> </w:t>
            </w:r>
          </w:p>
        </w:tc>
      </w:tr>
      <w:tr>
        <w:trPr/>
        <w:tc>
          <w:tcPr>
            <w:tcW w:w="6175" w:type="dxa"/>
            <w:tcBorders/>
            <w:shd w:fill="auto" w:val="clear"/>
            <w:vAlign w:val="bottom"/>
          </w:tcPr>
          <w:p>
            <w:pPr>
              <w:pStyle w:val="TableContents"/>
              <w:spacing w:before="0" w:after="0"/>
              <w:ind w:left="450" w:right="0" w:hanging="225"/>
              <w:rPr/>
            </w:pPr>
            <w:r>
              <w:rPr/>
              <w:t>Average auto title loan balance per store offering auto title loans at period-end (b)</w:t>
            </w:r>
          </w:p>
        </w:tc>
        <w:tc>
          <w:tcPr>
            <w:tcW w:w="40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39" w:type="dxa"/>
            <w:tcBorders/>
            <w:shd w:fill="auto" w:val="clear"/>
            <w:vAlign w:val="bottom"/>
          </w:tcPr>
          <w:p>
            <w:pPr>
              <w:pStyle w:val="TableContents"/>
              <w:spacing w:before="0" w:after="283"/>
              <w:jc w:val="right"/>
              <w:rPr/>
            </w:pPr>
            <w:r>
              <w:rPr/>
              <w:t>19</w:t>
            </w:r>
          </w:p>
        </w:tc>
        <w:tc>
          <w:tcPr>
            <w:tcW w:w="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42" w:type="dxa"/>
            <w:tcBorders/>
            <w:shd w:fill="auto" w:val="clear"/>
            <w:vAlign w:val="bottom"/>
          </w:tcPr>
          <w:p>
            <w:pPr>
              <w:pStyle w:val="TableContents"/>
              <w:spacing w:before="0" w:after="283"/>
              <w:jc w:val="right"/>
              <w:rPr/>
            </w:pPr>
            <w:r>
              <w:rPr/>
              <w:t>19</w:t>
            </w:r>
          </w:p>
        </w:tc>
        <w:tc>
          <w:tcPr>
            <w:tcW w:w="239"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and installment loans (net of valuation allowance) recorded on our balance sheets and the principal portion of active signature loans outstanding from unaffiliated lenders, the balance of which is not included on our balance sheets.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sheets and the principal portion of active brokered loans outstanding from unaffiliated lenders, the balance of which is not included on our balance sheets.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Operations segment total revenues increased $12.5 million, or 11% to $124.3 million, compared to the prior year-to-date period. This was due to a $10.1 million, or 9% increase in same store total revenues and $2.4 million of total revenues at new stores net of closed or consolidated stores. The overall increase in total revenues was comprised primarily of a $6.6 million increase in signature loan revenues, including both installment loans and payday loans, a $4.7 million increase in auto title loan fees, a $0.6 million increase in jewelry scrapping sales and a $0.5 million increase in other revenues. In August 2010 and January 2011, we introduced installment loans in Colorado and Wisconsin, respectively, as a replacement product for payday loans. This contributed to the migration of some customers from payday loans to installment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we opened eleven stores in Canada and closed two stores, bringing our total there to 60. At June 30, 2010, we had 35 Canadian stores. In the current year-to-date period, we closed eight EZMONEY stores in the U.S., bringing our total to 436.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net revenues increased $2.8 million, or 4%, to $82.4 million, compared to the prior year-to-date period due to a growth in revenues partially offset by an increase in installment loan bad debt. Total signature loan revenues increased 7% and same store signature loan revenues increased 5% due to the growth in installment loans as the product continues to mature and following its introduction in Colorado and Wisconsin as a replacement for payday loans. Partially offsetting the revenue growth was a 2.2 percentage point increase in bad debt to 23.6% of fees, largely due to the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migration of many customers to installment loans. We anticipate bad debt rates will improve over the next several quarters as we fine-tune our underwriting and operational execution specifically on installment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net revenues from auto title loans increased to $13.5 million in the current year-to-date period, compared to $9.0 million in the prior year-to-date period, as the product continues to mature. Same store auto title loan fees increased 48%, partially offset by the regulatory elimination of auto title loans in Wisconsin beginning January 1, 2011. Bad debt improved to 11.3% of related fees from 13.9% in the prior year-to-date period mainly due to some operational improvements at our collections center. Following a favorable legislative change, auto title loans were re-introduced in Wisconsin in July 2011, which we expect will increase auto title loan activity in future periods. Including the 35 Wisconsin stores, we now offer auto title loans in 400 EZMONEY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segment began buying and scrapping gold jewelry in the prior year. The segment generated $0.4 million of jewelry scrapping gross profit in the current year-to-date period, with a 48% gross margin compared to $0.1 million with a 50% gross margin in the prior year-to-date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April 2011, the EZMONEY segment acquired the Cash Converters franchise rights for Canada which allows us to open new stores and operate our Canadian stores as Cash Converters stores. By June 30, 2011, two of our Canadian stores had been rebranded and began buying and selling second-hand goods in addition to offering payday loans. We also began receiving franchise fees from franchisees, comprising the majority of the increase in the segments other revenues. Merchandise sales in the year-to-date period were nominal. We expect to rebrand our remaining Canadian stores as Cash Converters stores within the next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$51.5 million from $47.3 million in the prior year-to-date period but remained flat at 53% of net revenues. The dollar increase was due to additional labor, rent and other costs at new and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the $4.5 million increase in net revenues from auto title loans, the $2.8 million increase in net revenues from signature loans and the $0.8 million increase in jewelry scrapping gross profit and other revenues were partially offset by a $4.1 million greater operations expense, resulting in a $4.0 million, or 10% increase in the segments store operating income. The EZMONEY Operations segment comprised 24% of consolidated store operating income compared to 27% in the prior year-to-date period.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our consolidated store operating income discussed above to net income, including items that affect our consolidated financial results but are not allocated among segments: </w:t>
      </w:r>
    </w:p>
    <w:tbl>
      <w:tblPr>
        <w:tblW w:w="5000" w:type="pct"/>
        <w:jc w:val="center"/>
        <w:tblInd w:w="0" w:type="dxa"/>
        <w:tblCellMar>
          <w:top w:w="0" w:type="dxa"/>
          <w:left w:w="0" w:type="dxa"/>
          <w:bottom w:w="0" w:type="dxa"/>
          <w:right w:w="0" w:type="dxa"/>
        </w:tblCellMar>
      </w:tblPr>
      <w:tblGrid>
        <w:gridCol w:w="6425"/>
        <w:gridCol w:w="408"/>
        <w:gridCol w:w="204"/>
        <w:gridCol w:w="1117"/>
        <w:gridCol w:w="162"/>
        <w:gridCol w:w="423"/>
        <w:gridCol w:w="204"/>
        <w:gridCol w:w="1119"/>
        <w:gridCol w:w="143"/>
      </w:tblGrid>
      <w:tr>
        <w:trPr/>
        <w:tc>
          <w:tcPr>
            <w:tcW w:w="6425"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3229" w:type="dxa"/>
            <w:gridSpan w:val="6"/>
            <w:tcBorders>
              <w:bottom w:val="single" w:sz="2" w:space="0" w:color="000000"/>
            </w:tcBorders>
            <w:shd w:fill="auto" w:val="clear"/>
            <w:tcMar>
              <w:bottom w:w="28" w:type="dxa"/>
            </w:tcMar>
            <w:vAlign w:val="bottom"/>
          </w:tcPr>
          <w:p>
            <w:pPr>
              <w:pStyle w:val="TableContents"/>
              <w:spacing w:before="0" w:after="283"/>
              <w:jc w:val="center"/>
              <w:rPr/>
            </w:pPr>
            <w:r>
              <w:rPr/>
              <w:t>Nine Months Ended June 30,</w:t>
            </w:r>
          </w:p>
        </w:tc>
        <w:tc>
          <w:tcPr>
            <w:tcW w:w="143" w:type="dxa"/>
            <w:tcBorders/>
            <w:shd w:fill="auto"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32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62"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32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3" w:type="dxa"/>
            <w:tcBorders/>
            <w:shd w:fill="auto"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3229" w:type="dxa"/>
            <w:gridSpan w:val="6"/>
            <w:tcBorders/>
            <w:shd w:fill="auto" w:val="clear"/>
            <w:vAlign w:val="bottom"/>
          </w:tcPr>
          <w:p>
            <w:pPr>
              <w:pStyle w:val="TableContents"/>
              <w:spacing w:before="0" w:after="283"/>
              <w:jc w:val="center"/>
              <w:rPr>
                <w:i/>
              </w:rPr>
            </w:pPr>
            <w:r>
              <w:rPr>
                <w:i/>
              </w:rPr>
              <w:t>(in thousands)</w:t>
            </w:r>
          </w:p>
        </w:tc>
        <w:tc>
          <w:tcPr>
            <w:tcW w:w="143" w:type="dxa"/>
            <w:tcBorders/>
            <w:shd w:fill="auto" w:val="clear"/>
            <w:vAlign w:val="bottom"/>
          </w:tcPr>
          <w:p>
            <w:pPr>
              <w:pStyle w:val="TableContents"/>
              <w:spacing w:before="0" w:after="283"/>
              <w:rPr/>
            </w:pPr>
            <w:r>
              <w:rPr/>
              <w:t> </w:t>
            </w:r>
          </w:p>
        </w:tc>
      </w:tr>
      <w:tr>
        <w:trPr/>
        <w:tc>
          <w:tcPr>
            <w:tcW w:w="6425" w:type="dxa"/>
            <w:tcBorders/>
            <w:shd w:fill="CCEEFF" w:val="clear"/>
            <w:vAlign w:val="bottom"/>
          </w:tcPr>
          <w:p>
            <w:pPr>
              <w:pStyle w:val="TableContents"/>
              <w:spacing w:before="0" w:after="0"/>
              <w:ind w:left="225" w:right="0" w:hanging="225"/>
              <w:rPr/>
            </w:pPr>
            <w:r>
              <w:rPr/>
              <w:t>Consolidated store operating income</w:t>
            </w:r>
          </w:p>
        </w:tc>
        <w:tc>
          <w:tcPr>
            <w:tcW w:w="4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117" w:type="dxa"/>
            <w:tcBorders/>
            <w:shd w:fill="CCEEFF" w:val="clear"/>
            <w:vAlign w:val="bottom"/>
          </w:tcPr>
          <w:p>
            <w:pPr>
              <w:pStyle w:val="TableContents"/>
              <w:spacing w:before="0" w:after="283"/>
              <w:jc w:val="right"/>
              <w:rPr/>
            </w:pPr>
            <w:r>
              <w:rPr/>
              <w:t>190,877</w:t>
            </w:r>
          </w:p>
        </w:tc>
        <w:tc>
          <w:tcPr>
            <w:tcW w:w="162"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119" w:type="dxa"/>
            <w:tcBorders/>
            <w:shd w:fill="CCEEFF" w:val="clear"/>
            <w:vAlign w:val="bottom"/>
          </w:tcPr>
          <w:p>
            <w:pPr>
              <w:pStyle w:val="TableContents"/>
              <w:spacing w:before="0" w:after="283"/>
              <w:jc w:val="right"/>
              <w:rPr/>
            </w:pPr>
            <w:r>
              <w:rPr/>
              <w:t>153,102</w:t>
            </w:r>
          </w:p>
        </w:tc>
        <w:tc>
          <w:tcPr>
            <w:tcW w:w="143" w:type="dxa"/>
            <w:tcBorders/>
            <w:shd w:fill="CCEEFF"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0"/>
              <w:ind w:left="225" w:right="0" w:hanging="225"/>
              <w:rPr/>
            </w:pPr>
            <w:r>
              <w:rPr/>
              <w:t>Administrative expenses</w:t>
            </w:r>
          </w:p>
        </w:tc>
        <w:tc>
          <w:tcPr>
            <w:tcW w:w="4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56,250</w:t>
            </w:r>
          </w:p>
        </w:tc>
        <w:tc>
          <w:tcPr>
            <w:tcW w:w="162"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39,356</w:t>
            </w:r>
          </w:p>
        </w:tc>
        <w:tc>
          <w:tcPr>
            <w:tcW w:w="143" w:type="dxa"/>
            <w:tcBorders/>
            <w:shd w:fill="auto" w:val="clear"/>
            <w:vAlign w:val="bottom"/>
          </w:tcPr>
          <w:p>
            <w:pPr>
              <w:pStyle w:val="TableContents"/>
              <w:spacing w:before="0" w:after="283"/>
              <w:rPr/>
            </w:pPr>
            <w:r>
              <w:rPr/>
              <w:t> </w:t>
            </w:r>
          </w:p>
        </w:tc>
      </w:tr>
      <w:tr>
        <w:trPr/>
        <w:tc>
          <w:tcPr>
            <w:tcW w:w="6425" w:type="dxa"/>
            <w:tcBorders/>
            <w:shd w:fill="CCEEFF" w:val="clear"/>
            <w:vAlign w:val="bottom"/>
          </w:tcPr>
          <w:p>
            <w:pPr>
              <w:pStyle w:val="TableContents"/>
              <w:spacing w:before="0" w:after="0"/>
              <w:ind w:left="225" w:right="0" w:hanging="225"/>
              <w:rPr/>
            </w:pPr>
            <w:r>
              <w:rPr/>
              <w:t>Depreciation and amortization</w:t>
            </w:r>
          </w:p>
        </w:tc>
        <w:tc>
          <w:tcPr>
            <w:tcW w:w="4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13,324</w:t>
            </w:r>
          </w:p>
        </w:tc>
        <w:tc>
          <w:tcPr>
            <w:tcW w:w="162"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10,688</w:t>
            </w:r>
          </w:p>
        </w:tc>
        <w:tc>
          <w:tcPr>
            <w:tcW w:w="143" w:type="dxa"/>
            <w:tcBorders/>
            <w:shd w:fill="CCEEFF"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0"/>
              <w:ind w:left="225" w:right="0" w:hanging="225"/>
              <w:rPr/>
            </w:pPr>
            <w:r>
              <w:rPr/>
              <w:t>(Gain) / loss on sale or disposal of assets</w:t>
            </w:r>
          </w:p>
        </w:tc>
        <w:tc>
          <w:tcPr>
            <w:tcW w:w="4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117" w:type="dxa"/>
            <w:tcBorders/>
            <w:shd w:fill="auto" w:val="clear"/>
            <w:vAlign w:val="bottom"/>
          </w:tcPr>
          <w:p>
            <w:pPr>
              <w:pStyle w:val="TableContents"/>
              <w:spacing w:before="0" w:after="283"/>
              <w:jc w:val="right"/>
              <w:rPr/>
            </w:pPr>
            <w:r>
              <w:rPr/>
              <w:t>(2</w:t>
            </w:r>
          </w:p>
        </w:tc>
        <w:tc>
          <w:tcPr>
            <w:tcW w:w="162" w:type="dxa"/>
            <w:tcBorders/>
            <w:shd w:fill="auto" w:val="clear"/>
            <w:vAlign w:val="bottom"/>
          </w:tcPr>
          <w:p>
            <w:pPr>
              <w:pStyle w:val="TableContents"/>
              <w:spacing w:before="0" w:after="283"/>
              <w:rPr/>
            </w:pPr>
            <w:r>
              <w:rPr/>
              <w:t>)</w:t>
            </w:r>
          </w:p>
        </w:tc>
        <w:tc>
          <w:tcPr>
            <w:tcW w:w="42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1,301</w:t>
            </w:r>
          </w:p>
        </w:tc>
        <w:tc>
          <w:tcPr>
            <w:tcW w:w="143" w:type="dxa"/>
            <w:tcBorders/>
            <w:shd w:fill="auto" w:val="clear"/>
            <w:vAlign w:val="bottom"/>
          </w:tcPr>
          <w:p>
            <w:pPr>
              <w:pStyle w:val="TableContents"/>
              <w:spacing w:before="0" w:after="283"/>
              <w:rPr/>
            </w:pPr>
            <w:r>
              <w:rPr/>
              <w:t> </w:t>
            </w:r>
          </w:p>
        </w:tc>
      </w:tr>
      <w:tr>
        <w:trPr/>
        <w:tc>
          <w:tcPr>
            <w:tcW w:w="6425" w:type="dxa"/>
            <w:tcBorders/>
            <w:shd w:fill="CCEEFF" w:val="clear"/>
            <w:vAlign w:val="bottom"/>
          </w:tcPr>
          <w:p>
            <w:pPr>
              <w:pStyle w:val="TableContents"/>
              <w:spacing w:before="0" w:after="0"/>
              <w:ind w:left="225" w:right="0" w:hanging="225"/>
              <w:rPr/>
            </w:pPr>
            <w:r>
              <w:rPr/>
              <w:t>Interest income</w:t>
            </w:r>
          </w:p>
        </w:tc>
        <w:tc>
          <w:tcPr>
            <w:tcW w:w="4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(35</w:t>
            </w:r>
          </w:p>
        </w:tc>
        <w:tc>
          <w:tcPr>
            <w:tcW w:w="162" w:type="dxa"/>
            <w:tcBorders/>
            <w:shd w:fill="CCEEFF" w:val="clear"/>
            <w:vAlign w:val="bottom"/>
          </w:tcPr>
          <w:p>
            <w:pPr>
              <w:pStyle w:val="TableContents"/>
              <w:spacing w:before="0" w:after="283"/>
              <w:rPr/>
            </w:pPr>
            <w:r>
              <w:rPr/>
              <w:t>)</w:t>
            </w:r>
          </w:p>
        </w:tc>
        <w:tc>
          <w:tcPr>
            <w:tcW w:w="4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119" w:type="dxa"/>
            <w:tcBorders/>
            <w:shd w:fill="CCEEFF" w:val="clear"/>
            <w:vAlign w:val="bottom"/>
          </w:tcPr>
          <w:p>
            <w:pPr>
              <w:pStyle w:val="TableContents"/>
              <w:spacing w:before="0" w:after="283"/>
              <w:jc w:val="right"/>
              <w:rPr/>
            </w:pPr>
            <w:r>
              <w:rPr/>
              <w:t>(151</w:t>
            </w:r>
          </w:p>
        </w:tc>
        <w:tc>
          <w:tcPr>
            <w:tcW w:w="143" w:type="dxa"/>
            <w:tcBorders/>
            <w:shd w:fill="CCEEFF" w:val="clear"/>
            <w:vAlign w:val="bottom"/>
          </w:tcPr>
          <w:p>
            <w:pPr>
              <w:pStyle w:val="TableContents"/>
              <w:spacing w:before="0" w:after="283"/>
              <w:rPr/>
            </w:pPr>
            <w:r>
              <w:rPr/>
              <w:t>)</w:t>
            </w:r>
          </w:p>
        </w:tc>
      </w:tr>
      <w:tr>
        <w:trPr/>
        <w:tc>
          <w:tcPr>
            <w:tcW w:w="6425" w:type="dxa"/>
            <w:tcBorders/>
            <w:shd w:fill="auto" w:val="clear"/>
            <w:vAlign w:val="bottom"/>
          </w:tcPr>
          <w:p>
            <w:pPr>
              <w:pStyle w:val="TableContents"/>
              <w:spacing w:before="0" w:after="0"/>
              <w:ind w:left="225" w:right="0" w:hanging="225"/>
              <w:rPr/>
            </w:pPr>
            <w:r>
              <w:rPr/>
              <w:t>Interest expense</w:t>
            </w:r>
          </w:p>
        </w:tc>
        <w:tc>
          <w:tcPr>
            <w:tcW w:w="4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1,186</w:t>
            </w:r>
          </w:p>
        </w:tc>
        <w:tc>
          <w:tcPr>
            <w:tcW w:w="162"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1,071</w:t>
            </w:r>
          </w:p>
        </w:tc>
        <w:tc>
          <w:tcPr>
            <w:tcW w:w="143" w:type="dxa"/>
            <w:tcBorders/>
            <w:shd w:fill="auto" w:val="clear"/>
            <w:vAlign w:val="bottom"/>
          </w:tcPr>
          <w:p>
            <w:pPr>
              <w:pStyle w:val="TableContents"/>
              <w:spacing w:before="0" w:after="283"/>
              <w:rPr/>
            </w:pPr>
            <w:r>
              <w:rPr/>
              <w:t> </w:t>
            </w:r>
          </w:p>
        </w:tc>
      </w:tr>
      <w:tr>
        <w:trPr/>
        <w:tc>
          <w:tcPr>
            <w:tcW w:w="6425" w:type="dxa"/>
            <w:tcBorders/>
            <w:shd w:fill="CCEEFF" w:val="clear"/>
            <w:vAlign w:val="bottom"/>
          </w:tcPr>
          <w:p>
            <w:pPr>
              <w:pStyle w:val="TableContents"/>
              <w:spacing w:before="0" w:after="0"/>
              <w:ind w:left="225" w:right="0" w:hanging="225"/>
              <w:rPr/>
            </w:pPr>
            <w:r>
              <w:rPr/>
              <w:t>Equity in net income of unconsolidated affiliates</w:t>
            </w:r>
          </w:p>
        </w:tc>
        <w:tc>
          <w:tcPr>
            <w:tcW w:w="4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(12,157</w:t>
            </w:r>
          </w:p>
        </w:tc>
        <w:tc>
          <w:tcPr>
            <w:tcW w:w="162" w:type="dxa"/>
            <w:tcBorders/>
            <w:shd w:fill="CCEEFF" w:val="clear"/>
            <w:vAlign w:val="bottom"/>
          </w:tcPr>
          <w:p>
            <w:pPr>
              <w:pStyle w:val="TableContents"/>
              <w:spacing w:before="0" w:after="283"/>
              <w:rPr/>
            </w:pPr>
            <w:r>
              <w:rPr/>
              <w:t>)</w:t>
            </w:r>
          </w:p>
        </w:tc>
        <w:tc>
          <w:tcPr>
            <w:tcW w:w="4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119" w:type="dxa"/>
            <w:tcBorders/>
            <w:shd w:fill="CCEEFF" w:val="clear"/>
            <w:vAlign w:val="bottom"/>
          </w:tcPr>
          <w:p>
            <w:pPr>
              <w:pStyle w:val="TableContents"/>
              <w:spacing w:before="0" w:after="283"/>
              <w:jc w:val="right"/>
              <w:rPr/>
            </w:pPr>
            <w:r>
              <w:rPr/>
              <w:t>(7,519</w:t>
            </w:r>
          </w:p>
        </w:tc>
        <w:tc>
          <w:tcPr>
            <w:tcW w:w="143" w:type="dxa"/>
            <w:tcBorders/>
            <w:shd w:fill="CCEEFF" w:val="clear"/>
            <w:vAlign w:val="bottom"/>
          </w:tcPr>
          <w:p>
            <w:pPr>
              <w:pStyle w:val="TableContents"/>
              <w:spacing w:before="0" w:after="283"/>
              <w:rPr/>
            </w:pPr>
            <w:r>
              <w:rPr/>
              <w:t>)</w:t>
            </w:r>
          </w:p>
        </w:tc>
      </w:tr>
      <w:tr>
        <w:trPr/>
        <w:tc>
          <w:tcPr>
            <w:tcW w:w="6425" w:type="dxa"/>
            <w:tcBorders/>
            <w:shd w:fill="auto" w:val="clear"/>
            <w:vAlign w:val="bottom"/>
          </w:tcPr>
          <w:p>
            <w:pPr>
              <w:pStyle w:val="TableContents"/>
              <w:spacing w:before="0" w:after="0"/>
              <w:ind w:left="225" w:right="0" w:hanging="225"/>
              <w:rPr/>
            </w:pPr>
            <w:r>
              <w:rPr/>
              <w:t>Other</w:t>
            </w:r>
          </w:p>
        </w:tc>
        <w:tc>
          <w:tcPr>
            <w:tcW w:w="4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117" w:type="dxa"/>
            <w:tcBorders/>
            <w:shd w:fill="auto" w:val="clear"/>
            <w:vAlign w:val="bottom"/>
          </w:tcPr>
          <w:p>
            <w:pPr>
              <w:pStyle w:val="TableContents"/>
              <w:spacing w:before="0" w:after="283"/>
              <w:jc w:val="right"/>
              <w:rPr/>
            </w:pPr>
            <w:r>
              <w:rPr/>
              <w:t>(160</w:t>
            </w:r>
          </w:p>
        </w:tc>
        <w:tc>
          <w:tcPr>
            <w:tcW w:w="162" w:type="dxa"/>
            <w:tcBorders/>
            <w:shd w:fill="auto" w:val="clear"/>
            <w:vAlign w:val="bottom"/>
          </w:tcPr>
          <w:p>
            <w:pPr>
              <w:pStyle w:val="TableContents"/>
              <w:spacing w:before="0" w:after="283"/>
              <w:rPr/>
            </w:pPr>
            <w:r>
              <w:rPr/>
              <w:t>)</w:t>
            </w:r>
          </w:p>
        </w:tc>
        <w:tc>
          <w:tcPr>
            <w:tcW w:w="42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119" w:type="dxa"/>
            <w:tcBorders/>
            <w:shd w:fill="auto" w:val="clear"/>
            <w:vAlign w:val="bottom"/>
          </w:tcPr>
          <w:p>
            <w:pPr>
              <w:pStyle w:val="TableContents"/>
              <w:spacing w:before="0" w:after="283"/>
              <w:jc w:val="right"/>
              <w:rPr/>
            </w:pPr>
            <w:r>
              <w:rPr/>
              <w:t>(103</w:t>
            </w:r>
          </w:p>
        </w:tc>
        <w:tc>
          <w:tcPr>
            <w:tcW w:w="143" w:type="dxa"/>
            <w:tcBorders/>
            <w:shd w:fill="auto" w:val="clear"/>
            <w:vAlign w:val="bottom"/>
          </w:tcPr>
          <w:p>
            <w:pPr>
              <w:pStyle w:val="TableContents"/>
              <w:spacing w:before="0" w:after="283"/>
              <w:rPr/>
            </w:pPr>
            <w:r>
              <w:rPr/>
              <w:t>)</w:t>
            </w:r>
          </w:p>
        </w:tc>
      </w:tr>
      <w:tr>
        <w:trPr/>
        <w:tc>
          <w:tcPr>
            <w:tcW w:w="6425"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13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6425" w:type="dxa"/>
            <w:tcBorders/>
            <w:shd w:fill="CCEEFF" w:val="clear"/>
            <w:vAlign w:val="bottom"/>
          </w:tcPr>
          <w:p>
            <w:pPr>
              <w:pStyle w:val="TableContents"/>
              <w:spacing w:before="0" w:after="0"/>
              <w:ind w:left="450" w:right="0" w:hanging="225"/>
              <w:rPr/>
            </w:pPr>
            <w:r>
              <w:rPr/>
              <w:t>Consolidated income before income taxes</w:t>
            </w:r>
          </w:p>
        </w:tc>
        <w:tc>
          <w:tcPr>
            <w:tcW w:w="4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132,471</w:t>
            </w:r>
          </w:p>
        </w:tc>
        <w:tc>
          <w:tcPr>
            <w:tcW w:w="162"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108,459</w:t>
            </w:r>
          </w:p>
        </w:tc>
        <w:tc>
          <w:tcPr>
            <w:tcW w:w="143" w:type="dxa"/>
            <w:tcBorders/>
            <w:shd w:fill="CCEEFF"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0"/>
              <w:ind w:left="225" w:right="0" w:hanging="225"/>
              <w:rPr/>
            </w:pPr>
            <w:r>
              <w:rPr/>
              <w:t>Income tax expense</w:t>
            </w:r>
          </w:p>
        </w:tc>
        <w:tc>
          <w:tcPr>
            <w:tcW w:w="4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46,677</w:t>
            </w:r>
          </w:p>
        </w:tc>
        <w:tc>
          <w:tcPr>
            <w:tcW w:w="162"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39,017</w:t>
            </w:r>
          </w:p>
        </w:tc>
        <w:tc>
          <w:tcPr>
            <w:tcW w:w="143" w:type="dxa"/>
            <w:tcBorders/>
            <w:shd w:fill="auto" w:val="clear"/>
            <w:vAlign w:val="bottom"/>
          </w:tcPr>
          <w:p>
            <w:pPr>
              <w:pStyle w:val="TableContents"/>
              <w:spacing w:before="0" w:after="283"/>
              <w:rPr/>
            </w:pPr>
            <w:r>
              <w:rPr/>
              <w:t> </w:t>
            </w:r>
          </w:p>
        </w:tc>
      </w:tr>
      <w:tr>
        <w:trPr/>
        <w:tc>
          <w:tcPr>
            <w:tcW w:w="6425"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13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6425" w:type="dxa"/>
            <w:tcBorders/>
            <w:shd w:fill="CCEEFF" w:val="clear"/>
            <w:vAlign w:val="bottom"/>
          </w:tcPr>
          <w:p>
            <w:pPr>
              <w:pStyle w:val="TableContents"/>
              <w:spacing w:before="0" w:after="0"/>
              <w:ind w:left="450" w:right="0" w:hanging="225"/>
              <w:rPr/>
            </w:pPr>
            <w:r>
              <w:rPr/>
              <w:t>Net income</w:t>
            </w:r>
          </w:p>
        </w:tc>
        <w:tc>
          <w:tcPr>
            <w:tcW w:w="4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117" w:type="dxa"/>
            <w:tcBorders/>
            <w:shd w:fill="CCEEFF" w:val="clear"/>
            <w:vAlign w:val="bottom"/>
          </w:tcPr>
          <w:p>
            <w:pPr>
              <w:pStyle w:val="TableContents"/>
              <w:spacing w:before="0" w:after="283"/>
              <w:jc w:val="right"/>
              <w:rPr/>
            </w:pPr>
            <w:r>
              <w:rPr/>
              <w:t>85,794</w:t>
            </w:r>
          </w:p>
        </w:tc>
        <w:tc>
          <w:tcPr>
            <w:tcW w:w="162"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119" w:type="dxa"/>
            <w:tcBorders/>
            <w:shd w:fill="CCEEFF" w:val="clear"/>
            <w:vAlign w:val="bottom"/>
          </w:tcPr>
          <w:p>
            <w:pPr>
              <w:pStyle w:val="TableContents"/>
              <w:spacing w:before="0" w:after="283"/>
              <w:jc w:val="right"/>
              <w:rPr/>
            </w:pPr>
            <w:r>
              <w:rPr/>
              <w:t>69,442</w:t>
            </w:r>
          </w:p>
        </w:tc>
        <w:tc>
          <w:tcPr>
            <w:tcW w:w="143" w:type="dxa"/>
            <w:tcBorders/>
            <w:shd w:fill="CCEEFF" w:val="clear"/>
            <w:vAlign w:val="bottom"/>
          </w:tcPr>
          <w:p>
            <w:pPr>
              <w:pStyle w:val="TableContents"/>
              <w:spacing w:before="0" w:after="283"/>
              <w:rPr/>
            </w:pPr>
            <w:r>
              <w:rPr/>
              <w:t> </w:t>
            </w:r>
          </w:p>
        </w:tc>
      </w:tr>
      <w:tr>
        <w:trPr/>
        <w:tc>
          <w:tcPr>
            <w:tcW w:w="6425"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13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the current year-to-date period were $56.3 million (14% of net revenues) compared to $39.4 million (12% of net revenues) in the prior year-to-date period. This increase is primarily due to a pre-tax charge of $10.9 million related to the retirement of our former Chief Executive Officer. This charge included $3.4 million attributable to a cash payment and $7.5 million attributable to the vesting of restricted stock. Excluding this charge, administrative expense increased $6.0 million over the prior year-to-date period but remained unchanged at 12% of net revenues in the current year-to-date period.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$13.3 million in the current year-to-date period, compared to $10.7 million in the prior year-to-date period. Depreciation on assets placed in service, primarily at new and acquired stores, was partially offset by assets that were retired or became fully depreciated during the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losses on disposal of assets related to store closures were offset by gains on disposal of other assets. In the prior year-to-date period we recognized a $1.3 million loss on store closures or consolidations including a charge for 11 store closures following the passage of legislation negative to the payday lending industry in Colorado and Wisconsin.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$1.2 million net interest expense in the current year-to-date period and $0.9 million in the prior year-to-date period represent primarily interest on borrowed funds, the amortization of deferred financing costs and the commitment fee on our unused available credit. At June 30, 2011 we had $26.5 million in outstanding debt under our revolving credit agreement compared to $27.5 million of term debt outstanding at the end of the prior year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estimated equity in the net income of Albemarle &amp; Bond remained relatively flat in the current year-to-date period. On November 6, 2009, we acquired approximately 30% of the capital stock of Cash Converters International Limited, a publicly traded company headquartered in Perth, Australia. We acquired additional shares on May 20, 2010 which increased our ownership level to almost 33%. In the current year-to-date period our estimated equity in the net income of Cash Converters was $6.8 million compared to $2.1 million in the prior year-to-date period. The increase was due to an improvement in Cash Converters underlying earnings, an increase in our ownership percentage and their earnings being included for only a portion of the prior year-to-date period. As we account for our earnings from Cash Converters on a 3-month lag, the prior year-to-date period included our pro rata share of their results of operations for the 146-day period from our November 6, 2009 initial investment date to the March 31, 2010 end of Cash Converters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Income tax expense was $46.7 million (35.2% of pretax income) compared to $39.0 million (36.0% of pretax income) for the prior year-to-date period. The decrease in effective tax rates is primarily due to an increase in both domestic employment tax credits and the foreign tax credit on overseas earnings, partially offset by the valuation allowance established for operating losses in our Canada operations during their start-up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the current year-to-date period improved $19.5 million over the prior year-to-date period to $121.3 million. Contributing to this were the $30.3 million, $3.5 million and $4.0 million increases in store operating income in our U.S. Pawn, Empeño Fácil and EZMONEY segments, respectively, and the $1.3 improvement in gain/loss on disposal of assets. Partially offsetting these was the $10.9 million charge related to the retirement of our former Chief Executive Officer, the $6.0 million increase in other administrative expenses and the $2.6 million increase in depreciation and amortization. After a $4.6 million increase in our equity in the net income of unconsolidated affiliates, a $7.7 million increase in income taxes and other smaller items, net income improved to $85.8 million. Excluding the one-time $10.9 million charge related to the retirement of our former Chief Executive Officer and the related tax benefit, net income increased 34% to $92.9 million from $69.4 million in the prior year-to-date period.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Liquidity and Capital Resources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our $107.0 million cash flow from operations consisted of (a) net income plus several non-cash items, aggregating to $118.2 million, net of (b) $11.2 million of normal, recurring changes in operating assets and liabilities. In the prior year-to-date period, our $80.5 million cash flow from operations consisted of (a) net income plus several non-cash items, aggregating to $85.8 million, net of (b) $5.3 million of normal, recurring changes in operating assets and liabilities.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$107.0 million cash flow from operations, we also increased available liquidity through receipt of $7.3 million in dividends from our unconsolidated affiliates and a $1.5 million increase in net borrowings on our credit facility. The $100.6 million of net cash used in investing activities during the current year-to-date period was funded by cash flow from operations and these other cash sources. In the current year-to-date period, we acquired 32 pawn stores and the trademark and licensing rights of Cash Converters in Canada for $64.8 million, invested $24.4 million in additional property and equipment and invested $18.6 million in additional customer loans net of repayments and the recovery of principal through the sale of forfeited loan collateral. In the current year-to-date period, we incurred $2.4 million of debt issuance costs related to the closing of our new credit agreement. Net of related tax benefits and proceeds from option exercises, we also paid $3.8 million of withholding tax upon the net share settlement of restricted stock vesting.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cash flows was a $1.6 million increase in cash on hand, providing a $27.5 million ending cash balance.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Below is a summary of our cash needs to meet future aggregate contractual obligations (in millions): </w:t>
      </w:r>
    </w:p>
    <w:tbl>
      <w:tblPr>
        <w:tblW w:w="5000" w:type="pct"/>
        <w:jc w:val="center"/>
        <w:tblInd w:w="0" w:type="dxa"/>
        <w:tblCellMar>
          <w:top w:w="0" w:type="dxa"/>
          <w:left w:w="0" w:type="dxa"/>
          <w:bottom w:w="0" w:type="dxa"/>
          <w:right w:w="0" w:type="dxa"/>
        </w:tblCellMar>
      </w:tblPr>
      <w:tblGrid>
        <w:gridCol w:w="3555"/>
        <w:gridCol w:w="259"/>
        <w:gridCol w:w="157"/>
        <w:gridCol w:w="672"/>
        <w:gridCol w:w="91"/>
        <w:gridCol w:w="259"/>
        <w:gridCol w:w="225"/>
        <w:gridCol w:w="786"/>
        <w:gridCol w:w="91"/>
        <w:gridCol w:w="259"/>
        <w:gridCol w:w="218"/>
        <w:gridCol w:w="768"/>
        <w:gridCol w:w="91"/>
        <w:gridCol w:w="258"/>
        <w:gridCol w:w="218"/>
        <w:gridCol w:w="768"/>
        <w:gridCol w:w="91"/>
        <w:gridCol w:w="259"/>
        <w:gridCol w:w="240"/>
        <w:gridCol w:w="833"/>
        <w:gridCol w:w="107"/>
      </w:tblGrid>
      <w:tr>
        <w:trPr/>
        <w:tc>
          <w:tcPr>
            <w:tcW w:w="35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6284" w:type="dxa"/>
            <w:gridSpan w:val="18"/>
            <w:tcBorders>
              <w:bottom w:val="single" w:sz="2" w:space="0" w:color="000000"/>
            </w:tcBorders>
            <w:shd w:fill="auto" w:val="clear"/>
            <w:tcMar>
              <w:bottom w:w="28" w:type="dxa"/>
            </w:tcMar>
            <w:vAlign w:val="bottom"/>
          </w:tcPr>
          <w:p>
            <w:pPr>
              <w:pStyle w:val="TableContents"/>
              <w:spacing w:before="0" w:after="283"/>
              <w:jc w:val="center"/>
              <w:rPr/>
            </w:pPr>
            <w:r>
              <w:rPr/>
              <w:t>Payments due by Period</w:t>
            </w:r>
          </w:p>
        </w:tc>
        <w:tc>
          <w:tcPr>
            <w:tcW w:w="107" w:type="dxa"/>
            <w:tcBorders/>
            <w:shd w:fill="auto"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11" w:type="dxa"/>
            <w:gridSpan w:val="2"/>
            <w:tcBorders/>
            <w:shd w:fill="auto" w:val="clear"/>
            <w:vAlign w:val="bottom"/>
          </w:tcPr>
          <w:p>
            <w:pPr>
              <w:pStyle w:val="TableContents"/>
              <w:spacing w:before="0" w:after="283"/>
              <w:jc w:val="center"/>
              <w:rPr/>
            </w:pPr>
            <w:r>
              <w:rPr/>
              <w:t>Less than</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pPr>
            <w:r>
              <w:rPr/>
              <w:t>More than</w:t>
            </w:r>
          </w:p>
        </w:tc>
        <w:tc>
          <w:tcPr>
            <w:tcW w:w="107" w:type="dxa"/>
            <w:tcBorders/>
            <w:shd w:fill="auto" w:val="clear"/>
            <w:vAlign w:val="bottom"/>
          </w:tcPr>
          <w:p>
            <w:pPr>
              <w:pStyle w:val="TableContents"/>
              <w:spacing w:before="0" w:after="283"/>
              <w:rPr/>
            </w:pPr>
            <w:r>
              <w:rPr/>
              <w:t> </w:t>
            </w:r>
          </w:p>
        </w:tc>
      </w:tr>
      <w:tr>
        <w:trPr/>
        <w:tc>
          <w:tcPr>
            <w:tcW w:w="3555" w:type="dxa"/>
            <w:tcBorders>
              <w:bottom w:val="single" w:sz="2" w:space="0" w:color="000000"/>
            </w:tcBorders>
            <w:shd w:fill="auto" w:val="clear"/>
            <w:tcMar>
              <w:bottom w:w="28" w:type="dxa"/>
            </w:tcMar>
            <w:vAlign w:val="bottom"/>
          </w:tcPr>
          <w:p>
            <w:pPr>
              <w:pStyle w:val="TableContents"/>
              <w:spacing w:before="0" w:after="283"/>
              <w:jc w:val="left"/>
              <w:rPr/>
            </w:pPr>
            <w:r>
              <w:rPr/>
              <w:t>Contractual Obligations</w:t>
            </w:r>
          </w:p>
        </w:tc>
        <w:tc>
          <w:tcPr>
            <w:tcW w:w="259"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11" w:type="dxa"/>
            <w:gridSpan w:val="2"/>
            <w:tcBorders>
              <w:bottom w:val="single" w:sz="2" w:space="0" w:color="000000"/>
            </w:tcBorders>
            <w:shd w:fill="auto" w:val="clear"/>
            <w:tcMar>
              <w:bottom w:w="28" w:type="dxa"/>
            </w:tcMar>
            <w:vAlign w:val="bottom"/>
          </w:tcPr>
          <w:p>
            <w:pPr>
              <w:pStyle w:val="TableContents"/>
              <w:spacing w:before="0" w:after="283"/>
              <w:jc w:val="center"/>
              <w:rPr/>
            </w:pPr>
            <w:r>
              <w:rPr/>
              <w:t>1 year</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pPr>
            <w:r>
              <w:rPr/>
              <w:t>1-3 years</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pPr>
            <w:r>
              <w:rPr/>
              <w:t>3-5 years</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pPr>
            <w:r>
              <w:rPr/>
              <w:t>5 years</w:t>
            </w:r>
          </w:p>
        </w:tc>
        <w:tc>
          <w:tcPr>
            <w:tcW w:w="107" w:type="dxa"/>
            <w:tcBorders/>
            <w:shd w:fill="auto" w:val="clear"/>
            <w:vAlign w:val="bottom"/>
          </w:tcPr>
          <w:p>
            <w:pPr>
              <w:pStyle w:val="TableContents"/>
              <w:spacing w:before="0" w:after="283"/>
              <w:rPr/>
            </w:pPr>
            <w:r>
              <w:rPr/>
              <w:t> </w:t>
            </w:r>
          </w:p>
        </w:tc>
      </w:tr>
      <w:tr>
        <w:trPr/>
        <w:tc>
          <w:tcPr>
            <w:tcW w:w="3555" w:type="dxa"/>
            <w:tcBorders/>
            <w:shd w:fill="CCEEFF" w:val="clear"/>
            <w:vAlign w:val="bottom"/>
          </w:tcPr>
          <w:p>
            <w:pPr>
              <w:pStyle w:val="TableContents"/>
              <w:spacing w:before="0" w:after="0"/>
              <w:ind w:left="225" w:right="0" w:hanging="225"/>
              <w:rPr/>
            </w:pPr>
            <w:r>
              <w:rPr/>
              <w:t>Long-term debt obligations</w:t>
            </w:r>
          </w:p>
        </w:tc>
        <w:tc>
          <w:tcPr>
            <w:tcW w:w="25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672" w:type="dxa"/>
            <w:tcBorders/>
            <w:shd w:fill="CCEEFF" w:val="clear"/>
            <w:vAlign w:val="bottom"/>
          </w:tcPr>
          <w:p>
            <w:pPr>
              <w:pStyle w:val="TableContents"/>
              <w:spacing w:before="0" w:after="283"/>
              <w:jc w:val="right"/>
              <w:rPr/>
            </w:pPr>
            <w:r>
              <w:rPr/>
              <w:t>26.5</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786"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jc w:val="left"/>
              <w:rPr/>
            </w:pPr>
            <w:r>
              <w:rPr/>
              <w:t>$</w:t>
            </w:r>
          </w:p>
        </w:tc>
        <w:tc>
          <w:tcPr>
            <w:tcW w:w="768"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jc w:val="left"/>
              <w:rPr/>
            </w:pPr>
            <w:r>
              <w:rPr/>
              <w:t>$</w:t>
            </w:r>
          </w:p>
        </w:tc>
        <w:tc>
          <w:tcPr>
            <w:tcW w:w="768" w:type="dxa"/>
            <w:tcBorders/>
            <w:shd w:fill="CCEEFF" w:val="clear"/>
            <w:vAlign w:val="bottom"/>
          </w:tcPr>
          <w:p>
            <w:pPr>
              <w:pStyle w:val="TableContents"/>
              <w:spacing w:before="0" w:after="283"/>
              <w:jc w:val="right"/>
              <w:rPr/>
            </w:pPr>
            <w:r>
              <w:rPr/>
              <w:t>26.5</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0"/>
              <w:ind w:left="225" w:right="0" w:hanging="225"/>
              <w:rPr/>
            </w:pPr>
            <w:r>
              <w:rPr/>
              <w:t>Interest on long-term debt obligations</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pPr>
            <w:r>
              <w:rPr/>
              <w:t>7.1</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1.8</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3.7</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1.6</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r>
      <w:tr>
        <w:trPr/>
        <w:tc>
          <w:tcPr>
            <w:tcW w:w="3555" w:type="dxa"/>
            <w:tcBorders/>
            <w:shd w:fill="CCEEFF" w:val="clear"/>
            <w:vAlign w:val="bottom"/>
          </w:tcPr>
          <w:p>
            <w:pPr>
              <w:pStyle w:val="TableContents"/>
              <w:spacing w:before="0" w:after="0"/>
              <w:ind w:left="225" w:right="0" w:hanging="225"/>
              <w:rPr/>
            </w:pPr>
            <w:r>
              <w:rPr/>
              <w:t>Operating lease obligations</w:t>
            </w:r>
          </w:p>
        </w:tc>
        <w:tc>
          <w:tcPr>
            <w:tcW w:w="25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pPr>
            <w:r>
              <w:rPr/>
              <w:t>159.3</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42.5</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65.3</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32.5</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19.0</w:t>
            </w:r>
          </w:p>
        </w:tc>
        <w:tc>
          <w:tcPr>
            <w:tcW w:w="107" w:type="dxa"/>
            <w:tcBorders/>
            <w:shd w:fill="CCEEFF" w:val="clear"/>
            <w:vAlign w:val="bottom"/>
          </w:tcPr>
          <w:p>
            <w:pPr>
              <w:pStyle w:val="TableContents"/>
              <w:spacing w:before="0" w:after="283"/>
              <w:rPr/>
            </w:pPr>
            <w:r>
              <w:rPr/>
              <w:t> </w:t>
            </w:r>
          </w:p>
        </w:tc>
      </w:tr>
      <w:tr>
        <w:trPr/>
        <w:tc>
          <w:tcPr>
            <w:tcW w:w="3555"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8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3555" w:type="dxa"/>
            <w:tcBorders/>
            <w:shd w:fill="auto" w:val="clear"/>
            <w:vAlign w:val="bottom"/>
          </w:tcPr>
          <w:p>
            <w:pPr>
              <w:pStyle w:val="TableContents"/>
              <w:spacing w:before="0" w:after="0"/>
              <w:ind w:left="225" w:right="0" w:hanging="225"/>
              <w:rPr/>
            </w:pPr>
            <w:r>
              <w:rPr/>
              <w:t>Total</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672" w:type="dxa"/>
            <w:tcBorders/>
            <w:shd w:fill="auto" w:val="clear"/>
            <w:vAlign w:val="bottom"/>
          </w:tcPr>
          <w:p>
            <w:pPr>
              <w:pStyle w:val="TableContents"/>
              <w:spacing w:before="0" w:after="283"/>
              <w:jc w:val="right"/>
              <w:rPr/>
            </w:pPr>
            <w:r>
              <w:rPr/>
              <w:t>192.9</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786" w:type="dxa"/>
            <w:tcBorders/>
            <w:shd w:fill="auto" w:val="clear"/>
            <w:vAlign w:val="bottom"/>
          </w:tcPr>
          <w:p>
            <w:pPr>
              <w:pStyle w:val="TableContents"/>
              <w:spacing w:before="0" w:after="283"/>
              <w:jc w:val="right"/>
              <w:rPr/>
            </w:pPr>
            <w:r>
              <w:rPr/>
              <w:t>44.3</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w:t>
            </w:r>
          </w:p>
        </w:tc>
        <w:tc>
          <w:tcPr>
            <w:tcW w:w="768" w:type="dxa"/>
            <w:tcBorders/>
            <w:shd w:fill="auto" w:val="clear"/>
            <w:vAlign w:val="bottom"/>
          </w:tcPr>
          <w:p>
            <w:pPr>
              <w:pStyle w:val="TableContents"/>
              <w:spacing w:before="0" w:after="283"/>
              <w:jc w:val="right"/>
              <w:rPr/>
            </w:pPr>
            <w:r>
              <w:rPr/>
              <w:t>69.0</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w:t>
            </w:r>
          </w:p>
        </w:tc>
        <w:tc>
          <w:tcPr>
            <w:tcW w:w="768" w:type="dxa"/>
            <w:tcBorders/>
            <w:shd w:fill="auto" w:val="clear"/>
            <w:vAlign w:val="bottom"/>
          </w:tcPr>
          <w:p>
            <w:pPr>
              <w:pStyle w:val="TableContents"/>
              <w:spacing w:before="0" w:after="283"/>
              <w:jc w:val="right"/>
              <w:rPr/>
            </w:pPr>
            <w:r>
              <w:rPr/>
              <w:t>60.6</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19.0</w:t>
            </w:r>
          </w:p>
        </w:tc>
        <w:tc>
          <w:tcPr>
            <w:tcW w:w="107" w:type="dxa"/>
            <w:tcBorders/>
            <w:shd w:fill="auto" w:val="clear"/>
            <w:vAlign w:val="bottom"/>
          </w:tcPr>
          <w:p>
            <w:pPr>
              <w:pStyle w:val="TableContents"/>
              <w:spacing w:before="0" w:after="283"/>
              <w:rPr/>
            </w:pPr>
            <w:r>
              <w:rPr/>
              <w:t> </w:t>
            </w:r>
          </w:p>
        </w:tc>
      </w:tr>
      <w:tr>
        <w:trPr/>
        <w:tc>
          <w:tcPr>
            <w:tcW w:w="3555"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8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contractual obligations in the table above, we are obligated under letters of credit issued to unaffiliated lenders as part of our credit service operations. At June 30, 2011, our maximum exposure for losses on letters of credit, if all brokered loans defaulted and none was collected, was $29.6 million. Of that total, $5.9 million was secured by titles to customers automobiles. These amounts include principal, interest, insufficient funds fees and late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operating lease obligations in the table above, we are responsible for the maintenance, property taxes and insurance at most of our locations. In the most recent fiscal year ended September 30, 2010, these collectively amounted to $14.9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operating lease obligations in the table above include expected rent for all our store locations through the end of their current lease terms. Of the 442 U.S. EZMONEY financial services stores, 158 adjoin an EZPAWN store. The lease agreements at approximately 94% of the remaining 284 free-standing EZMONEY stores contain provisions that limit our exposure to additional rent if laws were enacted that had a significant negative effect on our operations at these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remaining three months of the fiscal year ending September 30, 2011, we plan to open approximately 30 new stores for an aggregate investment of $3.6 million of capital expenditures plus the funding of working capital and start-up losses related to these store openings. We believe new stores will create a drag on earnings and liquidity until their second year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10, 2011, we entered into a new senior secured credit agreement with a syndication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all other outstanding debt and issued $5.0 million of bank letters of credit, leaving $170 million available on the facility. The new credit facility increases our available credit and provides greater flexibility to make investments and acquisitions both domestically and internationally. Terms of the credit agreement require, among other things, that we meet certain financial covenants. We were in compliance with all covenants at June 30, 2011 and expect to remain in compliance based on our expected future performance.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anticipate that cash flow from operations, cash on hand and availability under our revolving credit facility will be adequate to fund our contractual obligations, planned store growth, capital expenditures and working capital requirements during the coming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January 13, 2011, the SEC declared effective our shelf Registration Statement on Form S-4, registering two million shares of our Class A Non-Voting Common Stock that we may offer from time to time in connection with future acquisitions of businesses, assets or securities. As of June 30, 2011, we had not issued any of the shares covered by the registration statement.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Off-Balance Sheet Arrangements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 or late fee.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 </w:t>
      </w:r>
    </w:p>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include an allowance for Expected LOC Losses in Accounts payable and other accrued expenses on our balance sheet. At June 30, 2011, the allowance for Expected LOC Losses was $1.7 million. At that date, our maximum exposure for losses on letters of credit, if all brokered loans defaulted and none was collected, was $29.6 million. This amount includes principal, interest, insufficient funds fees and late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no other off-balance sheet arrangements.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Seasonality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fees are generally highest in our third and fourth fiscal quarters (April through September) due to a higher average loan balance during the summer lending season. Signature loan bad debt, both in dollar terms and as a percentage of related fees, is highest in the third and fourth quarters and lowest in the second quarter due primarily to the impact of tax refunds in the U.S.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U.S. income tax refund season.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Use of Estimates and Assumptions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Managements Discussion and Analysis of Financial Condition and Results of Operations are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240" w:after="283"/>
        <w:jc w:val="left"/>
        <w:rPr>
          <w:rFonts w:ascii="Times New Roman;Times;serif" w:hAnsi="Times New Roman;Times;serif"/>
          <w:sz w:val="17"/>
        </w:rPr>
      </w:pPr>
      <w:bookmarkStart w:id="10" w:name="D82588108"/>
      <w:bookmarkEnd w:id="10"/>
      <w:r>
        <w:rPr>
          <w:rFonts w:ascii="Times New Roman;Times;serif" w:hAnsi="Times New Roman;Times;serif"/>
          <w:b/>
          <w:i/>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exposed to market risk related to interest rates, gold values and changes in foreign currency exchange rates. We do not use derivative financial instruments.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are affected by changes in interest rates as our debt has a variable rate. If interest rates average 50 basis points more than our current rate in the remaining three months of the fiscal year ending September 30, 2011, our interest expense during that period would increase by approximately $33,000. This amount is determined by considering the impact of the hypothetical interest rate change on our variable-rate debt at June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For further discussion, you should read Part I, Item 1A  Risk Factors of our Annual Report on Form 10-K for the year ended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foreign exchange rate fluctuations related to our equity investments in Albemarle &amp; Bond and Cash Converters and our owned operations in Mexico and Canada. Albemarle &amp; Bonds functional currency is the British pound, Cash Converters functional currency is the Australian dollar, our Mexican operations functional currency is the Mexican peso, and our Canadian operations functional currency is the Canadian dollar. The impact on our results of operations and financial position of hypothetical changes in foreign currency exchange rates cannot be reasonably estimated due to the interrelationship of operating results and exchange rates. Separate discussion regarding the Canadian dollar is not presented as our Canadian operations are not yet material.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Albemarle &amp; Bond representing the strengthening in the British pound during the quarter ended March 31, 2011 (included in our June 30, 2011 results on a three-month lag) was a $0.7 million increase to stockholders equity. On June 30, 2011, the British pound weakened to £1.00 to $1.6018 U.S. compared to $1.6032 at March 31,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Cash Converters representing the strengthening in the Australian dollar during the quarter ended March 31, 2011 (included in our June 30, 2011 results on a three-month lag) was a $0.7 million increase to stockholders equity. On June 30, 2011, the Australian dollar strengthened to $1.00 Australian dollar to $1.0595 U.S. from $1.0309 at March 31,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representing the strengthening of the Mexican peso during the quarter ended June 30, 2011 was a $0.4 million increase to stockholders equity. We have currently assumed permanent reinvestment of earnings and capital in Mexico. Accumulated translation gains or losses related to any future repatriation of earnings or capital would impact our earnings in the period of repatriation. On June 30, 2011, the peso strengthened to $1.00 Mexican peso to $0.0845 U.S. from $0.0836 at March 31,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cannot predict the future valuation of foreign currencies or how further movements in them could affect our future earnings or financial position.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Forward-Looking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w:t>
      </w:r>
    </w:p>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results or events to differ from current expectations are identified in Part II, Item 1A  Risk Factors of this Quarterly Report and Part I, Item 1A  Risk Factors of our Annual Report on Form 10-K for the year ended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specifically disclaim any responsibility to publicly update any information contained in a forward-looking statement except as required by law. All forward-looking statements attributable to us are expressly qualified in their entirety by this cautionary statement. </w:t>
      </w:r>
    </w:p>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240" w:after="283"/>
        <w:jc w:val="left"/>
        <w:rPr>
          <w:rFonts w:ascii="Times New Roman;Times;serif" w:hAnsi="Times New Roman;Times;serif"/>
          <w:sz w:val="17"/>
        </w:rPr>
      </w:pPr>
      <w:bookmarkStart w:id="11" w:name="D82588109"/>
      <w:bookmarkEnd w:id="11"/>
      <w:r>
        <w:rPr>
          <w:rFonts w:ascii="Times New Roman;Times;serif" w:hAnsi="Times New Roman;Times;serif"/>
          <w:b/>
          <w:i/>
          <w:sz w:val="17"/>
        </w:rPr>
        <w:t>Item 4.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Evaluation of Disclosure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June 30, 2011. Based on that evaluation, our Chief Executive Officer and Chief Financial Officer concluded that our disclosure controls and procedures were effective as of June 30, 2011.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Changes in Internal Control Over Financial Reporting</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were no changes in our internal control over financial reporting during the quarter ended June 30, 2011 that have materially affected, or are reasonably likely to materially affect, our internal control over financial reporting.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Inherent Limitations on Internal Controls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Judgments in decision-making can be faulty, and control and process breakdowns can occur because of simple errors or mistakes.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Controls can be circumvented by individuals, acting alone or in collusion with others, or by management override.</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The design of any system of controls is based in part on certain assumptions about the likelihood of future events, and there can be no assurance that any design will succeed in achieving its stated goals under all potential future conditions.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Over time, controls may become inadequate because of changes in conditions or deterioration in the degree of compliance with associated policies or procedures.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The design of a control system must reflect the fact that resources are constrained, and the benefits of controls must be considered relative to their costs.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of the inherent limitations in all control systems, no evaluation of controls can provide absolute assurance that all control issues and instances of fraud, if any, have been detected. </w:t>
      </w:r>
    </w:p>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D82588110"/>
      <w:bookmarkEnd w:id="12"/>
      <w:r>
        <w:rPr>
          <w:rFonts w:ascii="Times New Roman;Times;serif" w:hAnsi="Times New Roman;Times;serif"/>
          <w:b/>
          <w:sz w:val="17"/>
        </w:rPr>
        <w:t>PART II</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3" w:name="D82588111"/>
      <w:bookmarkEnd w:id="13"/>
      <w:r>
        <w:rPr>
          <w:rFonts w:ascii="Times New Roman;Times;serif" w:hAnsi="Times New Roman;Times;serif"/>
          <w:b/>
          <w:i/>
          <w:sz w:val="17"/>
        </w:rPr>
        <w:t>Item 1. Legal Proceedings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Note J, Contingencies, in the Notes to Interim Condensed Consolidated Financial Statements (unaudited) included in this filing and incorporated herein by reference. </w:t>
      </w:r>
    </w:p>
    <w:p>
      <w:pPr>
        <w:pStyle w:val="TextBody"/>
        <w:spacing w:before="240" w:after="283"/>
        <w:jc w:val="left"/>
        <w:rPr>
          <w:rFonts w:ascii="Times New Roman;Times;serif" w:hAnsi="Times New Roman;Times;serif"/>
          <w:sz w:val="17"/>
        </w:rPr>
      </w:pPr>
      <w:bookmarkStart w:id="14" w:name="D82588112"/>
      <w:bookmarkEnd w:id="14"/>
      <w:r>
        <w:rPr>
          <w:rFonts w:ascii="Times New Roman;Times;serif" w:hAnsi="Times New Roman;Times;serif"/>
          <w:b/>
          <w:i/>
          <w:sz w:val="17"/>
        </w:rPr>
        <w:t>Item 1A. 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Important risk factors that could affect our operations and financial performance, or that could cause results or events to differ from current expectations, are described in Part I, Item 1A, Risk Factors of our Annual Report on Form 10-K for the year ended September 30, 2010. These factors are supplemented by those discussed under Quantitative and Qualitative Disclosures about Market Risk in Part I, Item 3 of this report and in Part II, Item 7A of our Annual Report on Form 10-K for the year ended September 30, 2010. </w:t>
      </w:r>
    </w:p>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240" w:after="283"/>
        <w:jc w:val="left"/>
        <w:rPr>
          <w:rFonts w:ascii="Times New Roman;Times;serif" w:hAnsi="Times New Roman;Times;serif"/>
          <w:sz w:val="17"/>
        </w:rPr>
      </w:pPr>
      <w:bookmarkStart w:id="15" w:name="D82588113"/>
      <w:bookmarkEnd w:id="15"/>
      <w:r>
        <w:rPr>
          <w:rFonts w:ascii="Times New Roman;Times;serif" w:hAnsi="Times New Roman;Times;serif"/>
          <w:b/>
          <w:i/>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142"/>
        <w:gridCol w:w="201"/>
        <w:gridCol w:w="8862"/>
      </w:tblGrid>
      <w:tr>
        <w:trPr/>
        <w:tc>
          <w:tcPr>
            <w:tcW w:w="1142"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862" w:type="dxa"/>
            <w:tcBorders/>
            <w:shd w:fill="auto" w:val="clear"/>
            <w:vAlign w:val="bottom"/>
          </w:tcPr>
          <w:p>
            <w:pPr>
              <w:pStyle w:val="TableContents"/>
              <w:spacing w:before="0" w:after="283"/>
              <w:rPr/>
            </w:pPr>
            <w:r>
              <w:rPr/>
              <w:t> </w:t>
            </w:r>
          </w:p>
        </w:tc>
      </w:tr>
      <w:tr>
        <w:trPr/>
        <w:tc>
          <w:tcPr>
            <w:tcW w:w="1142" w:type="dxa"/>
            <w:tcBorders>
              <w:bottom w:val="single" w:sz="2" w:space="0" w:color="000000"/>
            </w:tcBorders>
            <w:shd w:fill="auto" w:val="clear"/>
            <w:tcMar>
              <w:bottom w:w="28" w:type="dxa"/>
            </w:tcMar>
            <w:vAlign w:val="bottom"/>
          </w:tcPr>
          <w:p>
            <w:pPr>
              <w:pStyle w:val="TableContents"/>
              <w:spacing w:before="0" w:after="283"/>
              <w:jc w:val="left"/>
              <w:rPr/>
            </w:pPr>
            <w:r>
              <w:rPr/>
              <w:t>Exhibit No.</w:t>
            </w:r>
          </w:p>
        </w:tc>
        <w:tc>
          <w:tcPr>
            <w:tcW w:w="201" w:type="dxa"/>
            <w:tcBorders/>
            <w:shd w:fill="auto" w:val="clear"/>
            <w:vAlign w:val="bottom"/>
          </w:tcPr>
          <w:p>
            <w:pPr>
              <w:pStyle w:val="TableContents"/>
              <w:spacing w:before="0" w:after="283"/>
              <w:rPr/>
            </w:pPr>
            <w:r>
              <w:rPr/>
              <w:t> </w:t>
            </w:r>
          </w:p>
        </w:tc>
        <w:tc>
          <w:tcPr>
            <w:tcW w:w="8862" w:type="dxa"/>
            <w:tcBorders>
              <w:bottom w:val="single" w:sz="2" w:space="0" w:color="000000"/>
            </w:tcBorders>
            <w:shd w:fill="auto" w:val="clear"/>
            <w:tcMar>
              <w:bottom w:w="28" w:type="dxa"/>
            </w:tcMar>
            <w:vAlign w:val="bottom"/>
          </w:tcPr>
          <w:p>
            <w:pPr>
              <w:pStyle w:val="TableContents"/>
              <w:spacing w:before="0" w:after="283"/>
              <w:jc w:val="left"/>
              <w:rPr/>
            </w:pPr>
            <w:r>
              <w:rPr/>
              <w:t>Description of Exhibit</w:t>
            </w:r>
          </w:p>
        </w:tc>
      </w:tr>
      <w:tr>
        <w:trPr/>
        <w:tc>
          <w:tcPr>
            <w:tcW w:w="1142" w:type="dxa"/>
            <w:tcBorders/>
            <w:shd w:fill="auto" w:val="clear"/>
          </w:tcPr>
          <w:p>
            <w:pPr>
              <w:pStyle w:val="TableContents"/>
              <w:spacing w:before="0" w:after="0"/>
              <w:ind w:left="0" w:right="0" w:hanging="0"/>
              <w:jc w:val="center"/>
              <w:rPr/>
            </w:pPr>
            <w:r>
              <w:rPr/>
              <w:t xml:space="preserve">10.1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Credit Agreement, dated May 10, 2011, among EZCORP, Inc. (as Borrower), certain domestic subsidiaries of the Borrower from time to time party thereto (as Guarantors), the Lenders party thereto, and Wells Fargo Bank, National Association (as Syndication Agent) (incorporated by reference to Exhibit 10.1 to the Companys Current Report on Form 8-K dated May 11, 2011 and filed May 12, 2011, Commission File No. 0-19424)</w:t>
            </w:r>
          </w:p>
        </w:tc>
      </w:tr>
      <w:tr>
        <w:trPr/>
        <w:tc>
          <w:tcPr>
            <w:tcW w:w="1142" w:type="dxa"/>
            <w:tcBorders/>
            <w:shd w:fill="auto" w:val="clear"/>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 </w:t>
            </w:r>
          </w:p>
        </w:tc>
      </w:tr>
      <w:tr>
        <w:trPr/>
        <w:tc>
          <w:tcPr>
            <w:tcW w:w="1142" w:type="dxa"/>
            <w:tcBorders/>
            <w:shd w:fill="auto" w:val="clear"/>
          </w:tcPr>
          <w:p>
            <w:pPr>
              <w:pStyle w:val="TableContents"/>
              <w:spacing w:before="0" w:after="0"/>
              <w:ind w:left="0" w:right="0" w:hanging="0"/>
              <w:jc w:val="center"/>
              <w:rPr/>
            </w:pPr>
            <w:r>
              <w:rPr/>
              <w:t xml:space="preserve">31.1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Certification of Paul E. Rothamel, Chief Executive Officer, pursuant to Rule 13a-14(a) under the Securities Exchange Act of 1934, as adopted pursuant to Section 302 of the Sarbanes-Oxley Act of 2002</w:t>
            </w:r>
          </w:p>
        </w:tc>
      </w:tr>
      <w:tr>
        <w:trPr/>
        <w:tc>
          <w:tcPr>
            <w:tcW w:w="1142" w:type="dxa"/>
            <w:tcBorders/>
            <w:shd w:fill="auto" w:val="clear"/>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 </w:t>
            </w:r>
          </w:p>
        </w:tc>
      </w:tr>
      <w:tr>
        <w:trPr/>
        <w:tc>
          <w:tcPr>
            <w:tcW w:w="1142" w:type="dxa"/>
            <w:tcBorders/>
            <w:shd w:fill="auto" w:val="clear"/>
          </w:tcPr>
          <w:p>
            <w:pPr>
              <w:pStyle w:val="TableContents"/>
              <w:spacing w:before="0" w:after="0"/>
              <w:ind w:left="0" w:right="0" w:hanging="0"/>
              <w:jc w:val="center"/>
              <w:rPr/>
            </w:pPr>
            <w:r>
              <w:rPr/>
              <w:t xml:space="preserve">31.2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Certification of Stephen A. Stamp, Chief Financial Officer, pursuant to Rule 13a-14(a) under the Securities Exchange Act of 1934, as adopted pursuant to Section 302 of the Sarbanes-Oxley Act of 2002</w:t>
            </w:r>
          </w:p>
        </w:tc>
      </w:tr>
      <w:tr>
        <w:trPr/>
        <w:tc>
          <w:tcPr>
            <w:tcW w:w="1142" w:type="dxa"/>
            <w:tcBorders/>
            <w:shd w:fill="auto" w:val="clear"/>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 </w:t>
            </w:r>
          </w:p>
        </w:tc>
      </w:tr>
      <w:tr>
        <w:trPr/>
        <w:tc>
          <w:tcPr>
            <w:tcW w:w="1142" w:type="dxa"/>
            <w:tcBorders/>
            <w:shd w:fill="auto" w:val="clear"/>
          </w:tcPr>
          <w:p>
            <w:pPr>
              <w:pStyle w:val="TableContents"/>
              <w:spacing w:before="0" w:after="0"/>
              <w:ind w:left="0" w:right="0" w:hanging="0"/>
              <w:jc w:val="center"/>
              <w:rPr/>
            </w:pPr>
            <w:r>
              <w:rPr/>
              <w:t xml:space="preserve">32.1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Certifications of Paul E. Rothamel, Chief Executive Officer, and Stephen A. Stamp, Chief Financial Officer , pursuant to 18 U.S.C. Section 1350, as adopted pursuant to Section 906 of the Sarbanes-Oxley Act of 2002</w:t>
            </w:r>
          </w:p>
        </w:tc>
      </w:tr>
      <w:tr>
        <w:trPr/>
        <w:tc>
          <w:tcPr>
            <w:tcW w:w="1142" w:type="dxa"/>
            <w:tcBorders/>
            <w:shd w:fill="auto" w:val="clear"/>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 </w:t>
            </w:r>
          </w:p>
        </w:tc>
      </w:tr>
      <w:tr>
        <w:trPr/>
        <w:tc>
          <w:tcPr>
            <w:tcW w:w="1142" w:type="dxa"/>
            <w:tcBorders/>
            <w:shd w:fill="auto" w:val="clear"/>
          </w:tcPr>
          <w:p>
            <w:pPr>
              <w:pStyle w:val="TableContents"/>
              <w:spacing w:before="0" w:after="0"/>
              <w:ind w:left="0" w:right="0" w:hanging="0"/>
              <w:jc w:val="center"/>
              <w:rPr/>
            </w:pPr>
            <w:r>
              <w:rPr/>
              <w:t xml:space="preserve">101.INS*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Instance Document</w:t>
            </w:r>
          </w:p>
        </w:tc>
      </w:tr>
      <w:tr>
        <w:trPr/>
        <w:tc>
          <w:tcPr>
            <w:tcW w:w="1142" w:type="dxa"/>
            <w:tcBorders/>
            <w:shd w:fill="auto" w:val="clear"/>
          </w:tcPr>
          <w:p>
            <w:pPr>
              <w:pStyle w:val="TableContents"/>
              <w:spacing w:before="0" w:after="0"/>
              <w:ind w:left="0" w:right="0" w:hanging="0"/>
              <w:jc w:val="center"/>
              <w:rPr/>
            </w:pPr>
            <w:r>
              <w:rPr/>
              <w:t xml:space="preserve">101.SCH*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Taxonomy Extension Schema Document</w:t>
            </w:r>
          </w:p>
        </w:tc>
      </w:tr>
      <w:tr>
        <w:trPr/>
        <w:tc>
          <w:tcPr>
            <w:tcW w:w="1142" w:type="dxa"/>
            <w:tcBorders/>
            <w:shd w:fill="auto" w:val="clear"/>
          </w:tcPr>
          <w:p>
            <w:pPr>
              <w:pStyle w:val="TableContents"/>
              <w:spacing w:before="0" w:after="0"/>
              <w:ind w:left="0" w:right="0" w:hanging="0"/>
              <w:jc w:val="center"/>
              <w:rPr/>
            </w:pPr>
            <w:r>
              <w:rPr/>
              <w:t xml:space="preserve">101.CAL*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Taxonomy Extension Calculation Linkbase Document</w:t>
            </w:r>
          </w:p>
        </w:tc>
      </w:tr>
      <w:tr>
        <w:trPr/>
        <w:tc>
          <w:tcPr>
            <w:tcW w:w="1142" w:type="dxa"/>
            <w:tcBorders/>
            <w:shd w:fill="auto" w:val="clear"/>
          </w:tcPr>
          <w:p>
            <w:pPr>
              <w:pStyle w:val="TableContents"/>
              <w:spacing w:before="0" w:after="0"/>
              <w:ind w:left="0" w:right="0" w:hanging="0"/>
              <w:jc w:val="center"/>
              <w:rPr/>
            </w:pPr>
            <w:r>
              <w:rPr/>
              <w:t xml:space="preserve">101.LAB*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Taxonomy Label Linkbase Document</w:t>
            </w:r>
          </w:p>
        </w:tc>
      </w:tr>
      <w:tr>
        <w:trPr/>
        <w:tc>
          <w:tcPr>
            <w:tcW w:w="1142" w:type="dxa"/>
            <w:tcBorders/>
            <w:shd w:fill="auto" w:val="clear"/>
          </w:tcPr>
          <w:p>
            <w:pPr>
              <w:pStyle w:val="TableContents"/>
              <w:spacing w:before="0" w:after="0"/>
              <w:ind w:left="0" w:right="0" w:hanging="0"/>
              <w:jc w:val="center"/>
              <w:rPr/>
            </w:pPr>
            <w:r>
              <w:rPr/>
              <w:t xml:space="preserve">101.DEF*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Taxonomy Extension Definition Linkbase Document</w:t>
            </w:r>
          </w:p>
        </w:tc>
      </w:tr>
      <w:tr>
        <w:trPr/>
        <w:tc>
          <w:tcPr>
            <w:tcW w:w="1142" w:type="dxa"/>
            <w:tcBorders/>
            <w:shd w:fill="auto" w:val="clear"/>
          </w:tcPr>
          <w:p>
            <w:pPr>
              <w:pStyle w:val="TableContents"/>
              <w:spacing w:before="0" w:after="0"/>
              <w:ind w:left="0" w:right="0" w:hanging="0"/>
              <w:jc w:val="center"/>
              <w:rPr/>
            </w:pPr>
            <w:r>
              <w:rPr/>
              <w:t xml:space="preserve">101.PRE*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Taxonomy Extension Presentation Linkbase Document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Attached as Exhibit 101 to this report are the following formatted in XBRL (Extensible Business Reporting Language): (i) Consolidated Balance Sheets at June 30, 2011, June 30, 2010 and September 30, 2010; (ii) Consolidated Statements of Income for the three month and nine month periods ended June 30, 2011 and June 30, 2010; (iii) Consolidated Statements of Cash Flows for the nine month periods ended June 30, 2011 and June 30, 2010; and (iv) Notes to Consolidated Financial Statements.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40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p>
      <w:pPr>
        <w:pStyle w:val="TextBody"/>
        <w:spacing w:before="240" w:after="283"/>
        <w:jc w:val="center"/>
        <w:rPr>
          <w:rFonts w:ascii="Times New Roman;Times;serif" w:hAnsi="Times New Roman;Times;serif"/>
          <w:sz w:val="17"/>
        </w:rPr>
      </w:pPr>
      <w:bookmarkStart w:id="16" w:name="D82588114"/>
      <w:bookmarkEnd w:id="16"/>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4706"/>
        <w:gridCol w:w="354"/>
        <w:gridCol w:w="354"/>
        <w:gridCol w:w="3398"/>
        <w:gridCol w:w="1393"/>
      </w:tblGrid>
      <w:tr>
        <w:trPr/>
        <w:tc>
          <w:tcPr>
            <w:tcW w:w="4706"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398" w:type="dxa"/>
            <w:tcBorders/>
            <w:shd w:fill="auto" w:val="clear"/>
            <w:vAlign w:val="center"/>
          </w:tcPr>
          <w:p>
            <w:pPr>
              <w:pStyle w:val="TableContents"/>
              <w:spacing w:before="0" w:after="283"/>
              <w:rPr/>
            </w:pPr>
            <w:r>
              <w:rPr/>
              <w:t>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tcPr>
          <w:p>
            <w:pPr>
              <w:pStyle w:val="TableContents"/>
              <w:spacing w:before="0" w:after="283"/>
              <w:jc w:val="left"/>
              <w:rPr/>
            </w:pPr>
            <w:r>
              <w:rPr/>
              <w:t> </w:t>
            </w:r>
          </w:p>
        </w:tc>
        <w:tc>
          <w:tcPr>
            <w:tcW w:w="4106" w:type="dxa"/>
            <w:gridSpan w:val="3"/>
            <w:tcBorders/>
            <w:shd w:fill="auto" w:val="clear"/>
            <w:vAlign w:val="center"/>
          </w:tcPr>
          <w:p>
            <w:pPr>
              <w:pStyle w:val="TableContents"/>
              <w:spacing w:before="0" w:after="283"/>
              <w:jc w:val="left"/>
              <w:rPr/>
            </w:pPr>
            <w:r>
              <w:rPr/>
              <w:t>EZCORP, INC.</w:t>
              <w:br/>
              <w:t>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283"/>
              <w:jc w:val="left"/>
              <w:rPr/>
            </w:pPr>
            <w:r>
              <w:rPr/>
              <w:t>Date: August 5, 2011 </w:t>
            </w:r>
          </w:p>
        </w:tc>
        <w:tc>
          <w:tcPr>
            <w:tcW w:w="4106"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283"/>
              <w:jc w:val="left"/>
              <w:rPr/>
            </w:pPr>
            <w:r>
              <w:rPr/>
              <w:t> </w:t>
            </w:r>
          </w:p>
        </w:tc>
        <w:tc>
          <w:tcPr>
            <w:tcW w:w="4106" w:type="dxa"/>
            <w:gridSpan w:val="3"/>
            <w:tcBorders/>
            <w:shd w:fill="auto" w:val="clear"/>
            <w:vAlign w:val="center"/>
          </w:tcPr>
          <w:p>
            <w:pPr>
              <w:pStyle w:val="TableContents"/>
              <w:spacing w:before="0" w:after="283"/>
              <w:jc w:val="left"/>
              <w:rPr/>
            </w:pPr>
            <w:r>
              <w:rPr/>
              <w:t>Stephen A. Stamp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283"/>
              <w:jc w:val="left"/>
              <w:rPr/>
            </w:pPr>
            <w:r>
              <w:rPr/>
              <w:t> </w:t>
            </w:r>
          </w:p>
        </w:tc>
        <w:tc>
          <w:tcPr>
            <w:tcW w:w="4106" w:type="dxa"/>
            <w:gridSpan w:val="3"/>
            <w:tcBorders/>
            <w:shd w:fill="auto" w:val="clear"/>
            <w:vAlign w:val="center"/>
          </w:tcPr>
          <w:p>
            <w:pPr>
              <w:pStyle w:val="TableContents"/>
              <w:spacing w:before="0" w:after="283"/>
              <w:jc w:val="left"/>
              <w:rPr/>
            </w:pPr>
            <w:r>
              <w:rPr/>
              <w:t>Senior Vice President and</w:t>
              <w:br/>
              <w:t>Chief Financial Officer </w:t>
            </w:r>
          </w:p>
        </w:tc>
        <w:tc>
          <w:tcPr>
            <w:tcW w:w="1393"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41 </w:t>
      </w:r>
    </w:p>
    <w:p>
      <w:pPr>
        <w:pStyle w:val="HorizontalLine"/>
        <w:pBdr>
          <w:bottom w:val="single" w:sz="20" w:space="0" w:color="808080"/>
        </w:pBdr>
        <w:rPr/>
      </w:pPr>
      <w:r>
        <w:rPr/>
      </w:r>
      <w:r>
        <w:br w:type="page"/>
      </w:r>
    </w:p>
    <w:p>
      <w:pPr>
        <w:pStyle w:val="Heading5"/>
        <w:jc w:val="left"/>
        <w:rPr/>
      </w:pPr>
      <w:hyperlink w:anchor="D82588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bookmarkStart w:id="17" w:name="D82588115"/>
      <w:bookmarkEnd w:id="17"/>
      <w:r>
        <w:rPr>
          <w:rFonts w:ascii="Times New Roman;Times;serif" w:hAnsi="Times New Roman;Times;serif"/>
          <w:sz w:val="17"/>
        </w:rPr>
        <w:t xml:space="preserve">EXHIBIT INDEX </w:t>
      </w:r>
    </w:p>
    <w:tbl>
      <w:tblPr>
        <w:tblW w:w="5000" w:type="pct"/>
        <w:jc w:val="center"/>
        <w:tblInd w:w="0" w:type="dxa"/>
        <w:tblCellMar>
          <w:top w:w="0" w:type="dxa"/>
          <w:left w:w="0" w:type="dxa"/>
          <w:bottom w:w="0" w:type="dxa"/>
          <w:right w:w="0" w:type="dxa"/>
        </w:tblCellMar>
      </w:tblPr>
      <w:tblGrid>
        <w:gridCol w:w="1142"/>
        <w:gridCol w:w="201"/>
        <w:gridCol w:w="8862"/>
      </w:tblGrid>
      <w:tr>
        <w:trPr/>
        <w:tc>
          <w:tcPr>
            <w:tcW w:w="1142"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862" w:type="dxa"/>
            <w:tcBorders/>
            <w:shd w:fill="auto" w:val="clear"/>
            <w:vAlign w:val="bottom"/>
          </w:tcPr>
          <w:p>
            <w:pPr>
              <w:pStyle w:val="TableContents"/>
              <w:spacing w:before="0" w:after="283"/>
              <w:rPr/>
            </w:pPr>
            <w:r>
              <w:rPr/>
              <w:t> </w:t>
            </w:r>
          </w:p>
        </w:tc>
      </w:tr>
      <w:tr>
        <w:trPr/>
        <w:tc>
          <w:tcPr>
            <w:tcW w:w="1142" w:type="dxa"/>
            <w:tcBorders>
              <w:bottom w:val="single" w:sz="2" w:space="0" w:color="000000"/>
            </w:tcBorders>
            <w:shd w:fill="auto" w:val="clear"/>
            <w:tcMar>
              <w:bottom w:w="28" w:type="dxa"/>
            </w:tcMar>
            <w:vAlign w:val="bottom"/>
          </w:tcPr>
          <w:p>
            <w:pPr>
              <w:pStyle w:val="TableContents"/>
              <w:spacing w:before="0" w:after="283"/>
              <w:jc w:val="left"/>
              <w:rPr/>
            </w:pPr>
            <w:r>
              <w:rPr/>
              <w:t>Exhibit No.</w:t>
            </w:r>
          </w:p>
        </w:tc>
        <w:tc>
          <w:tcPr>
            <w:tcW w:w="201" w:type="dxa"/>
            <w:tcBorders/>
            <w:shd w:fill="auto" w:val="clear"/>
            <w:vAlign w:val="bottom"/>
          </w:tcPr>
          <w:p>
            <w:pPr>
              <w:pStyle w:val="TableContents"/>
              <w:spacing w:before="0" w:after="283"/>
              <w:rPr/>
            </w:pPr>
            <w:r>
              <w:rPr/>
              <w:t> </w:t>
            </w:r>
          </w:p>
        </w:tc>
        <w:tc>
          <w:tcPr>
            <w:tcW w:w="8862" w:type="dxa"/>
            <w:tcBorders>
              <w:bottom w:val="single" w:sz="2" w:space="0" w:color="000000"/>
            </w:tcBorders>
            <w:shd w:fill="auto" w:val="clear"/>
            <w:tcMar>
              <w:bottom w:w="28" w:type="dxa"/>
            </w:tcMar>
            <w:vAlign w:val="bottom"/>
          </w:tcPr>
          <w:p>
            <w:pPr>
              <w:pStyle w:val="TableContents"/>
              <w:spacing w:before="0" w:after="283"/>
              <w:jc w:val="left"/>
              <w:rPr/>
            </w:pPr>
            <w:r>
              <w:rPr/>
              <w:t>Description of Exhibit</w:t>
            </w:r>
          </w:p>
        </w:tc>
      </w:tr>
      <w:tr>
        <w:trPr/>
        <w:tc>
          <w:tcPr>
            <w:tcW w:w="1142" w:type="dxa"/>
            <w:tcBorders/>
            <w:shd w:fill="auto" w:val="clear"/>
          </w:tcPr>
          <w:p>
            <w:pPr>
              <w:pStyle w:val="TableContents"/>
              <w:spacing w:before="0" w:after="0"/>
              <w:ind w:left="0" w:right="0" w:hanging="0"/>
              <w:jc w:val="center"/>
              <w:rPr/>
            </w:pPr>
            <w:r>
              <w:rPr/>
              <w:t xml:space="preserve">10.1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Credit Agreement, dated May 10, 2011, among EZCORP, Inc. (as Borrower), certain domestic subsidiaries of the Borrower from time to time party thereto (as Guarantors), the Lenders party thereto, and Wells Fargo Bank, National Association (as Syndication Agent) (incorporated by reference to Exhibit 10.1 to the Companys Current Report on Form 8-K dated May 11, 2011 and filed May 12, 2011, Commission File No. 0-19424)</w:t>
            </w:r>
          </w:p>
        </w:tc>
      </w:tr>
      <w:tr>
        <w:trPr/>
        <w:tc>
          <w:tcPr>
            <w:tcW w:w="1142" w:type="dxa"/>
            <w:tcBorders/>
            <w:shd w:fill="auto" w:val="clear"/>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 </w:t>
            </w:r>
          </w:p>
        </w:tc>
      </w:tr>
      <w:tr>
        <w:trPr/>
        <w:tc>
          <w:tcPr>
            <w:tcW w:w="1142" w:type="dxa"/>
            <w:tcBorders/>
            <w:shd w:fill="auto" w:val="clear"/>
          </w:tcPr>
          <w:p>
            <w:pPr>
              <w:pStyle w:val="TableContents"/>
              <w:spacing w:before="0" w:after="0"/>
              <w:ind w:left="0" w:right="0" w:hanging="0"/>
              <w:jc w:val="center"/>
              <w:rPr/>
            </w:pPr>
            <w:r>
              <w:rPr/>
              <w:t xml:space="preserve">31.1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Certification of Paul E. Rothamel, Chief Executive Officer, pursuant to Rule 13a-14(a) under the Securities Exchange Act of 1934, as adopted pursuant to Section 302 of the Sarbanes-Oxley Act of 2002</w:t>
            </w:r>
          </w:p>
        </w:tc>
      </w:tr>
      <w:tr>
        <w:trPr/>
        <w:tc>
          <w:tcPr>
            <w:tcW w:w="1142" w:type="dxa"/>
            <w:tcBorders/>
            <w:shd w:fill="auto" w:val="clear"/>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 </w:t>
            </w:r>
          </w:p>
        </w:tc>
      </w:tr>
      <w:tr>
        <w:trPr/>
        <w:tc>
          <w:tcPr>
            <w:tcW w:w="1142" w:type="dxa"/>
            <w:tcBorders/>
            <w:shd w:fill="auto" w:val="clear"/>
          </w:tcPr>
          <w:p>
            <w:pPr>
              <w:pStyle w:val="TableContents"/>
              <w:spacing w:before="0" w:after="0"/>
              <w:ind w:left="0" w:right="0" w:hanging="0"/>
              <w:jc w:val="center"/>
              <w:rPr/>
            </w:pPr>
            <w:r>
              <w:rPr/>
              <w:t xml:space="preserve">31.2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Certification of Stephen A. Stamp, Chief Financial Officer, pursuant to Rule 13a-14(a) under the Securities Exchange Act of 1934, as adopted pursuant to Section 302 of the Sarbanes-Oxley Act of 2002</w:t>
            </w:r>
          </w:p>
        </w:tc>
      </w:tr>
      <w:tr>
        <w:trPr/>
        <w:tc>
          <w:tcPr>
            <w:tcW w:w="1142" w:type="dxa"/>
            <w:tcBorders/>
            <w:shd w:fill="auto" w:val="clear"/>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 </w:t>
            </w:r>
          </w:p>
        </w:tc>
      </w:tr>
      <w:tr>
        <w:trPr/>
        <w:tc>
          <w:tcPr>
            <w:tcW w:w="1142" w:type="dxa"/>
            <w:tcBorders/>
            <w:shd w:fill="auto" w:val="clear"/>
          </w:tcPr>
          <w:p>
            <w:pPr>
              <w:pStyle w:val="TableContents"/>
              <w:spacing w:before="0" w:after="0"/>
              <w:ind w:left="0" w:right="0" w:hanging="0"/>
              <w:jc w:val="center"/>
              <w:rPr/>
            </w:pPr>
            <w:r>
              <w:rPr/>
              <w:t xml:space="preserve">32.1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Certifications of Paul E. Rothamel, Chief Executive Officer, and Stephen A. Stamp, Chief Financial Officer , pursuant to 18 U.S.C. Section 1350, as adopted pursuant to Section 906 of the Sarbanes-Oxley Act of 2002</w:t>
            </w:r>
          </w:p>
        </w:tc>
      </w:tr>
      <w:tr>
        <w:trPr/>
        <w:tc>
          <w:tcPr>
            <w:tcW w:w="1142" w:type="dxa"/>
            <w:tcBorders/>
            <w:shd w:fill="auto" w:val="clear"/>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 </w:t>
            </w:r>
          </w:p>
        </w:tc>
      </w:tr>
      <w:tr>
        <w:trPr/>
        <w:tc>
          <w:tcPr>
            <w:tcW w:w="1142" w:type="dxa"/>
            <w:tcBorders/>
            <w:shd w:fill="auto" w:val="clear"/>
          </w:tcPr>
          <w:p>
            <w:pPr>
              <w:pStyle w:val="TableContents"/>
              <w:spacing w:before="0" w:after="0"/>
              <w:ind w:left="0" w:right="0" w:hanging="0"/>
              <w:jc w:val="center"/>
              <w:rPr/>
            </w:pPr>
            <w:r>
              <w:rPr/>
              <w:t xml:space="preserve">101.INS*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Instance Document</w:t>
            </w:r>
          </w:p>
        </w:tc>
      </w:tr>
      <w:tr>
        <w:trPr/>
        <w:tc>
          <w:tcPr>
            <w:tcW w:w="1142" w:type="dxa"/>
            <w:tcBorders/>
            <w:shd w:fill="auto" w:val="clear"/>
          </w:tcPr>
          <w:p>
            <w:pPr>
              <w:pStyle w:val="TableContents"/>
              <w:spacing w:before="0" w:after="0"/>
              <w:ind w:left="0" w:right="0" w:hanging="0"/>
              <w:jc w:val="center"/>
              <w:rPr/>
            </w:pPr>
            <w:r>
              <w:rPr/>
              <w:t xml:space="preserve">101.SCH*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Taxonomy Extension Schema Document</w:t>
            </w:r>
          </w:p>
        </w:tc>
      </w:tr>
      <w:tr>
        <w:trPr/>
        <w:tc>
          <w:tcPr>
            <w:tcW w:w="1142" w:type="dxa"/>
            <w:tcBorders/>
            <w:shd w:fill="auto" w:val="clear"/>
          </w:tcPr>
          <w:p>
            <w:pPr>
              <w:pStyle w:val="TableContents"/>
              <w:spacing w:before="0" w:after="0"/>
              <w:ind w:left="0" w:right="0" w:hanging="0"/>
              <w:jc w:val="center"/>
              <w:rPr/>
            </w:pPr>
            <w:r>
              <w:rPr/>
              <w:t xml:space="preserve">101.CAL*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Taxonomy Extension Calculation Linkbase Document</w:t>
            </w:r>
          </w:p>
        </w:tc>
      </w:tr>
      <w:tr>
        <w:trPr/>
        <w:tc>
          <w:tcPr>
            <w:tcW w:w="1142" w:type="dxa"/>
            <w:tcBorders/>
            <w:shd w:fill="auto" w:val="clear"/>
          </w:tcPr>
          <w:p>
            <w:pPr>
              <w:pStyle w:val="TableContents"/>
              <w:spacing w:before="0" w:after="0"/>
              <w:ind w:left="0" w:right="0" w:hanging="0"/>
              <w:jc w:val="center"/>
              <w:rPr/>
            </w:pPr>
            <w:r>
              <w:rPr/>
              <w:t xml:space="preserve">101.LAB*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Taxonomy Label Linkbase Document</w:t>
            </w:r>
          </w:p>
        </w:tc>
      </w:tr>
      <w:tr>
        <w:trPr/>
        <w:tc>
          <w:tcPr>
            <w:tcW w:w="1142" w:type="dxa"/>
            <w:tcBorders/>
            <w:shd w:fill="auto" w:val="clear"/>
          </w:tcPr>
          <w:p>
            <w:pPr>
              <w:pStyle w:val="TableContents"/>
              <w:spacing w:before="0" w:after="0"/>
              <w:ind w:left="0" w:right="0" w:hanging="0"/>
              <w:jc w:val="center"/>
              <w:rPr/>
            </w:pPr>
            <w:r>
              <w:rPr/>
              <w:t xml:space="preserve">101.DEF*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Taxonomy Extension Definition Linkbase Document</w:t>
            </w:r>
          </w:p>
        </w:tc>
      </w:tr>
      <w:tr>
        <w:trPr/>
        <w:tc>
          <w:tcPr>
            <w:tcW w:w="1142" w:type="dxa"/>
            <w:tcBorders/>
            <w:shd w:fill="auto" w:val="clear"/>
          </w:tcPr>
          <w:p>
            <w:pPr>
              <w:pStyle w:val="TableContents"/>
              <w:spacing w:before="0" w:after="0"/>
              <w:ind w:left="0" w:right="0" w:hanging="0"/>
              <w:jc w:val="center"/>
              <w:rPr/>
            </w:pPr>
            <w:r>
              <w:rPr/>
              <w:t xml:space="preserve">101.PRE* </w:t>
            </w:r>
          </w:p>
        </w:tc>
        <w:tc>
          <w:tcPr>
            <w:tcW w:w="201" w:type="dxa"/>
            <w:tcBorders/>
            <w:shd w:fill="auto" w:val="clear"/>
            <w:vAlign w:val="bottom"/>
          </w:tcPr>
          <w:p>
            <w:pPr>
              <w:pStyle w:val="TableContents"/>
              <w:spacing w:before="0" w:after="283"/>
              <w:rPr/>
            </w:pPr>
            <w:r>
              <w:rPr/>
              <w:t> </w:t>
            </w:r>
          </w:p>
        </w:tc>
        <w:tc>
          <w:tcPr>
            <w:tcW w:w="8862" w:type="dxa"/>
            <w:tcBorders/>
            <w:shd w:fill="auto" w:val="clear"/>
          </w:tcPr>
          <w:p>
            <w:pPr>
              <w:pStyle w:val="TableContents"/>
              <w:spacing w:before="0" w:after="283"/>
              <w:jc w:val="left"/>
              <w:rPr/>
            </w:pPr>
            <w:r>
              <w:rPr/>
              <w:t>XBRL Taxonomy Extension Presentation Linkbase Document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Attached as Exhibit 101 to this report are the following formatted in XBRL (Extensible Business Reporting Language): (i) Consolidated Balance Sheets at June 30, 2011, June 30, 2010 and September 30, 2010; (ii) Consolidated Statements of Income for the three month and nine month periods ended June 30, 2011 and June 30, 2010; (iii) Consolidated Statements of Cash Flows for the nine month periods ended June 30, 2011 and June 30, 2010; and (iv) Notes to Consolidated Financial Statements.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42 </w:t>
      </w:r>
      <w:r>
        <w:br w:type="page"/>
      </w:r>
    </w:p>
    <w:p>
      <w:pPr>
        <w:pStyle w:val="TextBody"/>
        <w:spacing w:before="240" w:after="283"/>
        <w:jc w:val="right"/>
        <w:rPr>
          <w:rFonts w:ascii="Times New Roman;Times;serif" w:hAnsi="Times New Roman;Times;serif"/>
          <w:sz w:val="17"/>
        </w:rPr>
      </w:pPr>
      <w:bookmarkStart w:id="18" w:name="d82588exv31w1.htm"/>
      <w:bookmarkStart w:id="19" w:name="ksd82588exv31w1"/>
      <w:bookmarkEnd w:id="18"/>
      <w:bookmarkEnd w:id="19"/>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Paul E. Rothamel, Chief Executive Officer,</w:t>
        <w:br/>
        <w:t>pursuant to Rule 13a-14(a) under the Securities Exchange Act of 1934,</w:t>
        <w:br/>
        <w:t>as adopted pursuant to 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Paul E. Rothamel, certify that: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I have reviewed this Quarterly Report on Form 10-Q of EZCORP,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597"/>
        <w:gridCol w:w="295"/>
        <w:gridCol w:w="117"/>
        <w:gridCol w:w="9196"/>
      </w:tblGrid>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tcPr>
          <w:p>
            <w:pPr>
              <w:pStyle w:val="TableContents"/>
              <w:spacing w:before="0" w:after="283"/>
              <w:rPr/>
            </w:pPr>
            <w:r>
              <w:rPr/>
              <w:t> </w:t>
            </w:r>
          </w:p>
        </w:tc>
        <w:tc>
          <w:tcPr>
            <w:tcW w:w="212" w:type="dxa"/>
            <w:tcBorders/>
            <w:shd w:fill="auto" w:val="clear"/>
          </w:tcPr>
          <w:p>
            <w:pPr>
              <w:pStyle w:val="TableContents"/>
              <w:spacing w:before="0" w:after="283"/>
              <w:jc w:val="left"/>
              <w:rPr/>
            </w:pPr>
            <w:r>
              <w:rPr/>
              <w:t>5.</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98" w:type="dxa"/>
            <w:tcBorders/>
            <w:shd w:fill="auto" w:val="clear"/>
            <w:vAlign w:val="center"/>
          </w:tcPr>
          <w:p>
            <w:pPr>
              <w:pStyle w:val="TableContents"/>
              <w:spacing w:before="0" w:after="283"/>
              <w:rPr/>
            </w:pPr>
            <w:r>
              <w:rPr/>
              <w:t> </w:t>
            </w:r>
          </w:p>
        </w:tc>
        <w:tc>
          <w:tcPr>
            <w:tcW w:w="9607" w:type="dxa"/>
            <w:gridSpan w:val="3"/>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19"/>
        <w:gridCol w:w="376"/>
        <w:gridCol w:w="330"/>
        <w:gridCol w:w="3384"/>
        <w:gridCol w:w="1396"/>
      </w:tblGrid>
      <w:tr>
        <w:trPr/>
        <w:tc>
          <w:tcPr>
            <w:tcW w:w="4719"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3384" w:type="dxa"/>
            <w:tcBorders/>
            <w:shd w:fill="auto" w:val="clear"/>
            <w:vAlign w:val="center"/>
          </w:tcPr>
          <w:p>
            <w:pPr>
              <w:pStyle w:val="TableContents"/>
              <w:spacing w:before="0" w:after="283"/>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Date: August 5, 2011 </w:t>
            </w:r>
          </w:p>
        </w:tc>
        <w:tc>
          <w:tcPr>
            <w:tcW w:w="4090" w:type="dxa"/>
            <w:gridSpan w:val="3"/>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Chief Executive Officer </w:t>
            </w:r>
          </w:p>
        </w:tc>
        <w:tc>
          <w:tcPr>
            <w:tcW w:w="1396" w:type="dxa"/>
            <w:tcBorders/>
            <w:shd w:fill="auto" w:val="clear"/>
            <w:vAlign w:val="center"/>
          </w:tcPr>
          <w:p>
            <w:pPr>
              <w:pStyle w:val="TableContents"/>
              <w:spacing w:before="0" w:after="283"/>
              <w:rPr/>
            </w:pPr>
            <w:r>
              <w:rPr/>
              <w:t> </w:t>
            </w:r>
          </w:p>
        </w:tc>
      </w:tr>
    </w:tbl>
    <w:p>
      <w:pPr>
        <w:pStyle w:val="Normal"/>
        <w:spacing w:before="0" w:after="0"/>
        <w:rPr>
          <w:sz w:val="4"/>
          <w:szCs w:val="4"/>
        </w:rPr>
      </w:pPr>
      <w:r>
        <w:br w:type="page"/>
      </w:r>
      <w:r>
        <w:rPr>
          <w:sz w:val="4"/>
          <w:szCs w:val="4"/>
        </w:rPr>
      </w:r>
      <w:bookmarkStart w:id="20" w:name="d82588exv31w2.htm"/>
      <w:bookmarkStart w:id="21" w:name="ksd82588exv31w2"/>
      <w:bookmarkStart w:id="22" w:name="d82588exv31w2.htm"/>
      <w:bookmarkStart w:id="23" w:name="ksd82588exv31w2"/>
      <w:bookmarkEnd w:id="22"/>
      <w:bookmarkEnd w:id="23"/>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xml:space="preserve">Certification of Stephen A. Stamp, Chief Financial Officer, </w:t>
        <w:br/>
        <w:t xml:space="preserve">pursuant to Rule 13a-14(a) under the Securities Exchange Act of 1934, as adopted pursuant to </w:t>
        <w:br/>
        <w:t>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Stephen A. Stamp, certify that: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I have reviewed this Quarterly Report on Form 10-Q of EZCORP,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597"/>
        <w:gridCol w:w="295"/>
        <w:gridCol w:w="117"/>
        <w:gridCol w:w="9196"/>
      </w:tblGrid>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tcPr>
          <w:p>
            <w:pPr>
              <w:pStyle w:val="TableContents"/>
              <w:spacing w:before="0" w:after="283"/>
              <w:rPr/>
            </w:pPr>
            <w:r>
              <w:rPr/>
              <w:t> </w:t>
            </w:r>
          </w:p>
        </w:tc>
        <w:tc>
          <w:tcPr>
            <w:tcW w:w="212" w:type="dxa"/>
            <w:tcBorders/>
            <w:shd w:fill="auto" w:val="clear"/>
          </w:tcPr>
          <w:p>
            <w:pPr>
              <w:pStyle w:val="TableContents"/>
              <w:spacing w:before="0" w:after="283"/>
              <w:jc w:val="left"/>
              <w:rPr/>
            </w:pPr>
            <w:r>
              <w:rPr/>
              <w:t>5.</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98" w:type="dxa"/>
            <w:tcBorders/>
            <w:shd w:fill="auto" w:val="clear"/>
            <w:vAlign w:val="center"/>
          </w:tcPr>
          <w:p>
            <w:pPr>
              <w:pStyle w:val="TableContents"/>
              <w:spacing w:before="0" w:after="283"/>
              <w:rPr/>
            </w:pPr>
            <w:r>
              <w:rPr/>
              <w:t> </w:t>
            </w:r>
          </w:p>
        </w:tc>
        <w:tc>
          <w:tcPr>
            <w:tcW w:w="9607" w:type="dxa"/>
            <w:gridSpan w:val="3"/>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50"/>
        <w:gridCol w:w="479"/>
        <w:gridCol w:w="258"/>
        <w:gridCol w:w="3318"/>
        <w:gridCol w:w="1400"/>
      </w:tblGrid>
      <w:tr>
        <w:trPr/>
        <w:tc>
          <w:tcPr>
            <w:tcW w:w="4750" w:type="dxa"/>
            <w:tcBorders/>
            <w:shd w:fill="auto" w:val="clear"/>
            <w:vAlign w:val="center"/>
          </w:tcPr>
          <w:p>
            <w:pPr>
              <w:pStyle w:val="TableContents"/>
              <w:spacing w:before="0" w:after="283"/>
              <w:rPr/>
            </w:pPr>
            <w:r>
              <w:rPr/>
              <w:t> </w:t>
            </w:r>
          </w:p>
        </w:tc>
        <w:tc>
          <w:tcPr>
            <w:tcW w:w="479"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3318"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tcPr>
          <w:p>
            <w:pPr>
              <w:pStyle w:val="TableContents"/>
              <w:spacing w:before="0" w:after="283"/>
              <w:jc w:val="left"/>
              <w:rPr/>
            </w:pPr>
            <w:r>
              <w:rPr/>
              <w:t> </w:t>
            </w:r>
          </w:p>
        </w:tc>
        <w:tc>
          <w:tcPr>
            <w:tcW w:w="4055" w:type="dxa"/>
            <w:gridSpan w:val="3"/>
            <w:tcBorders/>
            <w:shd w:fill="auto" w:val="clear"/>
            <w:vAlign w:val="center"/>
          </w:tcPr>
          <w:p>
            <w:pPr>
              <w:pStyle w:val="TableContents"/>
              <w:spacing w:before="0" w:after="283"/>
              <w:jc w:val="left"/>
              <w:rPr/>
            </w:pPr>
            <w:r>
              <w:rPr/>
              <w:t>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vAlign w:val="center"/>
          </w:tcPr>
          <w:p>
            <w:pPr>
              <w:pStyle w:val="TableContents"/>
              <w:spacing w:before="0" w:after="283"/>
              <w:jc w:val="left"/>
              <w:rPr/>
            </w:pPr>
            <w:r>
              <w:rPr/>
              <w:t>Date: August 5, 2011 </w:t>
            </w:r>
          </w:p>
        </w:tc>
        <w:tc>
          <w:tcPr>
            <w:tcW w:w="4055"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vAlign w:val="center"/>
          </w:tcPr>
          <w:p>
            <w:pPr>
              <w:pStyle w:val="TableContents"/>
              <w:spacing w:before="0" w:after="283"/>
              <w:jc w:val="left"/>
              <w:rPr/>
            </w:pPr>
            <w:r>
              <w:rPr/>
              <w:t> </w:t>
            </w:r>
          </w:p>
        </w:tc>
        <w:tc>
          <w:tcPr>
            <w:tcW w:w="4055" w:type="dxa"/>
            <w:gridSpan w:val="3"/>
            <w:tcBorders/>
            <w:shd w:fill="auto" w:val="clear"/>
            <w:vAlign w:val="center"/>
          </w:tcPr>
          <w:p>
            <w:pPr>
              <w:pStyle w:val="TableContents"/>
              <w:spacing w:before="0" w:after="283"/>
              <w:jc w:val="left"/>
              <w:rPr/>
            </w:pPr>
            <w:r>
              <w:rPr/>
              <w:t>Stephen A. Stamp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vAlign w:val="center"/>
          </w:tcPr>
          <w:p>
            <w:pPr>
              <w:pStyle w:val="TableContents"/>
              <w:spacing w:before="0" w:after="283"/>
              <w:jc w:val="left"/>
              <w:rPr/>
            </w:pPr>
            <w:r>
              <w:rPr/>
              <w:t> </w:t>
            </w:r>
          </w:p>
        </w:tc>
        <w:tc>
          <w:tcPr>
            <w:tcW w:w="4055" w:type="dxa"/>
            <w:gridSpan w:val="3"/>
            <w:tcBorders/>
            <w:shd w:fill="auto" w:val="clear"/>
            <w:vAlign w:val="center"/>
          </w:tcPr>
          <w:p>
            <w:pPr>
              <w:pStyle w:val="TableContents"/>
              <w:spacing w:before="0" w:after="283"/>
              <w:jc w:val="left"/>
              <w:rPr/>
            </w:pPr>
            <w:r>
              <w:rPr/>
              <w:t>Chief Financial Officer </w:t>
            </w:r>
          </w:p>
        </w:tc>
        <w:tc>
          <w:tcPr>
            <w:tcW w:w="1400" w:type="dxa"/>
            <w:tcBorders/>
            <w:shd w:fill="auto" w:val="clear"/>
            <w:vAlign w:val="center"/>
          </w:tcPr>
          <w:p>
            <w:pPr>
              <w:pStyle w:val="TableContents"/>
              <w:spacing w:before="0" w:after="283"/>
              <w:rPr/>
            </w:pPr>
            <w:r>
              <w:rPr/>
              <w:t> </w:t>
            </w:r>
          </w:p>
        </w:tc>
      </w:tr>
    </w:tbl>
    <w:p>
      <w:pPr>
        <w:pStyle w:val="Normal"/>
        <w:spacing w:before="0" w:after="0"/>
        <w:rPr>
          <w:sz w:val="4"/>
          <w:szCs w:val="4"/>
        </w:rPr>
      </w:pPr>
      <w:r>
        <w:br w:type="page"/>
      </w:r>
      <w:r>
        <w:rPr>
          <w:sz w:val="4"/>
          <w:szCs w:val="4"/>
        </w:rPr>
      </w:r>
      <w:bookmarkStart w:id="24" w:name="d82588exv32w1.htm"/>
      <w:bookmarkStart w:id="25" w:name="ksd82588exv32w1"/>
      <w:bookmarkStart w:id="26" w:name="d82588exv32w1.htm"/>
      <w:bookmarkStart w:id="27" w:name="ksd82588exv32w1"/>
      <w:bookmarkEnd w:id="26"/>
      <w:bookmarkEnd w:id="27"/>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Certifications of Paul E. Rothamel, Chief Executive Officer, and Stephen A. Stamp, Chief Financial Officer,</w:t>
        <w:br/>
        <w:t>pursuant to 18 U.S.C. Section 1350, as adopted pursuant to Section 906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undersigned officers of EZCORP, Inc. hereby certify that (a) EZCORPs Quarterly Report on Form 10-Q for the quarter ended June 30, 2011,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tbl>
      <w:tblPr>
        <w:tblW w:w="5000" w:type="pct"/>
        <w:jc w:val="left"/>
        <w:tblInd w:w="0" w:type="dxa"/>
        <w:tblCellMar>
          <w:top w:w="0" w:type="dxa"/>
          <w:left w:w="0" w:type="dxa"/>
          <w:bottom w:w="0" w:type="dxa"/>
          <w:right w:w="0" w:type="dxa"/>
        </w:tblCellMar>
      </w:tblPr>
      <w:tblGrid>
        <w:gridCol w:w="4719"/>
        <w:gridCol w:w="376"/>
        <w:gridCol w:w="330"/>
        <w:gridCol w:w="3384"/>
        <w:gridCol w:w="1396"/>
      </w:tblGrid>
      <w:tr>
        <w:trPr/>
        <w:tc>
          <w:tcPr>
            <w:tcW w:w="4719"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3384" w:type="dxa"/>
            <w:tcBorders/>
            <w:shd w:fill="auto" w:val="clear"/>
            <w:vAlign w:val="center"/>
          </w:tcPr>
          <w:p>
            <w:pPr>
              <w:pStyle w:val="TableContents"/>
              <w:spacing w:before="0" w:after="283"/>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Date: August 5, 2011 </w:t>
            </w:r>
          </w:p>
        </w:tc>
        <w:tc>
          <w:tcPr>
            <w:tcW w:w="4090" w:type="dxa"/>
            <w:gridSpan w:val="3"/>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Chief Executive Officer </w:t>
            </w:r>
          </w:p>
        </w:tc>
        <w:tc>
          <w:tcPr>
            <w:tcW w:w="139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719" w:type="dxa"/>
            <w:tcBorders/>
            <w:shd w:fill="auto" w:val="clea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Date: August 5, 2011 </w:t>
            </w:r>
          </w:p>
        </w:tc>
        <w:tc>
          <w:tcPr>
            <w:tcW w:w="4090"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Stephen A. Stamp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Chief Financial Officer </w:t>
            </w:r>
          </w:p>
        </w:tc>
        <w:tc>
          <w:tcPr>
            <w:tcW w:w="139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47</Pages>
  <Words>23719</Words>
  <CharactersWithSpaces>152210</CharactersWithSpaces>
  <Paragraphs>11547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exv32w1</dc:title>
</cp:coreProperties>
</file>