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7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jc w:val="center"/>
        <w:ind w:right="3779"/>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060" w:right="3899"/>
        <w:spacing w:after="0" w:line="235" w:lineRule="auto"/>
        <w:rPr>
          <w:sz w:val="20"/>
          <w:szCs w:val="20"/>
          <w:color w:val="auto"/>
        </w:rPr>
      </w:pPr>
      <w:r>
        <w:rPr>
          <w:rFonts w:ascii="Courier New" w:cs="Courier New" w:eastAsia="Courier New" w:hAnsi="Courier New"/>
          <w:sz w:val="18"/>
          <w:szCs w:val="18"/>
          <w:color w:val="auto"/>
        </w:rPr>
        <w:t>[x]QUARTERLY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March 31, 1999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280" w:hanging="219"/>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15(d)  OF THE SECURITIES EXCHANGE ACT OF 1934  [NO</w:t>
      </w:r>
    </w:p>
    <w:p>
      <w:pPr>
        <w:spacing w:after="0" w:line="16"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FEE REQUIRED]</w:t>
      </w:r>
    </w:p>
    <w:p>
      <w:pPr>
        <w:spacing w:after="0" w:line="202" w:lineRule="exact"/>
        <w:rPr>
          <w:sz w:val="24"/>
          <w:szCs w:val="24"/>
          <w:color w:val="auto"/>
        </w:rPr>
      </w:pPr>
    </w:p>
    <w:p>
      <w:pPr>
        <w:spacing w:after="0"/>
        <w:tabs>
          <w:tab w:leader="none" w:pos="620" w:val="left"/>
          <w:tab w:leader="none" w:pos="1260" w:val="left"/>
          <w:tab w:leader="none" w:pos="2620" w:val="left"/>
          <w:tab w:leader="none" w:pos="3560" w:val="left"/>
          <w:tab w:leader="none" w:pos="4300" w:val="left"/>
          <w:tab w:leader="none" w:pos="610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8"/>
          <w:szCs w:val="18"/>
          <w:color w:val="auto"/>
        </w:rPr>
        <w:t>transition</w:t>
      </w:r>
      <w:r>
        <w:rPr>
          <w:sz w:val="20"/>
          <w:szCs w:val="20"/>
          <w:color w:val="auto"/>
        </w:rPr>
        <w:tab/>
      </w:r>
      <w:r>
        <w:rPr>
          <w:rFonts w:ascii="Courier New" w:cs="Courier New" w:eastAsia="Courier New" w:hAnsi="Courier New"/>
          <w:sz w:val="18"/>
          <w:szCs w:val="18"/>
          <w:color w:val="auto"/>
        </w:rPr>
        <w:t>period</w:t>
        <w:tab/>
        <w:t>from</w:t>
        <w:tab/>
        <w:t>______________</w:t>
      </w:r>
      <w:r>
        <w:rPr>
          <w:sz w:val="20"/>
          <w:szCs w:val="20"/>
          <w:color w:val="auto"/>
        </w:rPr>
        <w:tab/>
      </w:r>
      <w:r>
        <w:rPr>
          <w:rFonts w:ascii="Courier New" w:cs="Courier New" w:eastAsia="Courier New" w:hAnsi="Courier New"/>
          <w:sz w:val="16"/>
          <w:szCs w:val="16"/>
          <w:color w:val="auto"/>
        </w:rPr>
        <w:t>to</w:t>
      </w:r>
    </w:p>
    <w:p>
      <w:pPr>
        <w:spacing w:after="0" w:line="238" w:lineRule="auto"/>
        <w:rPr>
          <w:sz w:val="20"/>
          <w:szCs w:val="20"/>
          <w:color w:val="auto"/>
        </w:rPr>
      </w:pPr>
      <w:r>
        <w:rPr>
          <w:rFonts w:ascii="Courier New" w:cs="Courier New" w:eastAsia="Courier New" w:hAnsi="Courier New"/>
          <w:sz w:val="18"/>
          <w:szCs w:val="18"/>
          <w:color w:val="auto"/>
        </w:rPr>
        <w:t>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Commission File Number 0-19424</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jc w:val="center"/>
        <w:ind w:right="3899"/>
        <w:spacing w:after="0"/>
        <w:rPr>
          <w:sz w:val="20"/>
          <w:szCs w:val="20"/>
          <w:color w:val="auto"/>
        </w:rPr>
      </w:pPr>
      <w:r>
        <w:rPr>
          <w:rFonts w:ascii="Courier New" w:cs="Courier New" w:eastAsia="Courier New" w:hAnsi="Courier New"/>
          <w:sz w:val="18"/>
          <w:szCs w:val="18"/>
          <w:color w:val="auto"/>
        </w:rPr>
        <w:t>EZCORP, INC.</w:t>
      </w:r>
    </w:p>
    <w:p>
      <w:pPr>
        <w:jc w:val="center"/>
        <w:ind w:right="389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74-2540145</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500" w:space="720"/>
            <w:col w:w="5999"/>
          </w:cols>
          <w:pgMar w:left="240" w:top="244" w:right="1440" w:bottom="1440" w:gutter="0" w:footer="0" w:header="0"/>
          <w:type w:val="continuous"/>
        </w:sectPr>
      </w:pPr>
    </w:p>
    <w:p>
      <w:pPr>
        <w:spacing w:after="0" w:line="18"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1901 Capital Parkway</w:t>
      </w:r>
    </w:p>
    <w:p>
      <w:pPr>
        <w:jc w:val="center"/>
        <w:ind w:right="3879"/>
        <w:spacing w:after="0"/>
        <w:tabs>
          <w:tab w:leader="none" w:pos="200" w:val="left"/>
        </w:tabs>
        <w:rPr>
          <w:sz w:val="20"/>
          <w:szCs w:val="20"/>
          <w:color w:val="auto"/>
        </w:rPr>
      </w:pPr>
      <w:r>
        <w:rPr>
          <w:rFonts w:ascii="Courier New" w:cs="Courier New" w:eastAsia="Courier New" w:hAnsi="Courier New"/>
          <w:sz w:val="18"/>
          <w:szCs w:val="18"/>
          <w:color w:val="auto"/>
        </w:rPr>
        <w:t>Austin, Texas</w:t>
      </w:r>
      <w:r>
        <w:rPr>
          <w:sz w:val="20"/>
          <w:szCs w:val="20"/>
          <w:color w:val="auto"/>
        </w:rPr>
        <w:tab/>
      </w:r>
      <w:r>
        <w:rPr>
          <w:rFonts w:ascii="Courier New" w:cs="Courier New" w:eastAsia="Courier New" w:hAnsi="Courier New"/>
          <w:sz w:val="16"/>
          <w:szCs w:val="16"/>
          <w:color w:val="auto"/>
        </w:rPr>
        <w:t>78746</w:t>
      </w:r>
    </w:p>
    <w:p>
      <w:pPr>
        <w:jc w:val="center"/>
        <w:ind w:right="3899"/>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(512) 314-3400</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No__</w:t>
      </w:r>
    </w:p>
    <w:p>
      <w:pPr>
        <w:spacing w:after="0" w:line="205"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jc w:val="both"/>
        <w:ind w:right="3899" w:firstLine="632"/>
        <w:spacing w:after="0" w:line="273" w:lineRule="auto"/>
        <w:rPr>
          <w:sz w:val="20"/>
          <w:szCs w:val="20"/>
          <w:color w:val="auto"/>
        </w:rPr>
      </w:pPr>
      <w:r>
        <w:rPr>
          <w:rFonts w:ascii="Courier New" w:cs="Courier New" w:eastAsia="Courier New" w:hAnsi="Courier New"/>
          <w:sz w:val="16"/>
          <w:szCs w:val="16"/>
          <w:color w:val="auto"/>
        </w:rPr>
        <w:t>The only class of voting securities of the registrant issued and outstanding is the Class B Voting Common Stock, par value $.01 per share, 100% of which is owned by one record holder who is an affiliate of the registrant. There is no trading market for the Class B Voting Common Stock.</w:t>
      </w:r>
    </w:p>
    <w:p>
      <w:pPr>
        <w:spacing w:after="0" w:line="185" w:lineRule="exact"/>
        <w:rPr>
          <w:sz w:val="24"/>
          <w:szCs w:val="24"/>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As of March 31, 1999, 10,811,553 shares of the registrant's Class A Non-Voting Common Stock, par value $.01 per share and 1,190,057 shares of the registrant's Class B Voting Common Stock, par value $.01 per share were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3879"/>
        <w:spacing w:after="0"/>
        <w:rPr>
          <w:sz w:val="20"/>
          <w:szCs w:val="20"/>
          <w:color w:val="auto"/>
        </w:rPr>
      </w:pPr>
      <w:r>
        <w:rPr>
          <w:rFonts w:ascii="Courier New" w:cs="Courier New" w:eastAsia="Courier New" w:hAnsi="Courier New"/>
          <w:sz w:val="18"/>
          <w:szCs w:val="18"/>
          <w:color w:val="auto"/>
        </w:rPr>
        <w:t>EZCORP, INC.</w:t>
      </w:r>
    </w:p>
    <w:p>
      <w:pPr>
        <w:jc w:val="center"/>
        <w:ind w:right="3879"/>
        <w:spacing w:after="0" w:line="238" w:lineRule="auto"/>
        <w:rPr>
          <w:sz w:val="20"/>
          <w:szCs w:val="20"/>
          <w:color w:val="auto"/>
        </w:rPr>
      </w:pPr>
      <w:r>
        <w:rPr>
          <w:rFonts w:ascii="Courier New" w:cs="Courier New" w:eastAsia="Courier New" w:hAnsi="Courier New"/>
          <w:sz w:val="18"/>
          <w:szCs w:val="18"/>
          <w:color w:val="auto"/>
        </w:rPr>
        <w:t>INDEX TO FORM 10-Q</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52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580" w:type="dxa"/>
            <w:vAlign w:val="bottom"/>
          </w:tcPr>
          <w:p>
            <w:pPr>
              <w:spacing w:after="0"/>
              <w:rPr>
                <w:sz w:val="24"/>
                <w:szCs w:val="24"/>
                <w:color w:val="auto"/>
              </w:rPr>
            </w:pPr>
          </w:p>
        </w:tc>
      </w:tr>
      <w:tr>
        <w:trPr>
          <w:trHeight w:val="405"/>
        </w:trPr>
        <w:tc>
          <w:tcPr>
            <w:tcW w:w="64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Item 1. Financial Statements</w:t>
            </w:r>
          </w:p>
        </w:tc>
        <w:tc>
          <w:tcPr>
            <w:tcW w:w="580" w:type="dxa"/>
            <w:vAlign w:val="bottom"/>
          </w:tcPr>
          <w:p>
            <w:pPr>
              <w:spacing w:after="0"/>
              <w:rPr>
                <w:sz w:val="24"/>
                <w:szCs w:val="24"/>
                <w:color w:val="auto"/>
              </w:rPr>
            </w:pPr>
          </w:p>
        </w:tc>
      </w:tr>
      <w:tr>
        <w:trPr>
          <w:trHeight w:val="405"/>
        </w:trPr>
        <w:tc>
          <w:tcPr>
            <w:tcW w:w="64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Condensed Consolidated Balance Sheets -</w:t>
            </w:r>
          </w:p>
        </w:tc>
        <w:tc>
          <w:tcPr>
            <w:tcW w:w="580" w:type="dxa"/>
            <w:vAlign w:val="bottom"/>
          </w:tcPr>
          <w:p>
            <w:pPr>
              <w:spacing w:after="0"/>
              <w:rPr>
                <w:sz w:val="24"/>
                <w:szCs w:val="24"/>
                <w:color w:val="auto"/>
              </w:rPr>
            </w:pPr>
          </w:p>
        </w:tc>
      </w:tr>
      <w:tr>
        <w:trPr>
          <w:trHeight w:val="203"/>
        </w:trPr>
        <w:tc>
          <w:tcPr>
            <w:tcW w:w="6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March 31, 1999, March 31, 1998 and September 30, 1998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405"/>
        </w:trPr>
        <w:tc>
          <w:tcPr>
            <w:tcW w:w="64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Condensed Consolidated Statements of Operations -</w:t>
            </w:r>
          </w:p>
        </w:tc>
        <w:tc>
          <w:tcPr>
            <w:tcW w:w="580" w:type="dxa"/>
            <w:vAlign w:val="bottom"/>
          </w:tcPr>
          <w:p>
            <w:pPr>
              <w:spacing w:after="0"/>
              <w:rPr>
                <w:sz w:val="24"/>
                <w:szCs w:val="24"/>
                <w:color w:val="auto"/>
              </w:rPr>
            </w:pPr>
          </w:p>
        </w:tc>
      </w:tr>
      <w:tr>
        <w:trPr>
          <w:trHeight w:val="203"/>
        </w:trPr>
        <w:tc>
          <w:tcPr>
            <w:tcW w:w="6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Three and Six Months Ended March 31, 1999 and 1998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64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Condensed Consolidated Statements of Cash Flows -</w:t>
            </w:r>
          </w:p>
        </w:tc>
        <w:tc>
          <w:tcPr>
            <w:tcW w:w="580" w:type="dxa"/>
            <w:vAlign w:val="bottom"/>
          </w:tcPr>
          <w:p>
            <w:pPr>
              <w:spacing w:after="0"/>
              <w:rPr>
                <w:sz w:val="24"/>
                <w:szCs w:val="24"/>
                <w:color w:val="auto"/>
              </w:rPr>
            </w:pPr>
          </w:p>
        </w:tc>
      </w:tr>
      <w:tr>
        <w:trPr>
          <w:trHeight w:val="203"/>
        </w:trPr>
        <w:tc>
          <w:tcPr>
            <w:tcW w:w="6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Six Months Ended March 31, 1999 and 1998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64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Notes to Interim Condensed Consolidated Financial</w:t>
            </w:r>
          </w:p>
        </w:tc>
        <w:tc>
          <w:tcPr>
            <w:tcW w:w="580" w:type="dxa"/>
            <w:vAlign w:val="bottom"/>
          </w:tcPr>
          <w:p>
            <w:pPr>
              <w:spacing w:after="0"/>
              <w:rPr>
                <w:sz w:val="24"/>
                <w:szCs w:val="24"/>
                <w:color w:val="auto"/>
              </w:rPr>
            </w:pPr>
          </w:p>
        </w:tc>
      </w:tr>
      <w:tr>
        <w:trPr>
          <w:trHeight w:val="203"/>
        </w:trPr>
        <w:tc>
          <w:tcPr>
            <w:tcW w:w="6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Statements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64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Item 2. Management's Discussion and Analysis</w:t>
            </w:r>
          </w:p>
        </w:tc>
        <w:tc>
          <w:tcPr>
            <w:tcW w:w="580" w:type="dxa"/>
            <w:vAlign w:val="bottom"/>
          </w:tcPr>
          <w:p>
            <w:pPr>
              <w:spacing w:after="0"/>
              <w:rPr>
                <w:sz w:val="24"/>
                <w:szCs w:val="24"/>
                <w:color w:val="auto"/>
              </w:rPr>
            </w:pPr>
          </w:p>
        </w:tc>
      </w:tr>
      <w:tr>
        <w:trPr>
          <w:trHeight w:val="203"/>
        </w:trPr>
        <w:tc>
          <w:tcPr>
            <w:tcW w:w="6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Financial Condition and Results of Operations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552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SIGNATURE</w:t>
            </w:r>
          </w:p>
        </w:tc>
        <w:tc>
          <w:tcPr>
            <w:tcW w:w="552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w:t>
            </w:r>
          </w:p>
        </w:tc>
      </w:tr>
    </w:tbl>
    <w:p>
      <w:pPr>
        <w:sectPr>
          <w:pgSz w:w="11900" w:h="16838" w:orient="portrait"/>
          <w:cols w:equalWidth="0" w:num="1">
            <w:col w:w="10219"/>
          </w:cols>
          <w:pgMar w:left="240" w:top="514"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PART I</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ind w:left="1900"/>
        <w:spacing w:after="0"/>
        <w:rPr>
          <w:sz w:val="20"/>
          <w:szCs w:val="20"/>
          <w:color w:val="auto"/>
        </w:rPr>
      </w:pPr>
      <w:r>
        <w:rPr>
          <w:rFonts w:ascii="Courier New" w:cs="Courier New" w:eastAsia="Courier New" w:hAnsi="Courier New"/>
          <w:sz w:val="18"/>
          <w:szCs w:val="18"/>
          <w:color w:val="auto"/>
        </w:rPr>
        <w:t>EZCORP, Inc. and Subsidiaries</w:t>
      </w:r>
    </w:p>
    <w:p>
      <w:pPr>
        <w:ind w:left="1480"/>
        <w:spacing w:after="0" w:line="237" w:lineRule="auto"/>
        <w:rPr>
          <w:sz w:val="20"/>
          <w:szCs w:val="20"/>
          <w:color w:val="auto"/>
        </w:rPr>
      </w:pPr>
      <w:r>
        <w:rPr>
          <w:rFonts w:ascii="Courier New" w:cs="Courier New" w:eastAsia="Courier New" w:hAnsi="Courier New"/>
          <w:sz w:val="18"/>
          <w:szCs w:val="18"/>
          <w:color w:val="auto"/>
        </w:rPr>
        <w:t>Condensed 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Courier New" w:cs="Courier New" w:eastAsia="Courier New" w:hAnsi="Courier New"/>
                <w:sz w:val="18"/>
                <w:szCs w:val="18"/>
                <w:color w:val="auto"/>
              </w:rPr>
              <w:t>March 31,</w:t>
            </w: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March 31,</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1998</w:t>
            </w:r>
          </w:p>
        </w:tc>
        <w:tc>
          <w:tcPr>
            <w:tcW w:w="9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378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5600" w:type="dxa"/>
            <w:vAlign w:val="bottom"/>
            <w:gridSpan w:val="7"/>
          </w:tcPr>
          <w:p>
            <w:pPr>
              <w:ind w:left="3160"/>
              <w:spacing w:after="0" w:line="203" w:lineRule="exact"/>
              <w:rPr>
                <w:sz w:val="20"/>
                <w:szCs w:val="20"/>
                <w:color w:val="auto"/>
              </w:rPr>
            </w:pPr>
            <w:r>
              <w:rPr>
                <w:rFonts w:ascii="Courier New" w:cs="Courier New" w:eastAsia="Courier New" w:hAnsi="Courier New"/>
                <w:sz w:val="18"/>
                <w:szCs w:val="18"/>
                <w:color w:val="auto"/>
              </w:rPr>
              <w:t>(unaudited)(unaudited)</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2,717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974</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1,328</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Pawn loans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42,786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34,475</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49,632</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Service charge receivable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12,807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10,161</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14,843</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Inventory,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47,750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36,638</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44,011</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 tax asset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1,364</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1,882</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tax recoverable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840</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Prepaids and other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2,946</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3,170</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111,810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86,558</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115,706</w:t>
            </w:r>
          </w:p>
        </w:tc>
      </w:tr>
      <w:tr>
        <w:trPr>
          <w:trHeight w:val="405"/>
        </w:trPr>
        <w:tc>
          <w:tcPr>
            <w:tcW w:w="4120" w:type="dxa"/>
            <w:vAlign w:val="bottom"/>
          </w:tcPr>
          <w:p>
            <w:pPr>
              <w:ind w:left="540"/>
              <w:spacing w:after="0"/>
              <w:rPr>
                <w:sz w:val="20"/>
                <w:szCs w:val="20"/>
                <w:color w:val="auto"/>
              </w:rPr>
            </w:pPr>
            <w:r>
              <w:rPr>
                <w:rFonts w:ascii="Courier New" w:cs="Courier New" w:eastAsia="Courier New" w:hAnsi="Courier New"/>
                <w:sz w:val="18"/>
                <w:szCs w:val="18"/>
                <w:color w:val="auto"/>
              </w:rPr>
              <w:t>Investment in unconsolidated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affiliate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13,065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10,362</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10,909</w:t>
            </w: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52,749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34,333</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43,666</w:t>
            </w:r>
          </w:p>
        </w:tc>
      </w:tr>
      <w:tr>
        <w:trPr>
          <w:trHeight w:val="405"/>
        </w:trPr>
        <w:tc>
          <w:tcPr>
            <w:tcW w:w="4120" w:type="dxa"/>
            <w:vAlign w:val="bottom"/>
          </w:tcPr>
          <w:p>
            <w:pPr>
              <w:ind w:left="540"/>
              <w:spacing w:after="0"/>
              <w:rPr>
                <w:sz w:val="20"/>
                <w:szCs w:val="20"/>
                <w:color w:val="auto"/>
              </w:rPr>
            </w:pPr>
            <w:r>
              <w:rPr>
                <w:rFonts w:ascii="Courier New" w:cs="Courier New" w:eastAsia="Courier New" w:hAnsi="Courier New"/>
                <w:sz w:val="18"/>
                <w:szCs w:val="18"/>
                <w:color w:val="auto"/>
              </w:rPr>
              <w:t>Other 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Goodwill,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13,957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13,804</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13,605</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 tax asset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1,730</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Notes receivable, related parties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1,537</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3,025</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assets</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199,172</w:t>
            </w:r>
          </w:p>
        </w:tc>
        <w:tc>
          <w:tcPr>
            <w:tcW w:w="1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$151,324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189,911</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long-term debt</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10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payable and 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5,939</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8,874</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Customer layaway deposits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2,259</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2,174</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13,166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8,207</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11,058</w:t>
            </w:r>
          </w:p>
        </w:tc>
      </w:tr>
      <w:tr>
        <w:trPr>
          <w:trHeight w:val="405"/>
        </w:trPr>
        <w:tc>
          <w:tcPr>
            <w:tcW w:w="4120" w:type="dxa"/>
            <w:vAlign w:val="bottom"/>
          </w:tcPr>
          <w:p>
            <w:pPr>
              <w:ind w:left="540"/>
              <w:spacing w:after="0"/>
              <w:rPr>
                <w:sz w:val="20"/>
                <w:szCs w:val="20"/>
                <w:color w:val="auto"/>
              </w:rPr>
            </w:pPr>
            <w:r>
              <w:rPr>
                <w:rFonts w:ascii="Courier New" w:cs="Courier New" w:eastAsia="Courier New" w:hAnsi="Courier New"/>
                <w:sz w:val="18"/>
                <w:szCs w:val="18"/>
                <w:color w:val="auto"/>
              </w:rPr>
              <w:t>Long-term debt, less current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maturities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51,118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17,128</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48,123</w:t>
            </w: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tax liability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long-term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51,269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17,300</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48,299</w:t>
            </w:r>
          </w:p>
        </w:tc>
      </w:tr>
      <w:tr>
        <w:trPr>
          <w:trHeight w:val="405"/>
        </w:trPr>
        <w:tc>
          <w:tcPr>
            <w:tcW w:w="4120" w:type="dxa"/>
            <w:vAlign w:val="bottom"/>
          </w:tcPr>
          <w:p>
            <w:pPr>
              <w:ind w:left="540"/>
              <w:spacing w:after="0"/>
              <w:rPr>
                <w:sz w:val="20"/>
                <w:szCs w:val="20"/>
                <w:color w:val="auto"/>
              </w:rPr>
            </w:pPr>
            <w:r>
              <w:rPr>
                <w:rFonts w:ascii="Courier New" w:cs="Courier New" w:eastAsia="Courier New" w:hAnsi="Courier New"/>
                <w:sz w:val="18"/>
                <w:szCs w:val="18"/>
                <w:color w:val="auto"/>
              </w:rPr>
              <w:t>Commitments and contingencies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Preferred stock, par value $.01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 share - Authorized 5,000,000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44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7"/>
              </w:rPr>
              <w:t>shares; none issued and outstanding</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7"/>
              </w:rPr>
              <w:t>Class A Non-voting 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par value $.01 a share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c>
          <w:tcPr>
            <w:tcW w:w="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7"/>
              </w:rPr>
              <w:t>Authorized 40,000,000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10,820,586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440" w:type="dxa"/>
            <w:vAlign w:val="bottom"/>
            <w:gridSpan w:val="4"/>
          </w:tcPr>
          <w:p>
            <w:pPr>
              <w:ind w:left="1060"/>
              <w:spacing w:after="0" w:line="203" w:lineRule="exact"/>
              <w:rPr>
                <w:sz w:val="20"/>
                <w:szCs w:val="20"/>
                <w:color w:val="auto"/>
              </w:rPr>
            </w:pPr>
            <w:r>
              <w:rPr>
                <w:rFonts w:ascii="Courier New" w:cs="Courier New" w:eastAsia="Courier New" w:hAnsi="Courier New"/>
                <w:sz w:val="18"/>
                <w:szCs w:val="18"/>
                <w:color w:val="auto"/>
                <w:w w:val="97"/>
              </w:rPr>
              <w:t>10,811,553 shares outstanding at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gridSpan w:val="5"/>
          </w:tcPr>
          <w:p>
            <w:pPr>
              <w:ind w:left="1060"/>
              <w:spacing w:after="0" w:line="203" w:lineRule="exact"/>
              <w:rPr>
                <w:sz w:val="20"/>
                <w:szCs w:val="20"/>
                <w:color w:val="auto"/>
              </w:rPr>
            </w:pPr>
            <w:r>
              <w:rPr>
                <w:rFonts w:ascii="Courier New" w:cs="Courier New" w:eastAsia="Courier New" w:hAnsi="Courier New"/>
                <w:sz w:val="18"/>
                <w:szCs w:val="18"/>
                <w:color w:val="auto"/>
              </w:rPr>
              <w:t>March 31, 1999; 10,820,574 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issued and 10,811,541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gridSpan w:val="5"/>
          </w:tcPr>
          <w:p>
            <w:pPr>
              <w:ind w:left="1060"/>
              <w:spacing w:after="0" w:line="203" w:lineRule="exact"/>
              <w:rPr>
                <w:sz w:val="20"/>
                <w:szCs w:val="20"/>
                <w:color w:val="auto"/>
              </w:rPr>
            </w:pPr>
            <w:r>
              <w:rPr>
                <w:rFonts w:ascii="Courier New" w:cs="Courier New" w:eastAsia="Courier New" w:hAnsi="Courier New"/>
                <w:sz w:val="18"/>
                <w:szCs w:val="18"/>
                <w:color w:val="auto"/>
              </w:rPr>
              <w:t>outstanding at March 31, 1998 and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September 30, 1998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Class B Voting Common stock, par value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$.01 a share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64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280" w:type="dxa"/>
            <w:vAlign w:val="bottom"/>
            <w:gridSpan w:val="5"/>
          </w:tcPr>
          <w:p>
            <w:pPr>
              <w:ind w:left="1060"/>
              <w:spacing w:after="0" w:line="203" w:lineRule="exact"/>
              <w:rPr>
                <w:sz w:val="20"/>
                <w:szCs w:val="20"/>
                <w:color w:val="auto"/>
              </w:rPr>
            </w:pPr>
            <w:r>
              <w:rPr>
                <w:rFonts w:ascii="Courier New" w:cs="Courier New" w:eastAsia="Courier New" w:hAnsi="Courier New"/>
                <w:sz w:val="18"/>
                <w:szCs w:val="18"/>
                <w:color w:val="auto"/>
              </w:rPr>
              <w:t>Authorized 1,198,990 shares in 1999;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1,190,057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6"/>
              </w:rPr>
              <w:t>outstanding at March 31, 1999,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September 30, 1998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March 31, 1998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114,398</w:t>
            </w:r>
          </w:p>
        </w:tc>
        <w:tc>
          <w:tcPr>
            <w:tcW w:w="1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114,398</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114,398</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21,060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12,063</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16,830</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135,578</w:t>
            </w:r>
          </w:p>
        </w:tc>
        <w:tc>
          <w:tcPr>
            <w:tcW w:w="10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126,581</w:t>
            </w: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131,348</w:t>
            </w: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Treasury stock (9,033 shares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ectPr>
          <w:pgSz w:w="11900" w:h="16838" w:orient="portrait"/>
          <w:cols w:equalWidth="0" w:num="1">
            <w:col w:w="10219"/>
          </w:cols>
          <w:pgMar w:left="240" w:top="514" w:right="1440" w:bottom="0" w:gutter="0" w:footer="0" w:header="0"/>
        </w:sectPr>
      </w:pPr>
    </w:p>
    <w:bookmarkStart w:id="3" w:name="page4"/>
    <w:bookmarkEnd w:id="3"/>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1999 and 1998)</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from stockholders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foreign currency</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134,737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125,817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130,554</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$199,172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$151,324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$189,911</w:t>
            </w:r>
          </w:p>
        </w:tc>
      </w:tr>
      <w:tr>
        <w:trPr>
          <w:trHeight w:val="203"/>
        </w:trPr>
        <w:tc>
          <w:tcPr>
            <w:tcW w:w="34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bl>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See Notes to Interim Condensed Consolidated Financial Statements (unaudited).</w:t>
      </w:r>
    </w:p>
    <w:p>
      <w:pPr>
        <w:sectPr>
          <w:pgSz w:w="11900" w:h="16838" w:orient="portrait"/>
          <w:cols w:equalWidth="0" w:num="1">
            <w:col w:w="10219"/>
          </w:cols>
          <w:pgMar w:left="240" w:top="136" w:right="1440" w:bottom="1440" w:gutter="0" w:footer="0" w:header="0"/>
        </w:sectPr>
      </w:pPr>
    </w:p>
    <w:bookmarkStart w:id="4" w:name="page5"/>
    <w:bookmarkEnd w:id="4"/>
    <w:p>
      <w:pPr>
        <w:jc w:val="center"/>
        <w:ind w:right="3359"/>
        <w:spacing w:after="0"/>
        <w:rPr>
          <w:sz w:val="20"/>
          <w:szCs w:val="20"/>
          <w:color w:val="auto"/>
        </w:rPr>
      </w:pPr>
      <w:r>
        <w:rPr>
          <w:rFonts w:ascii="Courier New" w:cs="Courier New" w:eastAsia="Courier New" w:hAnsi="Courier New"/>
          <w:sz w:val="18"/>
          <w:szCs w:val="18"/>
          <w:color w:val="auto"/>
        </w:rPr>
        <w:t>EZCORP, Inc. and Subsidiaries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Condensed Consolidated Statements of Operations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rPr>
              <w:t>Three Months Ended</w:t>
            </w:r>
          </w:p>
        </w:tc>
        <w:tc>
          <w:tcPr>
            <w:tcW w:w="194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17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700" w:type="dxa"/>
            <w:vAlign w:val="bottom"/>
          </w:tcPr>
          <w:p>
            <w:pPr>
              <w:ind w:left="3280"/>
              <w:spacing w:after="0" w:line="203" w:lineRule="exact"/>
              <w:rPr>
                <w:sz w:val="20"/>
                <w:szCs w:val="20"/>
                <w:color w:val="auto"/>
              </w:rPr>
            </w:pPr>
            <w:r>
              <w:rPr>
                <w:rFonts w:ascii="Courier New" w:cs="Courier New" w:eastAsia="Courier New" w:hAnsi="Courier New"/>
                <w:sz w:val="18"/>
                <w:szCs w:val="18"/>
                <w:color w:val="auto"/>
                <w:w w:val="92"/>
              </w:rPr>
              <w:t>1999</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0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36,325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30,624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70,759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61,550</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service charges</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23,542</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19,007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49,373</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39,994</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revenues</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60,083</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49,680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120,498</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101,624</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31,101</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25,369</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60,122</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51,449</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revenues</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28,982</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24,311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60,376</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50,175</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Operations</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20,064</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15,818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40,252</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32,507</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2,597</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3,143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6,945</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6,497</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2,196</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4,481</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3,622</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24,857</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20,785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51,678</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42,626</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4,125</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8,698</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7,549</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819</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241</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1,665</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621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net income of</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unconsolidated affiliate</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3,469</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3,285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7,306</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6,928</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Income tax expense</w:t>
            </w:r>
          </w:p>
        </w:tc>
        <w:tc>
          <w:tcPr>
            <w:tcW w:w="1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1,318</w:t>
            </w:r>
          </w:p>
        </w:tc>
        <w:tc>
          <w:tcPr>
            <w:tcW w:w="10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1,248</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2,776</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2,632</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2,037</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4,530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4,296</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0.17</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0.36</w:t>
            </w: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per common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0.0125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0.0250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12,001,598</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11,997,817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12,001,598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11,996,813</w:t>
            </w:r>
          </w:p>
        </w:tc>
      </w:tr>
      <w:tr>
        <w:trPr>
          <w:trHeight w:val="203"/>
        </w:trPr>
        <w:tc>
          <w:tcPr>
            <w:tcW w:w="29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12,007,408</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12,011,217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12,008,378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12,011,446</w:t>
            </w:r>
          </w:p>
        </w:tc>
      </w:tr>
      <w:tr>
        <w:trPr>
          <w:trHeight w:val="203"/>
        </w:trPr>
        <w:tc>
          <w:tcPr>
            <w:tcW w:w="29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4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See Notes to Interim Condensed Consolidated</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 (unaudited).</w:t>
            </w: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5" w:name="page6"/>
    <w:bookmarkEnd w:id="5"/>
    <w:p>
      <w:pPr>
        <w:jc w:val="center"/>
        <w:ind w:right="3559"/>
        <w:spacing w:after="0"/>
        <w:rPr>
          <w:sz w:val="20"/>
          <w:szCs w:val="20"/>
          <w:color w:val="auto"/>
        </w:rPr>
      </w:pPr>
      <w:r>
        <w:rPr>
          <w:rFonts w:ascii="Courier New" w:cs="Courier New" w:eastAsia="Courier New" w:hAnsi="Courier New"/>
          <w:sz w:val="18"/>
          <w:szCs w:val="18"/>
          <w:color w:val="auto"/>
        </w:rPr>
        <w:t>EZCORP, Inc. and Subsidiaries</w:t>
      </w:r>
    </w:p>
    <w:p>
      <w:pPr>
        <w:jc w:val="center"/>
        <w:ind w:right="3559"/>
        <w:spacing w:after="0" w:line="238" w:lineRule="auto"/>
        <w:rPr>
          <w:sz w:val="20"/>
          <w:szCs w:val="20"/>
          <w:color w:val="auto"/>
        </w:rPr>
      </w:pPr>
      <w:r>
        <w:rPr>
          <w:rFonts w:ascii="Courier New" w:cs="Courier New" w:eastAsia="Courier New" w:hAnsi="Courier New"/>
          <w:sz w:val="18"/>
          <w:szCs w:val="18"/>
          <w:color w:val="auto"/>
        </w:rPr>
        <w:t>Condensed Consolidated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31,</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1999</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4,296</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to net cash provided by operating activities: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3,622</w:t>
            </w:r>
          </w:p>
        </w:tc>
      </w:tr>
      <w:tr>
        <w:trPr>
          <w:trHeight w:val="203"/>
        </w:trPr>
        <w:tc>
          <w:tcPr>
            <w:tcW w:w="5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r>
      <w:tr>
        <w:trPr>
          <w:trHeight w:val="203"/>
        </w:trPr>
        <w:tc>
          <w:tcPr>
            <w:tcW w:w="5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Loss/(gain) on sale of assets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5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from investment in</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unconsolidated affiliate</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Changes in operating assets and liabilities: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Service charge receivable</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3,092</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Inventories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2,787</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(1,025)</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(1,719)</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Customer layaway deposits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439</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 long term liabilities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taxes recoverable</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8,257</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11,161</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loans forfeited and transferred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inventories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38,881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30,395</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loans made</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(97,761)</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(80,400)</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loans repaid</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65,953</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58,787</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decrease in loans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7,073</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8,782</w:t>
            </w:r>
          </w:p>
        </w:tc>
      </w:tr>
      <w:tr>
        <w:trPr>
          <w:trHeight w:val="405"/>
        </w:trPr>
        <w:tc>
          <w:tcPr>
            <w:tcW w:w="5440" w:type="dxa"/>
            <w:vAlign w:val="bottom"/>
          </w:tcPr>
          <w:p>
            <w:pPr>
              <w:ind w:left="540"/>
              <w:spacing w:after="0"/>
              <w:rPr>
                <w:sz w:val="20"/>
                <w:szCs w:val="20"/>
                <w:color w:val="auto"/>
              </w:rPr>
            </w:pPr>
            <w:r>
              <w:rPr>
                <w:rFonts w:ascii="Courier New" w:cs="Courier New" w:eastAsia="Courier New" w:hAnsi="Courier New"/>
                <w:sz w:val="18"/>
                <w:szCs w:val="18"/>
                <w:color w:val="auto"/>
              </w:rPr>
              <w:t>Additions to property, plant, and equipment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(13,205)</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(5,082)</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Acquisitions, net of cash acquired</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(1,501)</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(2,552)</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 unconsolidated affiliate</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(1,930)</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(10,362)</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 of assets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(9,563)</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(9,011)</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bank borrowings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17,000</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on borrowings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(15,005)</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(19,005)</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used by financing activities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2,695</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cash and cash equivalents</w:t>
            </w: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1,389</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 period</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1,328</w:t>
            </w:r>
          </w:p>
        </w:tc>
        <w:tc>
          <w:tcPr>
            <w:tcW w:w="2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829</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974</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Foreign currency translation adjustment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ind w:left="540"/>
              <w:spacing w:after="0"/>
              <w:rPr>
                <w:sz w:val="20"/>
                <w:szCs w:val="20"/>
                <w:color w:val="auto"/>
              </w:rPr>
            </w:pPr>
            <w:r>
              <w:rPr>
                <w:rFonts w:ascii="Courier New" w:cs="Courier New" w:eastAsia="Courier New" w:hAnsi="Courier New"/>
                <w:sz w:val="18"/>
                <w:szCs w:val="18"/>
                <w:color w:val="auto"/>
              </w:rPr>
              <w:t>Issuance of common stock to 401(k) Plan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See Notes to Interim Condensed Consolidated Financial Statements (unaudited).</w:t>
      </w:r>
    </w:p>
    <w:p>
      <w:pPr>
        <w:sectPr>
          <w:pgSz w:w="11900" w:h="16838" w:orient="portrait"/>
          <w:cols w:equalWidth="0" w:num="1">
            <w:col w:w="10219"/>
          </w:cols>
          <w:pgMar w:left="240" w:top="514" w:right="1440" w:bottom="1440" w:gutter="0" w:footer="0" w:header="0"/>
        </w:sectPr>
      </w:pPr>
    </w:p>
    <w:bookmarkStart w:id="6" w:name="page7"/>
    <w:bookmarkEnd w:id="6"/>
    <w:p>
      <w:pPr>
        <w:ind w:left="1700"/>
        <w:spacing w:after="0"/>
        <w:rPr>
          <w:sz w:val="20"/>
          <w:szCs w:val="20"/>
          <w:color w:val="auto"/>
        </w:rPr>
      </w:pPr>
      <w:r>
        <w:rPr>
          <w:rFonts w:ascii="Courier New" w:cs="Courier New" w:eastAsia="Courier New" w:hAnsi="Courier New"/>
          <w:sz w:val="18"/>
          <w:szCs w:val="18"/>
          <w:color w:val="auto"/>
        </w:rPr>
        <w:t>EZCORP, Inc. and Subsidiaries</w:t>
      </w:r>
    </w:p>
    <w:p>
      <w:pPr>
        <w:spacing w:after="0" w:line="238" w:lineRule="auto"/>
        <w:rPr>
          <w:sz w:val="20"/>
          <w:szCs w:val="20"/>
          <w:color w:val="auto"/>
        </w:rPr>
      </w:pPr>
      <w:r>
        <w:rPr>
          <w:rFonts w:ascii="Courier New" w:cs="Courier New" w:eastAsia="Courier New" w:hAnsi="Courier New"/>
          <w:sz w:val="18"/>
          <w:szCs w:val="18"/>
          <w:color w:val="auto"/>
        </w:rPr>
        <w:t>Notes to Interim Condensed Consolidated Financial Statements (Unaudited)</w:t>
      </w:r>
    </w:p>
    <w:p>
      <w:pPr>
        <w:ind w:left="2320"/>
        <w:spacing w:after="0"/>
        <w:rPr>
          <w:sz w:val="20"/>
          <w:szCs w:val="20"/>
          <w:color w:val="auto"/>
        </w:rPr>
      </w:pPr>
      <w:r>
        <w:rPr>
          <w:rFonts w:ascii="Courier New" w:cs="Courier New" w:eastAsia="Courier New" w:hAnsi="Courier New"/>
          <w:sz w:val="18"/>
          <w:szCs w:val="18"/>
          <w:color w:val="auto"/>
        </w:rPr>
        <w:t>March 31, 1999</w:t>
      </w:r>
    </w:p>
    <w:p>
      <w:pPr>
        <w:spacing w:after="0" w:line="206"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Note A - Basis of Presentation 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entries) considered necessary for</w:t>
      </w:r>
    </w:p>
    <w:p>
      <w:pPr>
        <w:spacing w:after="0" w:line="2" w:lineRule="exact"/>
        <w:rPr>
          <w:sz w:val="20"/>
          <w:szCs w:val="20"/>
          <w:color w:val="auto"/>
        </w:rPr>
      </w:pPr>
    </w:p>
    <w:p>
      <w:pPr>
        <w:jc w:val="both"/>
        <w:ind w:right="3359" w:firstLine="8"/>
        <w:spacing w:after="0" w:line="275"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presentation have been included. The accompanying financial statements should be read with the Notes to Consolidated Financial Statements included in the Company's Annual Report on Form 10-K for the year ended September 30, 1998.</w:t>
      </w:r>
    </w:p>
    <w:p>
      <w:pPr>
        <w:spacing w:after="0" w:line="182"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Company's business is subject to seasonal variations, and operating results for the three- and six-month periods ended March 31, 1999 are not necessarily indicative of the results of operations for the full fiscal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Accounting Principles and Practices</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provision for federal income taxes has been calculated based on the Company's estimate of its effective tax rate for the full fiscal year.</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provides inventory reserves for shrinkage and cost in excess of market value. The Company estimates these reserves using analysis of sales trends, inventory aging, sales margins and shrinkage on inventory. The inventory reserves were $6.9 million, $6.8 million, and $7.0 million at March 31, 1999, September 30, 1998 and March 31, 1998, respectively.</w:t>
      </w:r>
    </w:p>
    <w:p>
      <w:pPr>
        <w:spacing w:after="0" w:line="210"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Property and equipment is shown net of accumulated depreciation of $33.4 million, $29.5 million and $26.0 million at March 31, 1999 and September 30, 1998, and March 31, 1998,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Earnings Per Share</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share: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940" w:type="dxa"/>
            <w:vAlign w:val="bottom"/>
            <w:gridSpan w:val="4"/>
          </w:tcPr>
          <w:p>
            <w:pPr>
              <w:ind w:left="3160"/>
              <w:spacing w:after="0"/>
              <w:rPr>
                <w:sz w:val="20"/>
                <w:szCs w:val="20"/>
                <w:color w:val="auto"/>
              </w:rPr>
            </w:pPr>
            <w:r>
              <w:rPr>
                <w:rFonts w:ascii="Courier New" w:cs="Courier New" w:eastAsia="Courier New" w:hAnsi="Courier New"/>
                <w:sz w:val="18"/>
                <w:szCs w:val="18"/>
                <w:color w:val="auto"/>
                <w:w w:val="96"/>
              </w:rPr>
              <w:t>Three Months Ended  Six Months Ended</w:t>
            </w:r>
          </w:p>
        </w:tc>
        <w:tc>
          <w:tcPr>
            <w:tcW w:w="740" w:type="dxa"/>
            <w:vAlign w:val="bottom"/>
          </w:tcPr>
          <w:p>
            <w:pPr>
              <w:spacing w:after="0"/>
              <w:rPr>
                <w:sz w:val="17"/>
                <w:szCs w:val="17"/>
                <w:color w:val="auto"/>
              </w:rPr>
            </w:pPr>
          </w:p>
        </w:tc>
      </w:tr>
      <w:tr>
        <w:trPr>
          <w:trHeight w:val="203"/>
        </w:trPr>
        <w:tc>
          <w:tcPr>
            <w:tcW w:w="4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31,</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c>
          <w:tcPr>
            <w:tcW w:w="7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84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Numerator for basic and diluted</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earnings per share - net income</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$ 2,151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$ 2,037</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$ 4,530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$ 4,296</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Denominator for basic earnings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 - weighted average</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11,998</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12,002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11,997</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Employee stock options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Warrants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Dilutive potential common shares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Denominator for diluted earnings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 - adjusted weighted</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average shares and assumed</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conversions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12,011</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12,008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12,011</w:t>
            </w:r>
          </w:p>
        </w:tc>
      </w:tr>
      <w:tr>
        <w:trPr>
          <w:trHeight w:val="405"/>
        </w:trPr>
        <w:tc>
          <w:tcPr>
            <w:tcW w:w="3840" w:type="dxa"/>
            <w:vAlign w:val="bottom"/>
          </w:tcPr>
          <w:p>
            <w:pPr>
              <w:ind w:left="320"/>
              <w:spacing w:after="0"/>
              <w:rPr>
                <w:sz w:val="20"/>
                <w:szCs w:val="20"/>
                <w:color w:val="auto"/>
              </w:rPr>
            </w:pPr>
            <w:r>
              <w:rPr>
                <w:rFonts w:ascii="Courier New" w:cs="Courier New" w:eastAsia="Courier New" w:hAnsi="Courier New"/>
                <w:sz w:val="18"/>
                <w:szCs w:val="18"/>
                <w:color w:val="auto"/>
              </w:rPr>
              <w:t>Basic earnings per share</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$ 0.18</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$ 0.17</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$ 0.38</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$ 0.36</w:t>
            </w:r>
          </w:p>
        </w:tc>
      </w:tr>
      <w:tr>
        <w:trPr>
          <w:trHeight w:val="203"/>
        </w:trPr>
        <w:tc>
          <w:tcPr>
            <w:tcW w:w="384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$ 0.18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$ 0.17</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$ 0.38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$ 0.36</w:t>
            </w:r>
          </w:p>
        </w:tc>
      </w:tr>
      <w:tr>
        <w:trPr>
          <w:trHeight w:val="203"/>
        </w:trPr>
        <w:tc>
          <w:tcPr>
            <w:tcW w:w="38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r>
    </w:tbl>
    <w:p>
      <w:pPr>
        <w:sectPr>
          <w:pgSz w:w="11900" w:h="16838" w:orient="portrait"/>
          <w:cols w:equalWidth="0" w:num="1">
            <w:col w:w="10219"/>
          </w:cols>
          <w:pgMar w:left="240" w:top="514" w:right="1440" w:bottom="970" w:gutter="0" w:footer="0" w:header="0"/>
        </w:sectPr>
      </w:pPr>
    </w:p>
    <w:bookmarkStart w:id="7" w:name="page8"/>
    <w:bookmarkEnd w:id="7"/>
    <w:p>
      <w:pPr>
        <w:ind w:left="1900"/>
        <w:spacing w:after="0"/>
        <w:rPr>
          <w:sz w:val="20"/>
          <w:szCs w:val="20"/>
          <w:color w:val="auto"/>
        </w:rPr>
      </w:pPr>
      <w:r>
        <w:rPr>
          <w:rFonts w:ascii="Courier New" w:cs="Courier New" w:eastAsia="Courier New" w:hAnsi="Courier New"/>
          <w:sz w:val="18"/>
          <w:szCs w:val="18"/>
          <w:color w:val="auto"/>
        </w:rPr>
        <w:t>EZCORP, Inc. and 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Interim Condensed Consolidated Financial Statements (Unaudited)</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March 31, 1999</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For the three months ended March 31, 1999, options to purchase 1,655,992 weighted average shares of common stock at an average price of $11.23 per share were outstanding. For the six months ended March 31, 1999, options to purchase 1,459,771 weighted average shares of common stock at an average price of $11.40 per share were outstanding. These options were not included in the computation of diluted earnings per share because the options' exercise price was greater than the average market price of the common shares and, therefore, the effect would be anti-dilutive.</w:t>
      </w:r>
    </w:p>
    <w:p>
      <w:pPr>
        <w:spacing w:after="0" w:line="215"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For the three months ended March 31, 1998, options to purchase 629,519 weighted average shares of common stock at an average price of $13.35 per share were outstanding. For the six months ended March 31, 1998, options to purchase 592,088 weighted average shares of common stock at an average price of $13.46 per share were outstanding. These options were not included in the computation of diluted earnings per share because the options' exercise price was greater than the average market price of the common shares and, therefore, the effect would be anti-dilutive.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Investment in Unconsolidated Affiliate</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On October 16, 1998, the Company acquired an additional 1,896,666 newly issued common shares of Albemarle &amp; Bond Holdings, plc ("A&amp;B"), for approximately $2 million. Following this purchase the Company owns 13,276,666 common shares of A&amp;B, or approximately of 29.9% of the total outstanding shares.</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accounts for its investment in A&amp;B using the equity method. A&amp;B reports its results to the public every six months and the most recently reported period ended December 31, 1998. The six months ended March 31, 1999 include the Company's percentage of A&amp;B's earnings for July through December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 Litigation</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From time to time, the Company is involved in litigation relating to claims arising from its normal business operations. Currently, the Company is a defendant in several lawsuits. Some of these lawsuits involve claims for substantial amounts. While the ultimate outcome of these lawsuits cannot be ascertained, after consultation with counsel, the Company believes the resolution of these suits will not have a material adverse effect on the Company's financial condition. There can be no assurance, however, that this will be the case.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Comprehensive Income</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In June 1997, the Financial Accounting Standards Board issued Statement of Financial Accounting Standards No. 130, "Reporting Comprehensive Income," which is effective for fiscal years beginning after December 15, 1997. Comprehensive income includes net income and other revenues, expenses, gains and losses that are excluded from net income but are included as a component of total shareholders' equity. Comprehensive income for the three and six months ended March 31, 1999 was</w:t>
      </w:r>
    </w:p>
    <w:p>
      <w:pPr>
        <w:spacing w:after="0" w:line="10"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approximately $2,038,000 and 4,483,000, respectively. The difference between comprehensive income and net income is comprised of the effect of currency translation adjustments and hedging activity in accordance with Financial Accounting Standards Board Statement No. 52, "Foreign Currency Translation." The accumulated balance of foreign currency and hedging activity, excluded from net income, is presented in the Condensed Consolidated Balance Sheets as "Accumulated Foreign Currency Translation Adjustment."</w:t>
      </w:r>
    </w:p>
    <w:p>
      <w:pPr>
        <w:sectPr>
          <w:pgSz w:w="11900" w:h="16838" w:orient="portrait"/>
          <w:cols w:equalWidth="0" w:num="1">
            <w:col w:w="10219"/>
          </w:cols>
          <w:pgMar w:left="240" w:top="514" w:right="1440" w:bottom="1440" w:gutter="0" w:footer="0" w:header="0"/>
        </w:sectPr>
      </w:pPr>
    </w:p>
    <w:bookmarkStart w:id="8" w:name="page9"/>
    <w:bookmarkEnd w:id="8"/>
    <w:p>
      <w:pPr>
        <w:ind w:left="540" w:right="431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2.Management's Discussion and Analysis of Financial Condition and Results of Operations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discussion in this section of this report contains</w:t>
      </w:r>
    </w:p>
    <w:p>
      <w:pPr>
        <w:spacing w:after="0" w:line="4"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forward-looking statements that involve risks and uncertainties. The Company's actual results could differ materially from those discussed herein. Factors that could cause or contribute to such differences include, but are not limited to, those discussed in this section and those discussed elsewhere in this report.</w:t>
      </w:r>
    </w:p>
    <w:p>
      <w:pPr>
        <w:spacing w:after="0" w:line="210" w:lineRule="exact"/>
        <w:rPr>
          <w:sz w:val="20"/>
          <w:szCs w:val="20"/>
          <w:color w:val="auto"/>
        </w:rPr>
      </w:pPr>
    </w:p>
    <w:p>
      <w:pPr>
        <w:jc w:val="both"/>
        <w:ind w:right="3899"/>
        <w:spacing w:after="0" w:line="235" w:lineRule="auto"/>
        <w:rPr>
          <w:sz w:val="20"/>
          <w:szCs w:val="20"/>
          <w:color w:val="auto"/>
        </w:rPr>
      </w:pPr>
      <w:r>
        <w:rPr>
          <w:rFonts w:ascii="Courier New" w:cs="Courier New" w:eastAsia="Courier New" w:hAnsi="Courier New"/>
          <w:sz w:val="18"/>
          <w:szCs w:val="18"/>
          <w:color w:val="auto"/>
        </w:rPr>
        <w:t>Second Quarter Ended March 31, 1999 vs. Second Quarter Ended March 31, 1998</w:t>
      </w:r>
    </w:p>
    <w:p>
      <w:pPr>
        <w:spacing w:after="0" w:line="208" w:lineRule="exact"/>
        <w:rPr>
          <w:sz w:val="20"/>
          <w:szCs w:val="20"/>
          <w:color w:val="auto"/>
        </w:rPr>
      </w:pPr>
    </w:p>
    <w:p>
      <w:pPr>
        <w:jc w:val="both"/>
        <w:ind w:right="3899" w:firstLine="632"/>
        <w:spacing w:after="0" w:line="236" w:lineRule="auto"/>
        <w:rPr>
          <w:sz w:val="20"/>
          <w:szCs w:val="20"/>
          <w:color w:val="auto"/>
        </w:rPr>
      </w:pPr>
      <w:r>
        <w:rPr>
          <w:rFonts w:ascii="Courier New" w:cs="Courier New" w:eastAsia="Courier New" w:hAnsi="Courier New"/>
          <w:sz w:val="18"/>
          <w:szCs w:val="18"/>
          <w:color w:val="auto"/>
        </w:rPr>
        <w:t>The following table sets forth selected, unaudited, consolidated financial data with respect to the Company for the Three-months ended March 31, 1999 and 1998.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gridSpan w:val="3"/>
          </w:tcPr>
          <w:p>
            <w:pPr>
              <w:ind w:left="2640"/>
              <w:spacing w:after="0"/>
              <w:rPr>
                <w:sz w:val="20"/>
                <w:szCs w:val="20"/>
                <w:color w:val="auto"/>
              </w:rPr>
            </w:pPr>
            <w:r>
              <w:rPr>
                <w:rFonts w:ascii="Courier New" w:cs="Courier New" w:eastAsia="Courier New" w:hAnsi="Courier New"/>
                <w:sz w:val="18"/>
                <w:szCs w:val="18"/>
                <w:color w:val="auto"/>
              </w:rPr>
              <w:t>Three Months Ended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 or</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31,(a)</w:t>
            </w: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Point</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Change(b)</w:t>
            </w:r>
          </w:p>
        </w:tc>
        <w:tc>
          <w:tcPr>
            <w:tcW w:w="2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2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$36,325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$30,624</w:t>
            </w:r>
          </w:p>
        </w:tc>
        <w:tc>
          <w:tcPr>
            <w:tcW w:w="4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18.6%</w:t>
            </w: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service charges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23,542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19,007</w:t>
            </w:r>
          </w:p>
        </w:tc>
        <w:tc>
          <w:tcPr>
            <w:tcW w:w="4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23.9%</w:t>
            </w: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c>
          <w:tcPr>
            <w:tcW w:w="4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340.8%</w:t>
            </w:r>
          </w:p>
        </w:tc>
        <w:tc>
          <w:tcPr>
            <w:tcW w:w="2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revenues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60,083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49,680</w:t>
            </w:r>
          </w:p>
        </w:tc>
        <w:tc>
          <w:tcPr>
            <w:tcW w:w="4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20.9%</w:t>
            </w: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goods sold</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31,101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25,369</w:t>
            </w:r>
          </w:p>
        </w:tc>
        <w:tc>
          <w:tcPr>
            <w:tcW w:w="4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22.6%</w:t>
            </w:r>
          </w:p>
        </w:tc>
        <w:tc>
          <w:tcPr>
            <w:tcW w:w="2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revenues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$28,982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$24,311</w:t>
            </w:r>
          </w:p>
        </w:tc>
        <w:tc>
          <w:tcPr>
            <w:tcW w:w="4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19.2%</w:t>
            </w:r>
          </w:p>
        </w:tc>
        <w:tc>
          <w:tcPr>
            <w:tcW w:w="2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Data:</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Gross profit as a percent</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sales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w:t>
            </w:r>
          </w:p>
        </w:tc>
        <w:tc>
          <w:tcPr>
            <w:tcW w:w="420" w:type="dxa"/>
            <w:vAlign w:val="bottom"/>
          </w:tcPr>
          <w:p>
            <w:pPr>
              <w:spacing w:after="0"/>
              <w:rPr>
                <w:sz w:val="17"/>
                <w:szCs w:val="17"/>
                <w:color w:val="auto"/>
              </w:rPr>
            </w:pP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 pts.</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annual inventory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turnover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2.5x</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2.6x</w:t>
            </w:r>
          </w:p>
        </w:tc>
        <w:tc>
          <w:tcPr>
            <w:tcW w:w="42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(0.1)</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x</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Average inventory balance</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 location as of the</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7.1%</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loan balance per</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location as of the end</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 the quarter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yield on loan</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portfolio</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c>
          <w:tcPr>
            <w:tcW w:w="420" w:type="dxa"/>
            <w:vAlign w:val="bottom"/>
          </w:tcPr>
          <w:p>
            <w:pPr>
              <w:spacing w:after="0"/>
              <w:rPr>
                <w:sz w:val="17"/>
                <w:szCs w:val="17"/>
                <w:color w:val="auto"/>
              </w:rPr>
            </w:pP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 pt.</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redemption rate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420" w:type="dxa"/>
            <w:vAlign w:val="bottom"/>
          </w:tcPr>
          <w:p>
            <w:pPr>
              <w:spacing w:after="0"/>
              <w:rPr>
                <w:sz w:val="17"/>
                <w:szCs w:val="17"/>
                <w:color w:val="auto"/>
              </w:rPr>
            </w:pP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(3.0) pts.</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w w:val="97"/>
              </w:rPr>
              <w:t>Expenses as a Percent of Total Revenues: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pts.</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pts.</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amortization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spacing w:after="0"/>
              <w:rPr>
                <w:sz w:val="17"/>
                <w:szCs w:val="17"/>
                <w:color w:val="auto"/>
              </w:rPr>
            </w:pP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pt.</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net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420" w:type="dxa"/>
            <w:vAlign w:val="bottom"/>
          </w:tcPr>
          <w:p>
            <w:pPr>
              <w:spacing w:after="0"/>
              <w:rPr>
                <w:sz w:val="17"/>
                <w:szCs w:val="17"/>
                <w:color w:val="auto"/>
              </w:rPr>
            </w:pP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0.9 pt.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Locations in Operation:</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Acquired</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Established</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Sold, combined or closed</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End of period</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Average locations in operation</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during the period(c)</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256.0</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32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540" w:right="3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except percentages, inventory turnover and store count.</w:t>
      </w:r>
    </w:p>
    <w:p>
      <w:pPr>
        <w:spacing w:after="0" w:line="6" w:lineRule="exact"/>
        <w:rPr>
          <w:sz w:val="20"/>
          <w:szCs w:val="20"/>
          <w:color w:val="auto"/>
        </w:rPr>
      </w:pPr>
    </w:p>
    <w:p>
      <w:pPr>
        <w:jc w:val="both"/>
        <w:ind w:left="540" w:right="389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comparing the period differences between dollar amounts or store counts, a percentage change is used. In comparing the period differences between two</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percentages, a percentage point (pt.) change is used.</w:t>
      </w:r>
    </w:p>
    <w:p>
      <w:pPr>
        <w:spacing w:after="0" w:line="4" w:lineRule="exact"/>
        <w:rPr>
          <w:sz w:val="20"/>
          <w:szCs w:val="20"/>
          <w:color w:val="auto"/>
        </w:rPr>
      </w:pPr>
    </w:p>
    <w:p>
      <w:pPr>
        <w:jc w:val="both"/>
        <w:ind w:left="540" w:right="3899"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locations in operation during the period is calculated based on the average of the stores operating at the beginning and end of such period.</w:t>
      </w:r>
    </w:p>
    <w:p>
      <w:pPr>
        <w:sectPr>
          <w:pgSz w:w="11900" w:h="16838" w:orient="portrait"/>
          <w:cols w:equalWidth="0" w:num="1">
            <w:col w:w="10219"/>
          </w:cols>
          <w:pgMar w:left="240" w:top="520" w:right="1440" w:bottom="364" w:gutter="0" w:footer="0" w:header="0"/>
        </w:sectPr>
      </w:pPr>
    </w:p>
    <w:bookmarkStart w:id="9" w:name="page10"/>
    <w:bookmarkEnd w:id="9"/>
    <w:p>
      <w:pPr>
        <w:jc w:val="both"/>
        <w:ind w:right="3899"/>
        <w:spacing w:after="0" w:line="235" w:lineRule="auto"/>
        <w:rPr>
          <w:sz w:val="20"/>
          <w:szCs w:val="20"/>
          <w:color w:val="auto"/>
        </w:rPr>
      </w:pPr>
      <w:r>
        <w:rPr>
          <w:rFonts w:ascii="Courier New" w:cs="Courier New" w:eastAsia="Courier New" w:hAnsi="Courier New"/>
          <w:sz w:val="18"/>
          <w:szCs w:val="18"/>
          <w:color w:val="auto"/>
        </w:rPr>
        <w:t>Six Months Ended March 31, 1999 vs. Six Months Ended March 31, 1998</w:t>
      </w:r>
    </w:p>
    <w:p>
      <w:pPr>
        <w:spacing w:after="0" w:line="208" w:lineRule="exact"/>
        <w:rPr>
          <w:sz w:val="20"/>
          <w:szCs w:val="20"/>
          <w:color w:val="auto"/>
        </w:rPr>
      </w:pPr>
    </w:p>
    <w:p>
      <w:pPr>
        <w:jc w:val="both"/>
        <w:ind w:right="3899" w:firstLine="632"/>
        <w:spacing w:after="0" w:line="236" w:lineRule="auto"/>
        <w:rPr>
          <w:sz w:val="20"/>
          <w:szCs w:val="20"/>
          <w:color w:val="auto"/>
        </w:rPr>
      </w:pPr>
      <w:r>
        <w:rPr>
          <w:rFonts w:ascii="Courier New" w:cs="Courier New" w:eastAsia="Courier New" w:hAnsi="Courier New"/>
          <w:sz w:val="18"/>
          <w:szCs w:val="18"/>
          <w:color w:val="auto"/>
        </w:rPr>
        <w:t>The following table sets forth selected, unaudited, consolidated financial data with respect to the Company for the Six-months ended March 31, 1999 and 1998.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gridSpan w:val="3"/>
          </w:tcPr>
          <w:p>
            <w:pPr>
              <w:ind w:left="2640"/>
              <w:spacing w:after="0"/>
              <w:rPr>
                <w:sz w:val="20"/>
                <w:szCs w:val="20"/>
                <w:color w:val="auto"/>
              </w:rPr>
            </w:pPr>
            <w:r>
              <w:rPr>
                <w:rFonts w:ascii="Courier New" w:cs="Courier New" w:eastAsia="Courier New" w:hAnsi="Courier New"/>
                <w:sz w:val="18"/>
                <w:szCs w:val="18"/>
                <w:color w:val="auto"/>
              </w:rPr>
              <w:t>Six Months Ended</w:t>
            </w:r>
          </w:p>
        </w:tc>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 or</w:t>
            </w:r>
          </w:p>
        </w:tc>
        <w:tc>
          <w:tcPr>
            <w:tcW w:w="48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31,(a)</w:t>
            </w:r>
          </w:p>
        </w:tc>
        <w:tc>
          <w:tcPr>
            <w:tcW w:w="194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Point</w:t>
            </w:r>
          </w:p>
        </w:tc>
        <w:tc>
          <w:tcPr>
            <w:tcW w:w="4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Change(b)</w:t>
            </w:r>
          </w:p>
        </w:tc>
      </w:tr>
      <w:tr>
        <w:trPr>
          <w:trHeight w:val="203"/>
        </w:trPr>
        <w:tc>
          <w:tcPr>
            <w:tcW w:w="316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$ 70,759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$ 61,550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service charges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49,373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39,994</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357.5%</w:t>
            </w: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revenues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120,498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101,624</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60,122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51,449</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revenues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$ 60,376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$ 50,175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Data:</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 as a</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percent of sales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 pts.</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annual inventory</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turnover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2.5x</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2.6x</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(0.1) pts.</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Average inventory balance</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 location as of the</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loan balance per</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location as of the end</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 the quarter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yield on loan</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portfolio</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 pts.</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redemption rate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 pts.</w:t>
            </w:r>
          </w:p>
        </w:tc>
      </w:tr>
      <w:tr>
        <w:trPr>
          <w:trHeight w:val="405"/>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rPr>
              <w:t>Expenses as a Percent of Total Revenues: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 pts.</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(0.6) pts.</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amortization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pt.</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net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0.8 pt.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Locations in Operation:</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Acquired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Established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Sold, combined or closed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End of period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Average locations in operation</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period(c)</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255.5</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16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540" w:right="38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except percentages, inventory turnover and store count.</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comparing  the  period differences  between  dollar</w:t>
      </w:r>
    </w:p>
    <w:p>
      <w:pPr>
        <w:spacing w:after="0" w:line="4" w:lineRule="exact"/>
        <w:rPr>
          <w:sz w:val="20"/>
          <w:szCs w:val="20"/>
          <w:color w:val="auto"/>
        </w:rPr>
      </w:pPr>
    </w:p>
    <w:p>
      <w:pPr>
        <w:jc w:val="both"/>
        <w:ind w:left="540" w:right="3899"/>
        <w:spacing w:after="0" w:line="236" w:lineRule="auto"/>
        <w:rPr>
          <w:sz w:val="20"/>
          <w:szCs w:val="20"/>
          <w:color w:val="auto"/>
        </w:rPr>
      </w:pPr>
      <w:r>
        <w:rPr>
          <w:rFonts w:ascii="Courier New" w:cs="Courier New" w:eastAsia="Courier New" w:hAnsi="Courier New"/>
          <w:sz w:val="18"/>
          <w:szCs w:val="18"/>
          <w:color w:val="auto"/>
        </w:rPr>
        <w:t>amounts or store counts, a percentage change is used. In comparing the period differences between two percentages, a percentage point (pt.) change is used.</w:t>
      </w:r>
    </w:p>
    <w:p>
      <w:pPr>
        <w:spacing w:after="0" w:line="6" w:lineRule="exact"/>
        <w:rPr>
          <w:sz w:val="20"/>
          <w:szCs w:val="20"/>
          <w:color w:val="auto"/>
        </w:rPr>
      </w:pPr>
    </w:p>
    <w:p>
      <w:pPr>
        <w:jc w:val="both"/>
        <w:ind w:left="540" w:right="389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locations in operation during the period is calculated based on the average of the stores operating at the beginning and end of such period.</w:t>
      </w:r>
    </w:p>
    <w:p>
      <w:pPr>
        <w:sectPr>
          <w:pgSz w:w="11900" w:h="16838" w:orient="portrait"/>
          <w:cols w:equalWidth="0" w:num="1">
            <w:col w:w="10219"/>
          </w:cols>
          <w:pgMar w:left="240" w:top="520" w:right="1440" w:bottom="1440" w:gutter="0" w:footer="0" w:header="0"/>
        </w:sectPr>
      </w:pPr>
    </w:p>
    <w:bookmarkStart w:id="10" w:name="page11"/>
    <w:bookmarkEnd w:id="10"/>
    <w:p>
      <w:pPr>
        <w:spacing w:after="0"/>
        <w:tabs>
          <w:tab w:leader="none" w:pos="940" w:val="left"/>
          <w:tab w:leader="none" w:pos="1360" w:val="left"/>
        </w:tabs>
        <w:rPr>
          <w:sz w:val="20"/>
          <w:szCs w:val="20"/>
          <w:color w:val="auto"/>
        </w:rPr>
      </w:pPr>
      <w:r>
        <w:rPr>
          <w:rFonts w:ascii="Courier New" w:cs="Courier New" w:eastAsia="Courier New" w:hAnsi="Courier New"/>
          <w:sz w:val="18"/>
          <w:szCs w:val="18"/>
          <w:color w:val="auto"/>
        </w:rPr>
        <w:t>Results</w:t>
        <w:tab/>
        <w:t>of</w:t>
      </w:r>
      <w:r>
        <w:rPr>
          <w:sz w:val="20"/>
          <w:szCs w:val="20"/>
          <w:color w:val="auto"/>
        </w:rPr>
        <w:tab/>
      </w:r>
      <w:r>
        <w:rPr>
          <w:rFonts w:ascii="Courier New" w:cs="Courier New" w:eastAsia="Courier New" w:hAnsi="Courier New"/>
          <w:sz w:val="16"/>
          <w:szCs w:val="16"/>
          <w:color w:val="auto"/>
        </w:rPr>
        <w:t>Operations</w:t>
      </w:r>
    </w:p>
    <w:p>
      <w:pPr>
        <w:spacing w:after="0" w:line="20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The following discussion compares results for the Three- and Six-month periods ended March 31, 1999("Fiscal 1999 Periods") to the Three- and Six-month periods ended March 31, 1998 ("Fiscal 1998 Periods"). The discussion should be read in conjunction with the accompanying financial statements and related notes.</w:t>
      </w:r>
    </w:p>
    <w:p>
      <w:pPr>
        <w:spacing w:after="0" w:line="185"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Early in the Company's 1998 fiscal year, the Company began to expand rapidly primarily through newly established stores. The Company expects these newly established stores to be unprofitable for the first three to four quarters that they are open as they develop their loan and sales customer base. Despite this unprofitable startup period, the Company believes that newly established stores will provide a better return on invested capital when compared to most acquisitions. During the Three-month Fiscal 1999 Period, the Company opened 12 newly established stores and acquired two stores. During the 12 months ended March 31, 1999, the Company opened 51 newly established stores and acquired five stores.</w:t>
      </w:r>
    </w:p>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The Company's primary activity is the making of small, non-recourse loans secured by tangible personal property. The income earned on this activity is pawn service charge revenue. For the Three-month Fiscal 1999 Period, pawn service charge revenue increased $4.5 million from the Three-month Fiscal 1998 Period to $23.5 million. This resulted from an increase in same store pawn service charge revenue ($3.0 million) and the pawn service charge revenue from new stores not open the full three-month period ($1.5 million). Average same store pawn loan balances were 17 percent above the prior year. The annualized yield on the average pawn loan balance decreased one percentage point from the Three-month Fiscal 1998 Period to 210 percent.</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For the Six-month Fiscal 1999 Period, pawn service charge revenue increased $9.4 million from the Six-month Fiscal 1998 Period to $49.4 million. This resulted from an increase in same store pawn service charge revenue ($6.5 million) and the pawn service charge revenue from new stores not open the full six-month period ($2.9 million). At March 31, 1999, average same store pawn loan balances were 15 percent above the prior year. The annualized yield on the average pawn loan balance increased two percentage points from the Six-month Fiscal 1998 Period to</w:t>
      </w:r>
    </w:p>
    <w:p>
      <w:pPr>
        <w:spacing w:after="0" w:line="11" w:lineRule="exact"/>
        <w:rPr>
          <w:sz w:val="20"/>
          <w:szCs w:val="20"/>
          <w:color w:val="auto"/>
        </w:rPr>
      </w:pPr>
    </w:p>
    <w:p>
      <w:pPr>
        <w:jc w:val="both"/>
        <w:ind w:right="3359" w:firstLine="8"/>
        <w:spacing w:after="0" w:line="236"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Variations in the annualized loan yield, as we saw between these periods, are due generally to a mix shift in the loan portfolio between loans with different loan yields.</w:t>
      </w:r>
    </w:p>
    <w:p>
      <w:pPr>
        <w:spacing w:after="0" w:line="209" w:lineRule="exact"/>
        <w:rPr>
          <w:sz w:val="20"/>
          <w:szCs w:val="20"/>
          <w:color w:val="auto"/>
        </w:rPr>
      </w:pPr>
    </w:p>
    <w:p>
      <w:pPr>
        <w:jc w:val="both"/>
        <w:ind w:right="3359" w:firstLine="640"/>
        <w:spacing w:after="0" w:line="270" w:lineRule="auto"/>
        <w:tabs>
          <w:tab w:leader="none" w:pos="94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secondary, but related, activity of the Company is the sale of merchandise, primarily collateral forfeited from its lending activity. For the Three-month Fiscal 1999 Period, sales increased approximately $5.7 million from the Three-month Fiscal 1998 Period to approximately $36.3 million. This resulted from an increase in same store merchandise sales ($2.0 million), new store sales ($2.9 million), and an increase in jewelry scrapping and wholesale activity ($0.8 million). Same store sales for the Three-month Fiscal 1999 Period increased six percent from the Three-month Fiscal 1998 Period. Inventory turnover, at 2.5 times, was slightly lower in the Three-month Fiscal 1999 Period compared to the Three-month Fiscal 1998 Period largely due to new stores which typically have slower inventory turnover.</w:t>
      </w:r>
    </w:p>
    <w:p>
      <w:pPr>
        <w:spacing w:after="0" w:line="185" w:lineRule="exact"/>
        <w:rPr>
          <w:sz w:val="20"/>
          <w:szCs w:val="20"/>
          <w:color w:val="auto"/>
        </w:rPr>
      </w:pPr>
    </w:p>
    <w:p>
      <w:pPr>
        <w:jc w:val="both"/>
        <w:ind w:right="3359" w:firstLine="843"/>
        <w:spacing w:after="0" w:line="270" w:lineRule="auto"/>
        <w:rPr>
          <w:sz w:val="20"/>
          <w:szCs w:val="20"/>
          <w:color w:val="auto"/>
        </w:rPr>
      </w:pPr>
      <w:r>
        <w:rPr>
          <w:rFonts w:ascii="Courier New" w:cs="Courier New" w:eastAsia="Courier New" w:hAnsi="Courier New"/>
          <w:sz w:val="16"/>
          <w:szCs w:val="16"/>
          <w:color w:val="auto"/>
        </w:rPr>
        <w:t>For the Six-month Fiscal 1999 Period, sales increased approximately $9.2 million from the Six-month Fiscal 1998 Period to approximately $70.8 million. This resulted from an increase in same store merchandise sales ($3.2 million), new store sales ($5.6 million), and an increase in jewelry scrapping and wholesale activity ($0.4 million). Same store sales for the Six-month Fiscal 1999 Period increased five percent from the Six-month Fiscal 1998 Period. Inventory turnover, at 2.5 times, was slightly lower in the Six-month Fiscal 1999 Period compared to the Six-month Fiscal 1998 Period largely due to new stores.</w:t>
      </w:r>
    </w:p>
    <w:p>
      <w:pPr>
        <w:spacing w:after="0" w:line="189"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Company's gross margin level (gross profit as a percentage of merchandise sales) results from, among other factors, the composition, quality and age of its inventory. At March 31, 1999, and 1998, respectively, the Company's inventories consisted of approximately 59 and 66 percent jewelry (e.g. ladies' and men's rings, chains, bracelets, etc.) and 41 and 35 percent general merchandise (e.g., televisions, VCRs, tools,</w:t>
      </w:r>
    </w:p>
    <w:p>
      <w:pPr>
        <w:sectPr>
          <w:pgSz w:w="11900" w:h="16838" w:orient="portrait"/>
          <w:cols w:equalWidth="0" w:num="1">
            <w:col w:w="10219"/>
          </w:cols>
          <w:pgMar w:left="240" w:top="514" w:right="1440" w:bottom="0" w:gutter="0" w:footer="0" w:header="0"/>
        </w:sectPr>
      </w:pPr>
    </w:p>
    <w:bookmarkStart w:id="11" w:name="page12"/>
    <w:bookmarkEnd w:id="11"/>
    <w:p>
      <w:pPr>
        <w:jc w:val="both"/>
        <w:ind w:right="3359"/>
        <w:spacing w:after="0" w:line="237" w:lineRule="auto"/>
        <w:rPr>
          <w:sz w:val="20"/>
          <w:szCs w:val="20"/>
          <w:color w:val="auto"/>
        </w:rPr>
      </w:pPr>
      <w:r>
        <w:rPr>
          <w:rFonts w:ascii="Courier New" w:cs="Courier New" w:eastAsia="Courier New" w:hAnsi="Courier New"/>
          <w:sz w:val="18"/>
          <w:szCs w:val="18"/>
          <w:color w:val="auto"/>
        </w:rPr>
        <w:t>sporting goods, musical instruments, firearms, etc.). At March 31, 1999 and 1998, respectively, 86 percent and 87 percent of the jewelry was less than twelve months old based on the Company's date of acquisition (date of forfeiture for collateral or date of purchase) as was approximately 95 percent of the general merchandise inventory for each period.</w:t>
      </w:r>
    </w:p>
    <w:p>
      <w:pPr>
        <w:sectPr>
          <w:pgSz w:w="11900" w:h="16838" w:orient="portrait"/>
          <w:cols w:equalWidth="0" w:num="1">
            <w:col w:w="10219"/>
          </w:cols>
          <w:pgMar w:left="240" w:top="142" w:right="1440" w:bottom="1440" w:gutter="0" w:footer="0" w:header="0"/>
        </w:sectPr>
      </w:pPr>
    </w:p>
    <w:bookmarkStart w:id="12" w:name="page13"/>
    <w:bookmarkEnd w:id="12"/>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For the Three-month Fiscal 1999 Period, gross profits as a percentage of sales decreased 2.8 percentage points from the Three-month Fiscal 1998 Period to 14.4 percent. This decrease results from lower gross margins on merchandise sales (1.7 percentage points), an increase in inventory shrinkage when measured as a percentage of merchandise sales (up 1.0 percentage point to approximately 2.2 percent) and lower gross margins on wholesale and scrap jewelry sales (0.1 percentage point).</w:t>
      </w:r>
    </w:p>
    <w:p>
      <w:pPr>
        <w:spacing w:after="0" w:line="18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For the Six-month Fiscal 1999 Period, gross profits as a percentage of sales decreased 1.4 percentage points from the Six-month Fiscal 1998 Period to 15.0 percent. This decrease results from lower margins on merchandise sales (1.5 percentage points), and increase in inventory shrinkage when measured as a percentage of merchandise sales (up 0.5 percentage point to approximately 1.7 percent) offset by higher margins on wholesale and scrap jewelry sales (0.6 percentage point).</w:t>
      </w: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the Three-month Fiscal 1999 Period, operating expenses as</w:t>
      </w:r>
    </w:p>
    <w:p>
      <w:pPr>
        <w:spacing w:after="0" w:line="21" w:lineRule="exact"/>
        <w:rPr>
          <w:sz w:val="20"/>
          <w:szCs w:val="20"/>
          <w:color w:val="auto"/>
        </w:rPr>
      </w:pPr>
    </w:p>
    <w:p>
      <w:pPr>
        <w:jc w:val="both"/>
        <w:ind w:right="3359" w:firstLine="8"/>
        <w:spacing w:after="0" w:line="237"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of total revenues increased 1.6 percentage points from the Three-month Fiscal 1998 Period to 33.4 percent. This increase results primarily from new stores which typically experience higher levels of operating expense relative to revenues. Administrative expenses decreased 2.0 percentage points in the Three-month Fiscal 1999 Period to 4.3 percent. This decrease results from the higher levels of revenues and lower levels of expenses in the Three-month Fiscal 1999 Period.</w:t>
      </w:r>
    </w:p>
    <w:p>
      <w:pPr>
        <w:spacing w:after="0" w:line="212"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In the Six-month Fiscal 1999 Period, operating expenses as a percentage of total revenues increased 1.4 percentage points from the Six-month Fiscal 1998 Period to 33.4 percent. This increase results primarily from new stores which typically experience higher levels of operating expense relative to revenues. Administrative expenses decreased 0.6 of a percentage point in the Six-month Fiscal 1999 Period to 5.8 percent. This decrease results from the higher levels of revenues relative to these expenses in the Six-month Fiscal 1999 Period.</w:t>
      </w:r>
    </w:p>
    <w:p>
      <w:pPr>
        <w:spacing w:after="0" w:line="214"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Depreciation and amortization expense as a percent of total revenues remained unchanged in the Three-month Fiscal 1999 Period and increased by 0.1 of a percentage point from the Six-month Fiscal 1998 Period to 3.7 percent. Interest expense increased by 0.9 and 0.8 of a percentage point, respectively, from the Fiscal 1998 Periods largely due to increased average debt balances.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Net cash provided by operating activities for the Fiscal 1999 Period was $8.3 million as compared to $11.2 million provided in the Fiscal 1998 Period. Increases in inventories, primarily related to new stores, were partially offset by improved operating results and other working capital changes. Net cash used by investing activities was $9.6 million for the Fiscal 1999 Period compared to $9.0 million used in the Fiscal 1998 Period. The change is due to smaller decreases in pawn loan balances in the Fiscal 1999 Period compared to the Fiscal 1998 Period, higher levels of capital expenditures and acquisitions in the Fiscal 1999 Period compared to the Fiscal 1998 Period and the investment in the unconsolidated affiliate, Albemarle &amp; Bond Holdings, plc in the Fiscal 1998 Period.</w:t>
      </w:r>
    </w:p>
    <w:p>
      <w:pPr>
        <w:spacing w:after="0" w:line="207" w:lineRule="exact"/>
        <w:rPr>
          <w:sz w:val="20"/>
          <w:szCs w:val="20"/>
          <w:color w:val="auto"/>
        </w:rPr>
      </w:pPr>
    </w:p>
    <w:p>
      <w:pPr>
        <w:jc w:val="both"/>
        <w:ind w:right="3359" w:firstLine="737"/>
        <w:spacing w:after="0" w:line="238" w:lineRule="auto"/>
        <w:rPr>
          <w:sz w:val="20"/>
          <w:szCs w:val="20"/>
          <w:color w:val="auto"/>
        </w:rPr>
      </w:pPr>
      <w:r>
        <w:rPr>
          <w:rFonts w:ascii="Courier New" w:cs="Courier New" w:eastAsia="Courier New" w:hAnsi="Courier New"/>
          <w:sz w:val="18"/>
          <w:szCs w:val="18"/>
          <w:color w:val="auto"/>
        </w:rPr>
        <w:t>In the Fiscal 1999 Period, the Company invested approximately $13.2 million to open twenty-nine newly established stores, to acquire three stores, to upgrade or replace existing equipment and computer systems, and for improvements at existing stores. The Company funded these expenditures largely from cash flow provided by operating activities. The Company plans to open approximately 60 stores during fiscal 1999, including the 32 stores already opened. The Company anticipates that cash flow from operations and funds available under its existing bank line of credit should be adequate to fund these capital expenditures and expected pawn loan growth during the coming year. There can be no assurance, however, that the Company's cash flow and line of credit will provide adequate funds for these capital expenditures.</w:t>
      </w:r>
    </w:p>
    <w:p>
      <w:pPr>
        <w:spacing w:after="0" w:line="202" w:lineRule="exact"/>
        <w:rPr>
          <w:sz w:val="20"/>
          <w:szCs w:val="20"/>
          <w:color w:val="auto"/>
        </w:rPr>
      </w:pPr>
    </w:p>
    <w:p>
      <w:pPr>
        <w:jc w:val="both"/>
        <w:ind w:left="740"/>
        <w:spacing w:after="0"/>
        <w:tabs>
          <w:tab w:leader="none" w:pos="1260" w:val="left"/>
          <w:tab w:leader="none" w:pos="2300" w:val="left"/>
          <w:tab w:leader="none" w:pos="2840" w:val="left"/>
          <w:tab w:leader="none" w:pos="3560" w:val="left"/>
          <w:tab w:leader="none" w:pos="4100" w:val="left"/>
          <w:tab w:leader="none" w:pos="5040" w:val="left"/>
          <w:tab w:leader="none" w:pos="6200" w:val="left"/>
          <w:tab w:leader="none" w:pos="6520" w:val="left"/>
        </w:tabs>
        <w:rPr>
          <w:sz w:val="20"/>
          <w:szCs w:val="20"/>
          <w:color w:val="auto"/>
        </w:rPr>
      </w:pPr>
      <w:r>
        <w:rPr>
          <w:rFonts w:ascii="Courier New" w:cs="Courier New" w:eastAsia="Courier New" w:hAnsi="Courier New"/>
          <w:sz w:val="18"/>
          <w:szCs w:val="18"/>
          <w:color w:val="auto"/>
        </w:rPr>
        <w:t>On</w:t>
      </w:r>
      <w:r>
        <w:rPr>
          <w:sz w:val="20"/>
          <w:szCs w:val="20"/>
          <w:color w:val="auto"/>
        </w:rPr>
        <w:tab/>
      </w:r>
      <w:r>
        <w:rPr>
          <w:rFonts w:ascii="Courier New" w:cs="Courier New" w:eastAsia="Courier New" w:hAnsi="Courier New"/>
          <w:sz w:val="18"/>
          <w:szCs w:val="18"/>
          <w:color w:val="auto"/>
        </w:rPr>
        <w:t>December</w:t>
        <w:tab/>
        <w:t>10,</w:t>
        <w:tab/>
        <w:t>1998,</w:t>
        <w:tab/>
        <w:t>the</w:t>
        <w:tab/>
        <w:t>Company</w:t>
        <w:tab/>
        <w:t>completed</w:t>
        <w:tab/>
        <w:t>a</w:t>
      </w:r>
      <w:r>
        <w:rPr>
          <w:sz w:val="20"/>
          <w:szCs w:val="20"/>
          <w:color w:val="auto"/>
        </w:rPr>
        <w:tab/>
      </w:r>
      <w:r>
        <w:rPr>
          <w:rFonts w:ascii="Courier New" w:cs="Courier New" w:eastAsia="Courier New" w:hAnsi="Courier New"/>
          <w:sz w:val="16"/>
          <w:szCs w:val="16"/>
          <w:color w:val="auto"/>
        </w:rPr>
        <w:t>new</w:t>
      </w:r>
    </w:p>
    <w:p>
      <w:pPr>
        <w:spacing w:after="0"/>
        <w:tabs>
          <w:tab w:leader="none" w:pos="1460" w:val="left"/>
          <w:tab w:leader="none" w:pos="2720" w:val="left"/>
          <w:tab w:leader="none" w:pos="3560" w:val="left"/>
          <w:tab w:leader="none" w:pos="4940" w:val="left"/>
          <w:tab w:leader="none" w:pos="5580" w:val="left"/>
          <w:tab w:leader="none" w:pos="6200" w:val="left"/>
        </w:tabs>
        <w:rPr>
          <w:sz w:val="20"/>
          <w:szCs w:val="20"/>
          <w:color w:val="auto"/>
        </w:rPr>
      </w:pPr>
      <w:r>
        <w:rPr>
          <w:rFonts w:ascii="Courier New" w:cs="Courier New" w:eastAsia="Courier New" w:hAnsi="Courier New"/>
          <w:sz w:val="18"/>
          <w:szCs w:val="18"/>
          <w:color w:val="auto"/>
        </w:rPr>
        <w:t>$110,000,000</w:t>
        <w:tab/>
        <w:t>syndicated</w:t>
        <w:tab/>
        <w:t>credit</w:t>
        <w:tab/>
        <w:t>facility.</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8"/>
          <w:szCs w:val="18"/>
          <w:color w:val="auto"/>
        </w:rPr>
        <w:t>new</w:t>
      </w:r>
      <w:r>
        <w:rPr>
          <w:sz w:val="20"/>
          <w:szCs w:val="20"/>
          <w:color w:val="auto"/>
        </w:rPr>
        <w:tab/>
      </w:r>
      <w:r>
        <w:rPr>
          <w:rFonts w:ascii="Courier New" w:cs="Courier New" w:eastAsia="Courier New" w:hAnsi="Courier New"/>
          <w:sz w:val="16"/>
          <w:szCs w:val="16"/>
          <w:color w:val="auto"/>
        </w:rPr>
        <w:t>credit</w:t>
      </w:r>
    </w:p>
    <w:p>
      <w:pPr>
        <w:sectPr>
          <w:pgSz w:w="11900" w:h="16838" w:orient="portrait"/>
          <w:cols w:equalWidth="0" w:num="1">
            <w:col w:w="10219"/>
          </w:cols>
          <w:pgMar w:left="240" w:top="520" w:right="1440" w:bottom="0" w:gutter="0" w:footer="0" w:header="0"/>
        </w:sectPr>
      </w:pPr>
    </w:p>
    <w:bookmarkStart w:id="13" w:name="page14"/>
    <w:bookmarkEnd w:id="13"/>
    <w:p>
      <w:pPr>
        <w:jc w:val="both"/>
        <w:ind w:right="3359"/>
        <w:spacing w:after="0" w:line="237" w:lineRule="auto"/>
        <w:rPr>
          <w:sz w:val="20"/>
          <w:szCs w:val="20"/>
          <w:color w:val="auto"/>
        </w:rPr>
      </w:pPr>
      <w:r>
        <w:rPr>
          <w:rFonts w:ascii="Courier New" w:cs="Courier New" w:eastAsia="Courier New" w:hAnsi="Courier New"/>
          <w:sz w:val="18"/>
          <w:szCs w:val="18"/>
          <w:color w:val="auto"/>
        </w:rPr>
        <w:t>facility is unsecured and matures December 3, 2001. Terms of the credit agreement require, among other things, that the Company meet certain financial covenants. The outstanding balance under the facility</w:t>
      </w:r>
    </w:p>
    <w:p>
      <w:pPr>
        <w:sectPr>
          <w:pgSz w:w="11900" w:h="16838" w:orient="portrait"/>
          <w:cols w:equalWidth="0" w:num="1">
            <w:col w:w="10219"/>
          </w:cols>
          <w:pgMar w:left="240" w:top="142" w:right="1440" w:bottom="1440" w:gutter="0" w:footer="0" w:header="0"/>
        </w:sectPr>
      </w:pPr>
    </w:p>
    <w:bookmarkStart w:id="14" w:name="page15"/>
    <w:bookmarkEnd w:id="14"/>
    <w:p>
      <w:pPr>
        <w:jc w:val="both"/>
        <w:ind w:right="3359"/>
        <w:spacing w:after="0" w:line="237" w:lineRule="auto"/>
        <w:rPr>
          <w:sz w:val="20"/>
          <w:szCs w:val="20"/>
          <w:color w:val="auto"/>
        </w:rPr>
      </w:pPr>
      <w:r>
        <w:rPr>
          <w:rFonts w:ascii="Courier New" w:cs="Courier New" w:eastAsia="Courier New" w:hAnsi="Courier New"/>
          <w:sz w:val="18"/>
          <w:szCs w:val="18"/>
          <w:color w:val="auto"/>
        </w:rPr>
        <w:t>bears interest, payable monthly, at the agent bank's Prime Rate or Eurodollar rate plus 87.5 to 137.5 basis points, depending on certain performance criteria. In addition, annually the Company pays an unused commitment fee equal to a fixed rate of 25 basis points of the unused amount of the total commitment. At March 31, 1999, the Company had $51 million outstanding on the line of credit.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jc w:val="both"/>
        <w:ind w:right="3359" w:firstLine="632"/>
        <w:spacing w:after="0" w:line="273" w:lineRule="auto"/>
        <w:rPr>
          <w:sz w:val="20"/>
          <w:szCs w:val="20"/>
          <w:color w:val="auto"/>
        </w:rPr>
      </w:pPr>
      <w:r>
        <w:rPr>
          <w:rFonts w:ascii="Courier New" w:cs="Courier New" w:eastAsia="Courier New" w:hAnsi="Courier New"/>
          <w:sz w:val="16"/>
          <w:szCs w:val="16"/>
          <w:color w:val="auto"/>
        </w:rPr>
        <w:t>Historically, pawn service charge revenues are highest in the fourth fiscal quarter (July, August and September) due to higher loan demand during the summer months and merchandise sales are highest in the first and second fiscal quarters (October through March) due to the holiday season and tax refunds.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Year 2000 Issue</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The Company, like many companies, faces the Year 2000 Issue. This is a result of computer programs being written using two digits rather than four (for example, "99" for 1999) to define the applicable year. Any of the Company's programs that have time-sensitive software may recognize a date using "00" as the year 1900 rather than the year 2000. This could result in a system failure or miscalculations causing disruptions of operations, including, among other things a temporary inability to process transactions or engage in similar normal business activities.</w:t>
      </w:r>
    </w:p>
    <w:p>
      <w:pPr>
        <w:spacing w:after="0" w:line="215"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Company's plan to resolve the Year 2000 Issue involves the following four phases: assessment, remediation, testing, and implementation. To date, the Company has fully completed its assessment of all systems that could be affected by the Year 2000. The completed assessment indicated that the information technology system which would be affected is the Company's store level point of sale system. For this exposure, the Company is</w:t>
      </w:r>
    </w:p>
    <w:p>
      <w:pPr>
        <w:spacing w:after="0" w:line="1" w:lineRule="exact"/>
        <w:rPr>
          <w:sz w:val="20"/>
          <w:szCs w:val="20"/>
          <w:color w:val="auto"/>
        </w:rPr>
      </w:pPr>
    </w:p>
    <w:p>
      <w:pPr>
        <w:jc w:val="both"/>
        <w:ind w:right="3359" w:firstLine="8"/>
        <w:spacing w:after="0" w:line="238"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complete on the assessment, remediation and testing phases and 70 percent complete with regard to the implementation phase. It was 100 percent complete with respect to software reprogramming, replacement and testing by April 1999. It expects to be 100 percent complete with implementation by June 1999. In addition, the Company has gathered information about the Year 2000 compliance status regarding relationships it has with various third parties and continues to monitor their compliance. To date, the Company is not aware of any third party with a Year 2000 Issue that would materially impact the Company's results of operations, liquidity, or capital resources. However, the Company has no means of ensuring that all third parties will be Year 2000 ready.</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Company will utilize internal resources to reprogram, test, and implement the software and operating equipment for Year 2000 modifications. The total cost of the Year 2000 project is estimated to be less than $100,000 and is being funded through</w:t>
      </w:r>
    </w:p>
    <w:p>
      <w:pPr>
        <w:spacing w:after="0" w:line="1"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operating cash flows. These costs are being expensed as incurred.</w:t>
      </w:r>
    </w:p>
    <w:p>
      <w:pPr>
        <w:spacing w:after="0" w:line="208"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Company's management believes it has an effective program in place to resolve the Year 2000 Issue. As noted above, the Company has not completed all necessary phases of this program. In the event the Company does not complete all phases, the Company may not be able to process customer transactions which could have a material impact on the operations of the Company. In addition, disruptions in the economy generally resulting from Year 2000 Issues could also materially adversely affect the Company. The amount of potential liability and lost revenue cannot be reasonably estimated at this time.</w:t>
      </w:r>
    </w:p>
    <w:p>
      <w:pPr>
        <w:spacing w:after="0" w:line="38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currently has no contingency plans in place in the event it does not complete all phases of the Year 2000 program. The Company plans to evaluate the status of completion in May 1999, and determine at that time whether such a plan is necessary.</w:t>
      </w:r>
    </w:p>
    <w:p>
      <w:pPr>
        <w:sectPr>
          <w:pgSz w:w="11900" w:h="16838" w:orient="portrait"/>
          <w:cols w:equalWidth="0" w:num="1">
            <w:col w:w="10219"/>
          </w:cols>
          <w:pgMar w:left="240" w:top="520" w:right="1440" w:bottom="971"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Qualitative and Quantitative Disclosures about Market Risk</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following discussion about the Company's market risk disclosures involves forward-looking statements. Actual results could differ materially from those projected in the forward-looking statements. The Company is exposed to market risk related to changes in interest rates and foreign currency exchange rates. The Company does not use derivative financial instruments.</w:t>
      </w:r>
    </w:p>
    <w:p>
      <w:pPr>
        <w:spacing w:after="0" w:line="211"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Company's earnings are affected by changes in interest rates due to the impact those changes have on its variable-rate debt instruments. The majority of the Company's long-term debt at March 31, 1999 is a variable-rate debt instrument. There have been no material changes relating to interest rates since the Company's most recent fiscal year, which ended on September 30, 1998.</w:t>
      </w:r>
    </w:p>
    <w:p>
      <w:pPr>
        <w:spacing w:after="0" w:line="211"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The Company's earnings and financial position are affected by foreign exchange rate fluctuations related to the equity investment in Albemarle &amp; Bond Holdings, plc ("A&amp;B"). A&amp;B's operation's functional currency is the U.K. pound. The U.K. pound exchange rate can directly and indirectly impact the Company's results of operations and financial position in several manners, including potential economic recession in the U.K. resulting from a devalued pound. The impact on the Company's financial position and results of operations of a hypothetical change in the exchange rate between the U.S. dollar and the U.K. pound cannot be reasonably estimated. During Fiscal 1998, the U.K. pound weakened resulting in a cumulative translation adjustment loss of $30,000. During the second fiscal quarter ended March 31, 1999, the U.K. pound weakened resulting in a cumulative translation adjustment loss of $77,000. On March 31, 1999, the U.S. dollar closed at 1.6120 to 1.00 U.K. pound, a decrease from 1.6981 at September 30, 1998. No assurance can be given as to the future valuation of the U.K. pound and how further movements in the pound could effect future earnings or the financial position of the Company.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Information</w:t>
      </w:r>
    </w:p>
    <w:p>
      <w:pPr>
        <w:spacing w:after="0" w:line="207" w:lineRule="exact"/>
        <w:rPr>
          <w:sz w:val="20"/>
          <w:szCs w:val="20"/>
          <w:color w:val="auto"/>
        </w:rPr>
      </w:pPr>
    </w:p>
    <w:p>
      <w:pPr>
        <w:jc w:val="both"/>
        <w:ind w:right="3359" w:firstLine="527"/>
        <w:spacing w:after="0" w:line="269" w:lineRule="auto"/>
        <w:rPr>
          <w:sz w:val="20"/>
          <w:szCs w:val="20"/>
          <w:color w:val="auto"/>
        </w:rPr>
      </w:pPr>
      <w:r>
        <w:rPr>
          <w:rFonts w:ascii="Courier New" w:cs="Courier New" w:eastAsia="Courier New" w:hAnsi="Courier New"/>
          <w:sz w:val="16"/>
          <w:szCs w:val="16"/>
          <w:color w:val="auto"/>
        </w:rPr>
        <w:t>This Quarterly Report on Form 10-Q includes "forward-looking statements" within the meaning of Section 27A of the Securities Act of 1933, as amended, and Section 21E of the Securities Exchange Act of 1934, as amended. All statements other than statement of historical information provided herein are forward-looking and may contain information about financial results, economic conditions, trends and known uncertainties. The Company cautions the reader that actual results could differ materially from those expected by the Company depending on the outcome of certain factors, including without limitation (i) fluctuations in the Company's inventory and loan balances, inventory turnover, average yield on loan portfolio, redemption rates, labor and employment matters, competition, operating risk, acquisition and expansion risk, liquidity and capital requirements and the effect of government and environmental regulations and (ii) adverse changes in the market for the Company's services. Readers are cautioned not to place undue reliance on these forward-looking statements, which speak only as of the date hereof. The Company undertakes no obligations to release publicly the results of any revisions to these forward-looking statements which may be made to reflect events or circumstances after the date hereon, including without limitation, changes in the Company's business strategy or planned capital expenditures, or to reflect the occurrence of unanticipated events.</w:t>
      </w:r>
    </w:p>
    <w:p>
      <w:pPr>
        <w:sectPr>
          <w:pgSz w:w="11900" w:h="16838" w:orient="portrait"/>
          <w:cols w:equalWidth="0" w:num="1">
            <w:col w:w="10219"/>
          </w:cols>
          <w:pgMar w:left="240" w:top="514" w:right="1440" w:bottom="1440" w:gutter="0" w:footer="0" w:header="0"/>
        </w:sectPr>
      </w:pPr>
    </w:p>
    <w:bookmarkStart w:id="16" w:name="page17"/>
    <w:bookmarkEnd w:id="16"/>
    <w:p>
      <w:pPr>
        <w:ind w:left="3060"/>
        <w:spacing w:after="0"/>
        <w:rPr>
          <w:sz w:val="20"/>
          <w:szCs w:val="20"/>
          <w:color w:val="auto"/>
        </w:rPr>
      </w:pPr>
      <w:r>
        <w:rPr>
          <w:rFonts w:ascii="Courier New" w:cs="Courier New" w:eastAsia="Courier New" w:hAnsi="Courier New"/>
          <w:sz w:val="18"/>
          <w:szCs w:val="18"/>
          <w:color w:val="auto"/>
        </w:rPr>
        <w:t>PART II</w:t>
      </w:r>
    </w:p>
    <w:p>
      <w:pPr>
        <w:spacing w:after="0" w:line="238" w:lineRule="auto"/>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From time to time, the Company is involved in litigation relating to claims arising from its normal business operations. Currently, the Company is a defendant in several lawsuits. Some of these lawsuits involve claims for substantial amounts. While the ultimate outcome of these lawsuits cannot be ascertained, after consultation with counsel, the Company believes the resolution of these suits will not have a material adverse effect on the Company's financial condition. There can be no assurance, however, that this will be the case.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Defaults Upon Senior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On March 1, 1999, the sole shareholder of the Class B Voting Common Stock approved Ernst &amp; Young LLP to serve as the Company's auditors for the ensuing year and elected the following persons as directors of the Company:</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Sterling B. Brinkley</w:t>
            </w: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Mark</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Pickup</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Vincent A. Lambiase</w:t>
            </w:r>
          </w:p>
        </w:tc>
        <w:tc>
          <w:tcPr>
            <w:tcW w:w="13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Richard</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Sage</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Dan N. Tonissen</w:t>
            </w:r>
          </w:p>
        </w:tc>
        <w:tc>
          <w:tcPr>
            <w:tcW w:w="1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John</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E. Cay, III</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 Jefferson Dean</w:t>
            </w:r>
          </w:p>
        </w:tc>
        <w:tc>
          <w:tcPr>
            <w:tcW w:w="222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Steve Price</w:t>
            </w:r>
          </w:p>
        </w:tc>
      </w:tr>
    </w:tbl>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The Company's Class B Voting Common Stock was the only class entitled to vote on these matters. The sole voting shareholder of the Company holds all 1,190,057 shares of outstanding Class B Voting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(a)</w:t>
        <w:tab/>
        <w:t>Exhibits</w:t>
      </w:r>
    </w:p>
    <w:p>
      <w:pPr>
        <w:ind w:left="128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Exhibit 27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Data 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Filed herewith</w:t>
      </w:r>
    </w:p>
    <w:p>
      <w:pPr>
        <w:spacing w:after="0" w:line="216" w:lineRule="exact"/>
        <w:rPr>
          <w:sz w:val="20"/>
          <w:szCs w:val="20"/>
          <w:color w:val="auto"/>
        </w:rPr>
      </w:pPr>
    </w:p>
    <w:p>
      <w:pPr>
        <w:sectPr>
          <w:pgSz w:w="11900" w:h="16838" w:orient="portrait"/>
          <w:cols w:equalWidth="0" w:num="3">
            <w:col w:w="2320" w:space="320"/>
            <w:col w:w="2520" w:space="320"/>
            <w:col w:w="4739"/>
          </w:cols>
          <w:pgMar w:left="240" w:top="514" w:right="1440" w:bottom="1440" w:gutter="0" w:footer="0" w:header="0"/>
          <w:type w:val="continuous"/>
        </w:sectPr>
      </w:pPr>
    </w:p>
    <w:p>
      <w:pPr>
        <w:spacing w:after="0" w:line="1" w:lineRule="exact"/>
        <w:rPr>
          <w:sz w:val="20"/>
          <w:szCs w:val="20"/>
          <w:color w:val="auto"/>
        </w:rPr>
      </w:pPr>
    </w:p>
    <w:p>
      <w:pPr>
        <w:ind w:left="1280" w:hanging="535"/>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128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filed any reports on Form 8-K for the quarter ended March 31, 1999.</w:t>
      </w:r>
    </w:p>
    <w:p>
      <w:pPr>
        <w:sectPr>
          <w:pgSz w:w="11900" w:h="16838" w:orient="portrait"/>
          <w:cols w:equalWidth="0" w:num="1">
            <w:col w:w="10219"/>
          </w:cols>
          <w:pgMar w:left="240" w:top="514" w:right="1440" w:bottom="1440" w:gutter="0" w:footer="0" w:header="0"/>
          <w:type w:val="continuous"/>
        </w:sectPr>
      </w:pPr>
    </w:p>
    <w:bookmarkStart w:id="17" w:name="page18"/>
    <w:bookmarkEnd w:id="17"/>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EZCORP,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DAN N. TONISSEN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4">
            <w:col w:w="540" w:space="320"/>
            <w:col w:w="1580" w:space="720"/>
            <w:col w:w="320" w:space="0"/>
            <w:col w:w="6739"/>
          </w:cols>
          <w:pgMar w:left="240" w:top="919" w:right="1440" w:bottom="1440" w:gutter="0" w:footer="0" w:header="0"/>
          <w:type w:val="continuous"/>
        </w:sect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Dan N. Tonissen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Senior Vice President and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SEP-30-1999</w:t>
      </w:r>
    </w:p>
    <w:p>
      <w:pPr>
        <w:ind w:left="3160"/>
        <w:spacing w:after="0"/>
        <w:rPr>
          <w:sz w:val="20"/>
          <w:szCs w:val="20"/>
          <w:color w:val="auto"/>
        </w:rPr>
      </w:pPr>
      <w:r>
        <w:rPr>
          <w:rFonts w:ascii="Courier New" w:cs="Courier New" w:eastAsia="Courier New" w:hAnsi="Courier New"/>
          <w:sz w:val="18"/>
          <w:szCs w:val="18"/>
          <w:color w:val="auto"/>
        </w:rPr>
        <w:t>MAR-31-1999</w:t>
      </w:r>
    </w:p>
    <w:p>
      <w:pPr>
        <w:ind w:left="4520"/>
        <w:spacing w:after="0" w:line="237" w:lineRule="auto"/>
        <w:rPr>
          <w:sz w:val="20"/>
          <w:szCs w:val="20"/>
          <w:color w:val="auto"/>
        </w:rPr>
      </w:pPr>
      <w:r>
        <w:rPr>
          <w:rFonts w:ascii="Courier New" w:cs="Courier New" w:eastAsia="Courier New" w:hAnsi="Courier New"/>
          <w:sz w:val="18"/>
          <w:szCs w:val="18"/>
          <w:color w:val="auto"/>
        </w:rPr>
        <w:t>2717</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55593</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47750</w:t>
      </w:r>
    </w:p>
    <w:p>
      <w:pPr>
        <w:ind w:left="3260"/>
        <w:spacing w:after="0" w:line="237" w:lineRule="auto"/>
        <w:rPr>
          <w:sz w:val="20"/>
          <w:szCs w:val="20"/>
          <w:color w:val="auto"/>
        </w:rPr>
      </w:pPr>
      <w:r>
        <w:rPr>
          <w:rFonts w:ascii="Courier New" w:cs="Courier New" w:eastAsia="Courier New" w:hAnsi="Courier New"/>
          <w:sz w:val="18"/>
          <w:szCs w:val="18"/>
          <w:color w:val="auto"/>
        </w:rPr>
        <w:t>111810</w:t>
      </w:r>
    </w:p>
    <w:p>
      <w:pPr>
        <w:ind w:left="4420"/>
        <w:spacing w:after="0"/>
        <w:rPr>
          <w:sz w:val="20"/>
          <w:szCs w:val="20"/>
          <w:color w:val="auto"/>
        </w:rPr>
      </w:pPr>
      <w:r>
        <w:rPr>
          <w:rFonts w:ascii="Courier New" w:cs="Courier New" w:eastAsia="Courier New" w:hAnsi="Courier New"/>
          <w:sz w:val="18"/>
          <w:szCs w:val="18"/>
          <w:color w:val="auto"/>
        </w:rPr>
        <w:t>86164</w:t>
      </w:r>
    </w:p>
    <w:p>
      <w:pPr>
        <w:ind w:left="3580"/>
        <w:spacing w:after="0" w:line="237" w:lineRule="auto"/>
        <w:rPr>
          <w:sz w:val="20"/>
          <w:szCs w:val="20"/>
          <w:color w:val="auto"/>
        </w:rPr>
      </w:pPr>
      <w:r>
        <w:rPr>
          <w:rFonts w:ascii="Courier New" w:cs="Courier New" w:eastAsia="Courier New" w:hAnsi="Courier New"/>
          <w:sz w:val="18"/>
          <w:szCs w:val="18"/>
          <w:color w:val="auto"/>
        </w:rPr>
        <w:t>33415</w:t>
      </w:r>
    </w:p>
    <w:p>
      <w:pPr>
        <w:ind w:left="3460"/>
        <w:spacing w:after="0" w:line="238" w:lineRule="auto"/>
        <w:rPr>
          <w:sz w:val="20"/>
          <w:szCs w:val="20"/>
          <w:color w:val="auto"/>
        </w:rPr>
      </w:pPr>
      <w:r>
        <w:rPr>
          <w:rFonts w:ascii="Courier New" w:cs="Courier New" w:eastAsia="Courier New" w:hAnsi="Courier New"/>
          <w:sz w:val="18"/>
          <w:szCs w:val="18"/>
          <w:color w:val="auto"/>
        </w:rPr>
        <w:t>199172</w:t>
      </w:r>
    </w:p>
    <w:p>
      <w:pPr>
        <w:ind w:left="2840"/>
        <w:spacing w:after="0"/>
        <w:rPr>
          <w:sz w:val="20"/>
          <w:szCs w:val="20"/>
          <w:color w:val="auto"/>
        </w:rPr>
      </w:pPr>
      <w:r>
        <w:rPr>
          <w:rFonts w:ascii="Courier New" w:cs="Courier New" w:eastAsia="Courier New" w:hAnsi="Courier New"/>
          <w:sz w:val="18"/>
          <w:szCs w:val="18"/>
          <w:color w:val="auto"/>
        </w:rPr>
        <w:t>13166</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420"/>
        <w:spacing w:after="0"/>
        <w:rPr>
          <w:sz w:val="20"/>
          <w:szCs w:val="20"/>
          <w:color w:val="auto"/>
        </w:rPr>
      </w:pPr>
      <w:r>
        <w:rPr>
          <w:rFonts w:ascii="Courier New" w:cs="Courier New" w:eastAsia="Courier New" w:hAnsi="Courier New"/>
          <w:sz w:val="18"/>
          <w:szCs w:val="18"/>
          <w:color w:val="auto"/>
        </w:rPr>
        <w:t>120</w:t>
      </w:r>
    </w:p>
    <w:p>
      <w:pPr>
        <w:ind w:left="3900"/>
        <w:spacing w:after="0" w:line="237" w:lineRule="auto"/>
        <w:rPr>
          <w:sz w:val="20"/>
          <w:szCs w:val="20"/>
          <w:color w:val="auto"/>
        </w:rPr>
      </w:pPr>
      <w:r>
        <w:rPr>
          <w:rFonts w:ascii="Courier New" w:cs="Courier New" w:eastAsia="Courier New" w:hAnsi="Courier New"/>
          <w:sz w:val="18"/>
          <w:szCs w:val="18"/>
          <w:color w:val="auto"/>
        </w:rPr>
        <w:t>134617</w:t>
      </w:r>
    </w:p>
    <w:p>
      <w:pPr>
        <w:ind w:left="2000"/>
        <w:spacing w:after="0" w:line="238" w:lineRule="auto"/>
        <w:rPr>
          <w:sz w:val="20"/>
          <w:szCs w:val="20"/>
          <w:color w:val="auto"/>
        </w:rPr>
      </w:pPr>
      <w:r>
        <w:rPr>
          <w:rFonts w:ascii="Courier New" w:cs="Courier New" w:eastAsia="Courier New" w:hAnsi="Courier New"/>
          <w:sz w:val="18"/>
          <w:szCs w:val="18"/>
          <w:color w:val="auto"/>
        </w:rPr>
        <w:t>199172</w:t>
      </w:r>
    </w:p>
    <w:p>
      <w:pPr>
        <w:ind w:left="4320"/>
        <w:spacing w:after="0"/>
        <w:rPr>
          <w:sz w:val="20"/>
          <w:szCs w:val="20"/>
          <w:color w:val="auto"/>
        </w:rPr>
      </w:pPr>
      <w:r>
        <w:rPr>
          <w:rFonts w:ascii="Courier New" w:cs="Courier New" w:eastAsia="Courier New" w:hAnsi="Courier New"/>
          <w:sz w:val="18"/>
          <w:szCs w:val="18"/>
          <w:color w:val="auto"/>
        </w:rPr>
        <w:t>70759</w:t>
      </w:r>
    </w:p>
    <w:p>
      <w:pPr>
        <w:ind w:left="3260"/>
        <w:spacing w:after="0" w:line="237" w:lineRule="auto"/>
        <w:rPr>
          <w:sz w:val="20"/>
          <w:szCs w:val="20"/>
          <w:color w:val="auto"/>
        </w:rPr>
      </w:pPr>
      <w:r>
        <w:rPr>
          <w:rFonts w:ascii="Courier New" w:cs="Courier New" w:eastAsia="Courier New" w:hAnsi="Courier New"/>
          <w:sz w:val="18"/>
          <w:szCs w:val="18"/>
          <w:color w:val="auto"/>
        </w:rPr>
        <w:t>120498</w:t>
      </w:r>
    </w:p>
    <w:p>
      <w:pPr>
        <w:jc w:val="right"/>
        <w:ind w:right="5059"/>
        <w:spacing w:after="0"/>
        <w:rPr>
          <w:sz w:val="20"/>
          <w:szCs w:val="20"/>
          <w:color w:val="auto"/>
        </w:rPr>
      </w:pPr>
      <w:r>
        <w:rPr>
          <w:rFonts w:ascii="Courier New" w:cs="Courier New" w:eastAsia="Courier New" w:hAnsi="Courier New"/>
          <w:sz w:val="18"/>
          <w:szCs w:val="18"/>
          <w:color w:val="auto"/>
        </w:rPr>
        <w:t>60122</w:t>
      </w:r>
    </w:p>
    <w:p>
      <w:pPr>
        <w:ind w:left="3580"/>
        <w:spacing w:after="0" w:line="237" w:lineRule="auto"/>
        <w:rPr>
          <w:sz w:val="20"/>
          <w:szCs w:val="20"/>
          <w:color w:val="auto"/>
        </w:rPr>
      </w:pPr>
      <w:r>
        <w:rPr>
          <w:rFonts w:ascii="Courier New" w:cs="Courier New" w:eastAsia="Courier New" w:hAnsi="Courier New"/>
          <w:sz w:val="18"/>
          <w:szCs w:val="18"/>
          <w:color w:val="auto"/>
        </w:rPr>
        <w:t>111800</w:t>
      </w:r>
    </w:p>
    <w:p>
      <w:pPr>
        <w:ind w:left="378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1665</w:t>
      </w:r>
    </w:p>
    <w:p>
      <w:pPr>
        <w:ind w:left="3580"/>
        <w:spacing w:after="0" w:line="237" w:lineRule="auto"/>
        <w:rPr>
          <w:sz w:val="20"/>
          <w:szCs w:val="20"/>
          <w:color w:val="auto"/>
        </w:rPr>
      </w:pPr>
      <w:r>
        <w:rPr>
          <w:rFonts w:ascii="Courier New" w:cs="Courier New" w:eastAsia="Courier New" w:hAnsi="Courier New"/>
          <w:sz w:val="18"/>
          <w:szCs w:val="18"/>
          <w:color w:val="auto"/>
        </w:rPr>
        <w:t>7306</w:t>
      </w:r>
    </w:p>
    <w:p>
      <w:pPr>
        <w:ind w:left="3900"/>
        <w:spacing w:after="0" w:line="238" w:lineRule="auto"/>
        <w:rPr>
          <w:sz w:val="20"/>
          <w:szCs w:val="20"/>
          <w:color w:val="auto"/>
        </w:rPr>
      </w:pPr>
      <w:r>
        <w:rPr>
          <w:rFonts w:ascii="Courier New" w:cs="Courier New" w:eastAsia="Courier New" w:hAnsi="Courier New"/>
          <w:sz w:val="18"/>
          <w:szCs w:val="18"/>
          <w:color w:val="auto"/>
        </w:rPr>
        <w:t>2776</w:t>
      </w:r>
    </w:p>
    <w:p>
      <w:pPr>
        <w:ind w:left="3160"/>
        <w:spacing w:after="0"/>
        <w:rPr>
          <w:sz w:val="20"/>
          <w:szCs w:val="20"/>
          <w:color w:val="auto"/>
        </w:rPr>
      </w:pPr>
      <w:r>
        <w:rPr>
          <w:rFonts w:ascii="Courier New" w:cs="Courier New" w:eastAsia="Courier New" w:hAnsi="Courier New"/>
          <w:sz w:val="18"/>
          <w:szCs w:val="18"/>
          <w:color w:val="auto"/>
        </w:rPr>
        <w:t>4530</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4530</w:t>
      </w:r>
    </w:p>
    <w:p>
      <w:pPr>
        <w:ind w:left="3780"/>
        <w:spacing w:after="0" w:line="237" w:lineRule="auto"/>
        <w:rPr>
          <w:sz w:val="20"/>
          <w:szCs w:val="20"/>
          <w:color w:val="auto"/>
        </w:rPr>
      </w:pPr>
      <w:r>
        <w:rPr>
          <w:rFonts w:ascii="Courier New" w:cs="Courier New" w:eastAsia="Courier New" w:hAnsi="Courier New"/>
          <w:sz w:val="18"/>
          <w:szCs w:val="18"/>
          <w:color w:val="auto"/>
        </w:rPr>
        <w:t>0.38</w:t>
      </w:r>
    </w:p>
    <w:p>
      <w:pPr>
        <w:ind w:left="3780"/>
        <w:spacing w:after="0" w:line="238" w:lineRule="auto"/>
        <w:rPr>
          <w:sz w:val="20"/>
          <w:szCs w:val="20"/>
          <w:color w:val="auto"/>
        </w:rPr>
      </w:pPr>
      <w:r>
        <w:rPr>
          <w:rFonts w:ascii="Courier New" w:cs="Courier New" w:eastAsia="Courier New" w:hAnsi="Courier New"/>
          <w:sz w:val="18"/>
          <w:szCs w:val="18"/>
          <w:color w:val="auto"/>
        </w:rPr>
        <w:t>0.38</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a"/>
      <w:numFmt w:val="bullet"/>
      <w:start w:val="1"/>
    </w:lvl>
  </w:abstractNum>
  <w:abstractNum w:abstractNumId="2">
    <w:nsid w:val="7545E146"/>
    <w:multiLevelType w:val="hybridMultilevel"/>
    <w:lvl w:ilvl="0">
      <w:lvlJc w:val="left"/>
      <w:lvlText w:val="a"/>
      <w:numFmt w:val="bullet"/>
      <w:start w:val="1"/>
    </w:lvl>
  </w:abstractNum>
  <w:abstractNum w:abstractNumId="3">
    <w:nsid w:val="515F007C"/>
    <w:multiLevelType w:val="hybridMultilevel"/>
    <w:lvl w:ilvl="0">
      <w:lvlJc w:val="left"/>
      <w:lvlText w:val="b"/>
      <w:numFmt w:val="bullet"/>
      <w:start w:val="1"/>
    </w:lvl>
  </w:abstractNum>
  <w:abstractNum w:abstractNumId="4">
    <w:nsid w:val="5BD062C2"/>
    <w:multiLevelType w:val="hybridMultilevel"/>
    <w:lvl w:ilvl="0">
      <w:lvlJc w:val="left"/>
      <w:lvlText w:val="c"/>
      <w:numFmt w:val="bullet"/>
      <w:start w:val="1"/>
    </w:lvl>
  </w:abstractNum>
  <w:abstractNum w:abstractNumId="5">
    <w:nsid w:val="12200854"/>
    <w:multiLevelType w:val="hybridMultilevel"/>
    <w:lvl w:ilvl="0">
      <w:lvlJc w:val="left"/>
      <w:lvlText w:val="a"/>
      <w:numFmt w:val="bullet"/>
      <w:start w:val="1"/>
    </w:lvl>
  </w:abstractNum>
  <w:abstractNum w:abstractNumId="6">
    <w:nsid w:val="4DB127F8"/>
    <w:multiLevelType w:val="hybridMultilevel"/>
    <w:lvl w:ilvl="0">
      <w:lvlJc w:val="left"/>
      <w:lvlText w:val="b"/>
      <w:numFmt w:val="bullet"/>
      <w:start w:val="1"/>
    </w:lvl>
  </w:abstractNum>
  <w:abstractNum w:abstractNumId="7">
    <w:nsid w:val="216231B"/>
    <w:multiLevelType w:val="hybridMultilevel"/>
    <w:lvl w:ilvl="0">
      <w:lvlJc w:val="left"/>
      <w:lvlText w:val="c"/>
      <w:numFmt w:val="bullet"/>
      <w:start w:val="1"/>
    </w:lvl>
  </w:abstractNum>
  <w:abstractNum w:abstractNumId="8">
    <w:nsid w:val="1F16E9E8"/>
    <w:multiLevelType w:val="hybridMultilevel"/>
    <w:lvl w:ilvl="0">
      <w:lvlJc w:val="left"/>
      <w:lvlText w:val="%1"/>
      <w:numFmt w:val="decimal"/>
      <w:start w:val="210"/>
    </w:lvl>
  </w:abstractNum>
  <w:abstractNum w:abstractNumId="9">
    <w:nsid w:val="1190CDE7"/>
    <w:multiLevelType w:val="hybridMultilevel"/>
    <w:lvl w:ilvl="0">
      <w:lvlJc w:val="left"/>
      <w:lvlText w:val="A"/>
      <w:numFmt w:val="bullet"/>
      <w:start w:val="1"/>
    </w:lvl>
  </w:abstractNum>
  <w:abstractNum w:abstractNumId="10">
    <w:nsid w:val="66EF438D"/>
    <w:multiLevelType w:val="hybridMultilevel"/>
    <w:lvl w:ilvl="0">
      <w:lvlJc w:val="left"/>
      <w:lvlText w:val="a"/>
      <w:numFmt w:val="bullet"/>
      <w:start w:val="1"/>
    </w:lvl>
  </w:abstractNum>
  <w:abstractNum w:abstractNumId="11">
    <w:nsid w:val="140E0F76"/>
    <w:multiLevelType w:val="hybridMultilevel"/>
    <w:lvl w:ilvl="0">
      <w:lvlJc w:val="left"/>
      <w:lvlText w:val="%1"/>
      <w:numFmt w:val="decimal"/>
      <w:start w:val="100"/>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2020-02-23T10:20:59Z</dcterms:created>
  <dcterms:modified xsi:type="dcterms:W3CDTF">2020-02-23T10:20:59Z</dcterms:modified>
</cp:coreProperties>
</file>