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302301106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5320" w:hanging="217"/>
        <w:spacing w:after="0"/>
        <w:tabs>
          <w:tab w:leader="none" w:pos="53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ind w:left="5320" w:hanging="212"/>
        <w:spacing w:after="0"/>
        <w:tabs>
          <w:tab w:leader="none" w:pos="5320" w:val="left"/>
        </w:tabs>
        <w:numPr>
          <w:ilvl w:val="2"/>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9" w:lineRule="exact"/>
        <w:rPr>
          <w:rFonts w:ascii="MS PGothic" w:cs="MS PGothic" w:eastAsia="MS PGothic" w:hAnsi="MS PGothic"/>
          <w:sz w:val="18"/>
          <w:szCs w:val="18"/>
          <w:color w:val="auto"/>
        </w:rPr>
      </w:pPr>
    </w:p>
    <w:p>
      <w:pPr>
        <w:ind w:left="5320" w:hanging="217"/>
        <w:spacing w:after="0"/>
        <w:tabs>
          <w:tab w:leader="none" w:pos="5320" w:val="left"/>
        </w:tabs>
        <w:numPr>
          <w:ilvl w:val="2"/>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36" w:lineRule="exact"/>
        <w:rPr>
          <w:rFonts w:ascii="MS PGothic" w:cs="MS PGothic" w:eastAsia="MS PGothic" w:hAnsi="MS PGothic"/>
          <w:sz w:val="18"/>
          <w:szCs w:val="18"/>
          <w:color w:val="auto"/>
        </w:rPr>
      </w:pPr>
    </w:p>
    <w:p>
      <w:pPr>
        <w:ind w:right="200"/>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396240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302301106</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tcPr>
          <w:p>
            <w:pPr>
              <w:spacing w:after="0"/>
              <w:rPr>
                <w:sz w:val="22"/>
                <w:szCs w:val="22"/>
                <w:color w:val="auto"/>
              </w:rPr>
            </w:pPr>
          </w:p>
        </w:tc>
        <w:tc>
          <w:tcPr>
            <w:tcW w:w="99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I.R.S. IDENTIFICATION NO. OF ABOVE PERSON (ENTITIES ONLY)</w:t>
            </w: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vMerge w:val="continue"/>
          </w:tcPr>
          <w:p>
            <w:pPr>
              <w:spacing w:after="0"/>
              <w:rPr>
                <w:sz w:val="18"/>
                <w:szCs w:val="18"/>
                <w:color w:val="auto"/>
              </w:rPr>
            </w:pPr>
          </w:p>
        </w:tc>
        <w:tc>
          <w:tcPr>
            <w:tcW w:w="9900" w:type="dxa"/>
            <w:vAlign w:val="bottom"/>
            <w:gridSpan w:val="5"/>
            <w:vMerge w:val="restart"/>
          </w:tcPr>
          <w:p>
            <w:pPr>
              <w:ind w:left="40"/>
              <w:spacing w:after="0"/>
              <w:rPr>
                <w:sz w:val="20"/>
                <w:szCs w:val="20"/>
                <w:color w:val="auto"/>
              </w:rPr>
            </w:pPr>
            <w:r>
              <w:rPr>
                <w:rFonts w:ascii="Arial" w:cs="Arial" w:eastAsia="Arial" w:hAnsi="Arial"/>
                <w:sz w:val="18"/>
                <w:szCs w:val="18"/>
                <w:color w:val="auto"/>
              </w:rPr>
              <w:t>Wolverine Asset Management, LLC</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400" w:type="dxa"/>
            <w:vAlign w:val="bottom"/>
            <w:tcBorders>
              <w:left w:val="single" w:sz="8" w:color="auto"/>
              <w:right w:val="single" w:sz="8" w:color="auto"/>
            </w:tcBorders>
          </w:tcPr>
          <w:p>
            <w:pPr>
              <w:spacing w:after="0"/>
              <w:rPr>
                <w:sz w:val="16"/>
                <w:szCs w:val="16"/>
                <w:color w:val="auto"/>
              </w:rPr>
            </w:pPr>
          </w:p>
        </w:tc>
        <w:tc>
          <w:tcPr>
            <w:tcW w:w="9900" w:type="dxa"/>
            <w:vAlign w:val="bottom"/>
            <w:gridSpan w:val="5"/>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46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846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846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Illinois</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8460" w:type="dxa"/>
            <w:vAlign w:val="bottom"/>
            <w:vMerge w:val="restart"/>
          </w:tcPr>
          <w:p>
            <w:pPr>
              <w:ind w:left="40"/>
              <w:spacing w:after="0"/>
              <w:rPr>
                <w:sz w:val="20"/>
                <w:szCs w:val="20"/>
                <w:color w:val="auto"/>
              </w:rPr>
            </w:pPr>
            <w:r>
              <w:rPr>
                <w:rFonts w:ascii="Arial" w:cs="Arial" w:eastAsia="Arial" w:hAnsi="Arial"/>
                <w:sz w:val="18"/>
                <w:szCs w:val="18"/>
                <w:color w:val="auto"/>
              </w:rPr>
              <w:t>2,871,975</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8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85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8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56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8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400" w:type="dxa"/>
            <w:vAlign w:val="bottom"/>
            <w:tcBorders>
              <w:left w:val="single" w:sz="8" w:color="auto"/>
            </w:tcBorders>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60" w:type="dxa"/>
            <w:vAlign w:val="bottom"/>
          </w:tcPr>
          <w:p>
            <w:pPr>
              <w:ind w:left="40"/>
              <w:spacing w:after="0"/>
              <w:rPr>
                <w:sz w:val="20"/>
                <w:szCs w:val="20"/>
                <w:color w:val="auto"/>
              </w:rPr>
            </w:pPr>
            <w:r>
              <w:rPr>
                <w:rFonts w:ascii="Arial" w:cs="Arial" w:eastAsia="Arial" w:hAnsi="Arial"/>
                <w:sz w:val="18"/>
                <w:szCs w:val="18"/>
                <w:color w:val="auto"/>
              </w:rPr>
              <w:t>2,871,975</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97"/>
              </w:rPr>
              <w:t>2,871,975</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8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40"/>
              <w:spacing w:after="0"/>
              <w:rPr>
                <w:sz w:val="20"/>
                <w:szCs w:val="20"/>
                <w:color w:val="auto"/>
              </w:rPr>
            </w:pPr>
            <w:r>
              <w:rPr>
                <w:rFonts w:ascii="Arial" w:cs="Arial" w:eastAsia="Arial" w:hAnsi="Arial"/>
                <w:sz w:val="18"/>
                <w:szCs w:val="18"/>
                <w:color w:val="auto"/>
              </w:rPr>
              <w:t>5.2% * (see Item 4)</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IA</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*Percentage calculated by dividing (i) the sum of 2,871,975 shares of common stock receivable upon conversion of convertible notes of the Issuer plus (ii) the sum of (a) 54,475,070 (the number of shares of common stock outstanding as of January 25, 2019, as reported in the Issuer's Form 10-Q filed on January 30, 2019) and (b) 2,871,975 (the number of shares of common stock receivable upon conversion of convertible notes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CUSIP No.: 302301106</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tcPr>
          <w:p>
            <w:pPr>
              <w:spacing w:after="0"/>
              <w:rPr>
                <w:sz w:val="22"/>
                <w:szCs w:val="22"/>
                <w:color w:val="auto"/>
              </w:rPr>
            </w:pPr>
          </w:p>
        </w:tc>
        <w:tc>
          <w:tcPr>
            <w:tcW w:w="99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I.R.S. IDENTIFICATION NO. OF ABOVE PERSON (ENTITIES ONLY)</w:t>
            </w: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vMerge w:val="continue"/>
          </w:tcPr>
          <w:p>
            <w:pPr>
              <w:spacing w:after="0"/>
              <w:rPr>
                <w:sz w:val="18"/>
                <w:szCs w:val="18"/>
                <w:color w:val="auto"/>
              </w:rPr>
            </w:pPr>
          </w:p>
        </w:tc>
        <w:tc>
          <w:tcPr>
            <w:tcW w:w="9900" w:type="dxa"/>
            <w:vAlign w:val="bottom"/>
            <w:gridSpan w:val="5"/>
            <w:vMerge w:val="restart"/>
          </w:tcPr>
          <w:p>
            <w:pPr>
              <w:ind w:left="40"/>
              <w:spacing w:after="0"/>
              <w:rPr>
                <w:sz w:val="20"/>
                <w:szCs w:val="20"/>
                <w:color w:val="auto"/>
              </w:rPr>
            </w:pPr>
            <w:r>
              <w:rPr>
                <w:rFonts w:ascii="Arial" w:cs="Arial" w:eastAsia="Arial" w:hAnsi="Arial"/>
                <w:sz w:val="18"/>
                <w:szCs w:val="18"/>
                <w:color w:val="auto"/>
              </w:rPr>
              <w:t>Wolverine Holdings, L.P.</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400" w:type="dxa"/>
            <w:vAlign w:val="bottom"/>
            <w:tcBorders>
              <w:left w:val="single" w:sz="8" w:color="auto"/>
              <w:right w:val="single" w:sz="8" w:color="auto"/>
            </w:tcBorders>
          </w:tcPr>
          <w:p>
            <w:pPr>
              <w:spacing w:after="0"/>
              <w:rPr>
                <w:sz w:val="16"/>
                <w:szCs w:val="16"/>
                <w:color w:val="auto"/>
              </w:rPr>
            </w:pPr>
          </w:p>
        </w:tc>
        <w:tc>
          <w:tcPr>
            <w:tcW w:w="9900" w:type="dxa"/>
            <w:vAlign w:val="bottom"/>
            <w:gridSpan w:val="5"/>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46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846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846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Illinois</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8460" w:type="dxa"/>
            <w:vAlign w:val="bottom"/>
            <w:vMerge w:val="restart"/>
          </w:tcPr>
          <w:p>
            <w:pPr>
              <w:ind w:left="40"/>
              <w:spacing w:after="0"/>
              <w:rPr>
                <w:sz w:val="20"/>
                <w:szCs w:val="20"/>
                <w:color w:val="auto"/>
              </w:rPr>
            </w:pPr>
            <w:r>
              <w:rPr>
                <w:rFonts w:ascii="Arial" w:cs="Arial" w:eastAsia="Arial" w:hAnsi="Arial"/>
                <w:sz w:val="18"/>
                <w:szCs w:val="18"/>
                <w:color w:val="auto"/>
              </w:rPr>
              <w:t>2,874,675</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8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85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8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56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8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400" w:type="dxa"/>
            <w:vAlign w:val="bottom"/>
            <w:tcBorders>
              <w:left w:val="single" w:sz="8" w:color="auto"/>
            </w:tcBorders>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60" w:type="dxa"/>
            <w:vAlign w:val="bottom"/>
          </w:tcPr>
          <w:p>
            <w:pPr>
              <w:ind w:left="40"/>
              <w:spacing w:after="0"/>
              <w:rPr>
                <w:sz w:val="20"/>
                <w:szCs w:val="20"/>
                <w:color w:val="auto"/>
              </w:rPr>
            </w:pPr>
            <w:r>
              <w:rPr>
                <w:rFonts w:ascii="Arial" w:cs="Arial" w:eastAsia="Arial" w:hAnsi="Arial"/>
                <w:sz w:val="18"/>
                <w:szCs w:val="18"/>
                <w:color w:val="auto"/>
              </w:rPr>
              <w:t>2,874,675</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97"/>
              </w:rPr>
              <w:t>2,874,675</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8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40"/>
              <w:spacing w:after="0"/>
              <w:rPr>
                <w:sz w:val="20"/>
                <w:szCs w:val="20"/>
                <w:color w:val="auto"/>
              </w:rPr>
            </w:pPr>
            <w:r>
              <w:rPr>
                <w:rFonts w:ascii="Arial" w:cs="Arial" w:eastAsia="Arial" w:hAnsi="Arial"/>
                <w:sz w:val="18"/>
                <w:szCs w:val="18"/>
                <w:color w:val="auto"/>
              </w:rPr>
              <w:t>5.2%* (see Item 4)</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HC</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8"/>
        <w:spacing w:after="0" w:line="291" w:lineRule="auto"/>
        <w:tabs>
          <w:tab w:leader="none" w:pos="135" w:val="left"/>
        </w:tabs>
        <w:numPr>
          <w:ilvl w:val="0"/>
          <w:numId w:val="2"/>
        </w:numPr>
        <w:rPr>
          <w:rFonts w:ascii="Arial" w:cs="Arial" w:eastAsia="Arial" w:hAnsi="Arial"/>
          <w:sz w:val="16"/>
          <w:szCs w:val="16"/>
          <w:color w:val="auto"/>
        </w:rPr>
      </w:pPr>
      <w:r>
        <w:rPr>
          <w:rFonts w:ascii="Arial" w:cs="Arial" w:eastAsia="Arial" w:hAnsi="Arial"/>
          <w:sz w:val="16"/>
          <w:szCs w:val="16"/>
          <w:color w:val="auto"/>
        </w:rPr>
        <w:t>Percentage calculated by dividing (i) the sum of (a) 300 shares of common stock of the Issuer plus (b) 2,400 shares of common stock receivable upon exercise of options of the Issuer plus (c) 2,871,975 shares of common stock receivable upon conversion of convertible notes of the Issuer plus (ii) the sum of</w:t>
      </w:r>
    </w:p>
    <w:p>
      <w:pPr>
        <w:ind w:right="200"/>
        <w:spacing w:after="0" w:line="255" w:lineRule="auto"/>
        <w:rPr>
          <w:rFonts w:ascii="Arial" w:cs="Arial" w:eastAsia="Arial" w:hAnsi="Arial"/>
          <w:sz w:val="16"/>
          <w:szCs w:val="16"/>
          <w:color w:val="auto"/>
        </w:rPr>
      </w:pPr>
      <w:r>
        <w:rPr>
          <w:rFonts w:ascii="Arial" w:cs="Arial" w:eastAsia="Arial" w:hAnsi="Arial"/>
          <w:sz w:val="18"/>
          <w:szCs w:val="18"/>
          <w:color w:val="auto"/>
        </w:rPr>
        <w:t>(a) 52,475,070 (the number of shares of common stock outstanding as of January 25, 2019, as reported in the Issuer's Form 10-Q filed on January 30, 2019) and (b) 2,871,275 (the number of shares of common stock receivable upon conversion of convertible notes of the Issuer) plus (c) 2,400 shares of common stock receivable upon exercise of options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CUSIP No.: 302301106</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tcPr>
          <w:p>
            <w:pPr>
              <w:spacing w:after="0"/>
              <w:rPr>
                <w:sz w:val="22"/>
                <w:szCs w:val="22"/>
                <w:color w:val="auto"/>
              </w:rPr>
            </w:pPr>
          </w:p>
        </w:tc>
        <w:tc>
          <w:tcPr>
            <w:tcW w:w="99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I.R.S. IDENTIFICATION NO. OF ABOVE PERSON (ENTITIES ONLY)</w:t>
            </w: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vMerge w:val="continue"/>
          </w:tcPr>
          <w:p>
            <w:pPr>
              <w:spacing w:after="0"/>
              <w:rPr>
                <w:sz w:val="18"/>
                <w:szCs w:val="18"/>
                <w:color w:val="auto"/>
              </w:rPr>
            </w:pPr>
          </w:p>
        </w:tc>
        <w:tc>
          <w:tcPr>
            <w:tcW w:w="9900" w:type="dxa"/>
            <w:vAlign w:val="bottom"/>
            <w:gridSpan w:val="5"/>
            <w:vMerge w:val="restart"/>
          </w:tcPr>
          <w:p>
            <w:pPr>
              <w:ind w:left="40"/>
              <w:spacing w:after="0"/>
              <w:rPr>
                <w:sz w:val="20"/>
                <w:szCs w:val="20"/>
                <w:color w:val="auto"/>
              </w:rPr>
            </w:pPr>
            <w:r>
              <w:rPr>
                <w:rFonts w:ascii="Arial" w:cs="Arial" w:eastAsia="Arial" w:hAnsi="Arial"/>
                <w:sz w:val="18"/>
                <w:szCs w:val="18"/>
                <w:color w:val="auto"/>
              </w:rPr>
              <w:t>Wolverine Trading Partners, Inc.</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400" w:type="dxa"/>
            <w:vAlign w:val="bottom"/>
            <w:tcBorders>
              <w:left w:val="single" w:sz="8" w:color="auto"/>
              <w:right w:val="single" w:sz="8" w:color="auto"/>
            </w:tcBorders>
          </w:tcPr>
          <w:p>
            <w:pPr>
              <w:spacing w:after="0"/>
              <w:rPr>
                <w:sz w:val="16"/>
                <w:szCs w:val="16"/>
                <w:color w:val="auto"/>
              </w:rPr>
            </w:pPr>
          </w:p>
        </w:tc>
        <w:tc>
          <w:tcPr>
            <w:tcW w:w="9900" w:type="dxa"/>
            <w:vAlign w:val="bottom"/>
            <w:gridSpan w:val="5"/>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46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846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846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Illinois</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8460" w:type="dxa"/>
            <w:vAlign w:val="bottom"/>
            <w:vMerge w:val="restart"/>
          </w:tcPr>
          <w:p>
            <w:pPr>
              <w:ind w:left="40"/>
              <w:spacing w:after="0"/>
              <w:rPr>
                <w:sz w:val="20"/>
                <w:szCs w:val="20"/>
                <w:color w:val="auto"/>
              </w:rPr>
            </w:pPr>
            <w:r>
              <w:rPr>
                <w:rFonts w:ascii="Arial" w:cs="Arial" w:eastAsia="Arial" w:hAnsi="Arial"/>
                <w:sz w:val="18"/>
                <w:szCs w:val="18"/>
                <w:color w:val="auto"/>
              </w:rPr>
              <w:t>2,874,675</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8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85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8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56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8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400" w:type="dxa"/>
            <w:vAlign w:val="bottom"/>
            <w:tcBorders>
              <w:left w:val="single" w:sz="8" w:color="auto"/>
            </w:tcBorders>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60" w:type="dxa"/>
            <w:vAlign w:val="bottom"/>
          </w:tcPr>
          <w:p>
            <w:pPr>
              <w:ind w:left="40"/>
              <w:spacing w:after="0"/>
              <w:rPr>
                <w:sz w:val="20"/>
                <w:szCs w:val="20"/>
                <w:color w:val="auto"/>
              </w:rPr>
            </w:pPr>
            <w:r>
              <w:rPr>
                <w:rFonts w:ascii="Arial" w:cs="Arial" w:eastAsia="Arial" w:hAnsi="Arial"/>
                <w:sz w:val="18"/>
                <w:szCs w:val="18"/>
                <w:color w:val="auto"/>
              </w:rPr>
              <w:t>2,874,675</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97"/>
              </w:rPr>
              <w:t>2,874,675</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8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40"/>
              <w:spacing w:after="0"/>
              <w:rPr>
                <w:sz w:val="20"/>
                <w:szCs w:val="20"/>
                <w:color w:val="auto"/>
              </w:rPr>
            </w:pPr>
            <w:r>
              <w:rPr>
                <w:rFonts w:ascii="Arial" w:cs="Arial" w:eastAsia="Arial" w:hAnsi="Arial"/>
                <w:sz w:val="18"/>
                <w:szCs w:val="18"/>
                <w:color w:val="auto"/>
              </w:rPr>
              <w:t>5.2%* (see Item 4)</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CO/HC</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firstLine="8"/>
        <w:spacing w:after="0" w:line="291" w:lineRule="auto"/>
        <w:tabs>
          <w:tab w:leader="none" w:pos="135" w:val="left"/>
        </w:tabs>
        <w:numPr>
          <w:ilvl w:val="0"/>
          <w:numId w:val="3"/>
        </w:numPr>
        <w:rPr>
          <w:rFonts w:ascii="Arial" w:cs="Arial" w:eastAsia="Arial" w:hAnsi="Arial"/>
          <w:sz w:val="16"/>
          <w:szCs w:val="16"/>
          <w:color w:val="auto"/>
        </w:rPr>
      </w:pPr>
      <w:r>
        <w:rPr>
          <w:rFonts w:ascii="Arial" w:cs="Arial" w:eastAsia="Arial" w:hAnsi="Arial"/>
          <w:sz w:val="16"/>
          <w:szCs w:val="16"/>
          <w:color w:val="auto"/>
        </w:rPr>
        <w:t>Percentage calculated by dividing (i) the sum of (a) 300 shares of common stock of the Issuer plus (b) 2,400 shares of common stock receivable upon exercise of options of the Issuer plus (c) 2,871,975 shares of common stock receivable upon conversion of convertible notes of the Issuer plus (ii) the sum of</w:t>
      </w:r>
    </w:p>
    <w:p>
      <w:pPr>
        <w:ind w:right="200"/>
        <w:spacing w:after="0" w:line="255" w:lineRule="auto"/>
        <w:rPr>
          <w:rFonts w:ascii="Arial" w:cs="Arial" w:eastAsia="Arial" w:hAnsi="Arial"/>
          <w:sz w:val="16"/>
          <w:szCs w:val="16"/>
          <w:color w:val="auto"/>
        </w:rPr>
      </w:pPr>
      <w:r>
        <w:rPr>
          <w:rFonts w:ascii="Arial" w:cs="Arial" w:eastAsia="Arial" w:hAnsi="Arial"/>
          <w:sz w:val="18"/>
          <w:szCs w:val="18"/>
          <w:color w:val="auto"/>
        </w:rPr>
        <w:t>(a) 52,475,070 (the number of shares of common stock outstanding as of January 25, 2019, as reported in the Issuer's Form 10-Q filed on January 30, 2019) and (b) 2,871,275 (the number of shares of common stock receivable upon conversion of convertible notes of the Issuer) plus (c) 2,400 shares of common stock receivable upon exercise of options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CUSIP No.: 302301106</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tcPr>
          <w:p>
            <w:pPr>
              <w:spacing w:after="0"/>
              <w:rPr>
                <w:sz w:val="22"/>
                <w:szCs w:val="22"/>
                <w:color w:val="auto"/>
              </w:rPr>
            </w:pPr>
          </w:p>
        </w:tc>
        <w:tc>
          <w:tcPr>
            <w:tcW w:w="99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I.R.S. IDENTIFICATION NO. OF ABOVE PERSON (ENTITIES ONLY)</w:t>
            </w: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vMerge w:val="continue"/>
          </w:tcPr>
          <w:p>
            <w:pPr>
              <w:spacing w:after="0"/>
              <w:rPr>
                <w:sz w:val="18"/>
                <w:szCs w:val="18"/>
                <w:color w:val="auto"/>
              </w:rPr>
            </w:pPr>
          </w:p>
        </w:tc>
        <w:tc>
          <w:tcPr>
            <w:tcW w:w="9900" w:type="dxa"/>
            <w:vAlign w:val="bottom"/>
            <w:gridSpan w:val="5"/>
            <w:vMerge w:val="restart"/>
          </w:tcPr>
          <w:p>
            <w:pPr>
              <w:ind w:left="40"/>
              <w:spacing w:after="0"/>
              <w:rPr>
                <w:sz w:val="20"/>
                <w:szCs w:val="20"/>
                <w:color w:val="auto"/>
              </w:rPr>
            </w:pPr>
            <w:r>
              <w:rPr>
                <w:rFonts w:ascii="Arial" w:cs="Arial" w:eastAsia="Arial" w:hAnsi="Arial"/>
                <w:sz w:val="18"/>
                <w:szCs w:val="18"/>
                <w:color w:val="auto"/>
              </w:rPr>
              <w:t>Christopher L. Gust</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400" w:type="dxa"/>
            <w:vAlign w:val="bottom"/>
            <w:tcBorders>
              <w:left w:val="single" w:sz="8" w:color="auto"/>
              <w:right w:val="single" w:sz="8" w:color="auto"/>
            </w:tcBorders>
          </w:tcPr>
          <w:p>
            <w:pPr>
              <w:spacing w:after="0"/>
              <w:rPr>
                <w:sz w:val="16"/>
                <w:szCs w:val="16"/>
                <w:color w:val="auto"/>
              </w:rPr>
            </w:pPr>
          </w:p>
        </w:tc>
        <w:tc>
          <w:tcPr>
            <w:tcW w:w="9900" w:type="dxa"/>
            <w:vAlign w:val="bottom"/>
            <w:gridSpan w:val="5"/>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46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846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20" w:type="dxa"/>
            <w:vAlign w:val="bottom"/>
            <w:tcBorders>
              <w:bottom w:val="single" w:sz="8" w:color="auto"/>
            </w:tcBorders>
            <w:shd w:val="clear" w:color="auto" w:fill="BFBFBF"/>
          </w:tcPr>
          <w:p>
            <w:pPr>
              <w:spacing w:after="0"/>
              <w:rPr>
                <w:sz w:val="23"/>
                <w:szCs w:val="23"/>
                <w:color w:val="auto"/>
              </w:rPr>
            </w:pPr>
          </w:p>
        </w:tc>
        <w:tc>
          <w:tcPr>
            <w:tcW w:w="460" w:type="dxa"/>
            <w:vAlign w:val="bottom"/>
            <w:tcBorders>
              <w:bottom w:val="single" w:sz="8" w:color="auto"/>
              <w:right w:val="single" w:sz="8" w:color="BFBFBF"/>
            </w:tcBorders>
            <w:shd w:val="clear" w:color="auto" w:fill="BFBFBF"/>
          </w:tcPr>
          <w:p>
            <w:pPr>
              <w:spacing w:after="0"/>
              <w:rPr>
                <w:sz w:val="23"/>
                <w:szCs w:val="23"/>
                <w:color w:val="auto"/>
              </w:rPr>
            </w:pPr>
          </w:p>
        </w:tc>
        <w:tc>
          <w:tcPr>
            <w:tcW w:w="846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w w:val="96"/>
              </w:rPr>
              <w:t>US Citizen</w:t>
            </w:r>
          </w:p>
        </w:tc>
        <w:tc>
          <w:tcPr>
            <w:tcW w:w="46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8460" w:type="dxa"/>
            <w:vAlign w:val="bottom"/>
            <w:vMerge w:val="restart"/>
          </w:tcPr>
          <w:p>
            <w:pPr>
              <w:ind w:left="40"/>
              <w:spacing w:after="0"/>
              <w:rPr>
                <w:sz w:val="20"/>
                <w:szCs w:val="20"/>
                <w:color w:val="auto"/>
              </w:rPr>
            </w:pPr>
            <w:r>
              <w:rPr>
                <w:rFonts w:ascii="Arial" w:cs="Arial" w:eastAsia="Arial" w:hAnsi="Arial"/>
                <w:sz w:val="18"/>
                <w:szCs w:val="18"/>
                <w:color w:val="auto"/>
              </w:rPr>
              <w:t>2,874,675</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8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85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2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56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8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400" w:type="dxa"/>
            <w:vAlign w:val="bottom"/>
            <w:tcBorders>
              <w:left w:val="single" w:sz="8" w:color="auto"/>
            </w:tcBorders>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8460" w:type="dxa"/>
            <w:vAlign w:val="bottom"/>
          </w:tcPr>
          <w:p>
            <w:pPr>
              <w:ind w:left="40"/>
              <w:spacing w:after="0"/>
              <w:rPr>
                <w:sz w:val="20"/>
                <w:szCs w:val="20"/>
                <w:color w:val="auto"/>
              </w:rPr>
            </w:pPr>
            <w:r>
              <w:rPr>
                <w:rFonts w:ascii="Arial" w:cs="Arial" w:eastAsia="Arial" w:hAnsi="Arial"/>
                <w:sz w:val="18"/>
                <w:szCs w:val="18"/>
                <w:color w:val="auto"/>
              </w:rPr>
              <w:t>2,874,675</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2,874,675</w:t>
            </w:r>
          </w:p>
        </w:tc>
        <w:tc>
          <w:tcPr>
            <w:tcW w:w="46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8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40"/>
              <w:spacing w:after="0"/>
              <w:rPr>
                <w:sz w:val="20"/>
                <w:szCs w:val="20"/>
                <w:color w:val="auto"/>
              </w:rPr>
            </w:pPr>
            <w:r>
              <w:rPr>
                <w:rFonts w:ascii="Arial" w:cs="Arial" w:eastAsia="Arial" w:hAnsi="Arial"/>
                <w:sz w:val="18"/>
                <w:szCs w:val="18"/>
                <w:color w:val="auto"/>
              </w:rPr>
              <w:t>5.2%* (see Item 4)</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IN/HC</w:t>
            </w:r>
          </w:p>
        </w:tc>
        <w:tc>
          <w:tcPr>
            <w:tcW w:w="46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8"/>
        <w:spacing w:after="0" w:line="291" w:lineRule="auto"/>
        <w:tabs>
          <w:tab w:leader="none" w:pos="135" w:val="left"/>
        </w:tabs>
        <w:numPr>
          <w:ilvl w:val="0"/>
          <w:numId w:val="4"/>
        </w:numPr>
        <w:rPr>
          <w:rFonts w:ascii="Arial" w:cs="Arial" w:eastAsia="Arial" w:hAnsi="Arial"/>
          <w:sz w:val="16"/>
          <w:szCs w:val="16"/>
          <w:color w:val="auto"/>
        </w:rPr>
      </w:pPr>
      <w:r>
        <w:rPr>
          <w:rFonts w:ascii="Arial" w:cs="Arial" w:eastAsia="Arial" w:hAnsi="Arial"/>
          <w:sz w:val="16"/>
          <w:szCs w:val="16"/>
          <w:color w:val="auto"/>
        </w:rPr>
        <w:t>Percentage calculated by dividing (i) the sum of (a) 300 shares of common stock of the Issuer plus (b) 2,400 shares of common stock receivable upon exercise of options of the Issuer plus (c) 2,871,975 shares of common stock receivable upon conversion of convertible notes of the Issuer plus (ii) the sum of</w:t>
      </w:r>
    </w:p>
    <w:p>
      <w:pPr>
        <w:ind w:right="200"/>
        <w:spacing w:after="0" w:line="255" w:lineRule="auto"/>
        <w:rPr>
          <w:rFonts w:ascii="Arial" w:cs="Arial" w:eastAsia="Arial" w:hAnsi="Arial"/>
          <w:sz w:val="16"/>
          <w:szCs w:val="16"/>
          <w:color w:val="auto"/>
        </w:rPr>
      </w:pPr>
      <w:r>
        <w:rPr>
          <w:rFonts w:ascii="Arial" w:cs="Arial" w:eastAsia="Arial" w:hAnsi="Arial"/>
          <w:sz w:val="18"/>
          <w:szCs w:val="18"/>
          <w:color w:val="auto"/>
        </w:rPr>
        <w:t>(a) 52,475,070 (the number of shares of common stock outstanding as of January 25, 2019, as reported in the Issuer's Form 10-Q filed on January 30, 2019) and (b) 2,871,275 (the number of shares of common stock receivable upon conversion of convertible notes of the Issuer) plus (c) 2,400 shares of common stock receivable upon exercise of options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CUSIP No.: 302301106</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tcPr>
          <w:p>
            <w:pPr>
              <w:spacing w:after="0"/>
              <w:rPr>
                <w:sz w:val="22"/>
                <w:szCs w:val="22"/>
                <w:color w:val="auto"/>
              </w:rPr>
            </w:pPr>
          </w:p>
        </w:tc>
        <w:tc>
          <w:tcPr>
            <w:tcW w:w="99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I.R.S. IDENTIFICATION NO. OF ABOVE PERSON (ENTITIES ONLY)</w:t>
            </w: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vMerge w:val="continue"/>
          </w:tcPr>
          <w:p>
            <w:pPr>
              <w:spacing w:after="0"/>
              <w:rPr>
                <w:sz w:val="18"/>
                <w:szCs w:val="18"/>
                <w:color w:val="auto"/>
              </w:rPr>
            </w:pPr>
          </w:p>
        </w:tc>
        <w:tc>
          <w:tcPr>
            <w:tcW w:w="1340" w:type="dxa"/>
            <w:vAlign w:val="bottom"/>
            <w:gridSpan w:val="3"/>
            <w:vMerge w:val="restart"/>
          </w:tcPr>
          <w:p>
            <w:pPr>
              <w:ind w:left="40"/>
              <w:spacing w:after="0"/>
              <w:rPr>
                <w:sz w:val="20"/>
                <w:szCs w:val="20"/>
                <w:color w:val="auto"/>
              </w:rPr>
            </w:pPr>
            <w:r>
              <w:rPr>
                <w:rFonts w:ascii="Arial" w:cs="Arial" w:eastAsia="Arial" w:hAnsi="Arial"/>
                <w:sz w:val="18"/>
                <w:szCs w:val="18"/>
                <w:color w:val="auto"/>
                <w:w w:val="93"/>
              </w:rPr>
              <w:t>Robert R. Bellick</w:t>
            </w:r>
          </w:p>
        </w:tc>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400" w:type="dxa"/>
            <w:vAlign w:val="bottom"/>
            <w:tcBorders>
              <w:left w:val="single" w:sz="8" w:color="auto"/>
              <w:right w:val="single" w:sz="8" w:color="auto"/>
            </w:tcBorders>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8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46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846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20" w:type="dxa"/>
            <w:vAlign w:val="bottom"/>
            <w:tcBorders>
              <w:bottom w:val="single" w:sz="8" w:color="auto"/>
            </w:tcBorders>
            <w:shd w:val="clear" w:color="auto" w:fill="BFBFBF"/>
          </w:tcPr>
          <w:p>
            <w:pPr>
              <w:spacing w:after="0"/>
              <w:rPr>
                <w:sz w:val="23"/>
                <w:szCs w:val="23"/>
                <w:color w:val="auto"/>
              </w:rPr>
            </w:pPr>
          </w:p>
        </w:tc>
        <w:tc>
          <w:tcPr>
            <w:tcW w:w="460" w:type="dxa"/>
            <w:vAlign w:val="bottom"/>
            <w:tcBorders>
              <w:bottom w:val="single" w:sz="8" w:color="auto"/>
              <w:right w:val="single" w:sz="8" w:color="BFBFBF"/>
            </w:tcBorders>
            <w:shd w:val="clear" w:color="auto" w:fill="BFBFBF"/>
          </w:tcPr>
          <w:p>
            <w:pPr>
              <w:spacing w:after="0"/>
              <w:rPr>
                <w:sz w:val="23"/>
                <w:szCs w:val="23"/>
                <w:color w:val="auto"/>
              </w:rPr>
            </w:pPr>
          </w:p>
        </w:tc>
        <w:tc>
          <w:tcPr>
            <w:tcW w:w="846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w w:val="96"/>
              </w:rPr>
              <w:t>US Citizen</w:t>
            </w:r>
          </w:p>
        </w:tc>
        <w:tc>
          <w:tcPr>
            <w:tcW w:w="46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8460" w:type="dxa"/>
            <w:vAlign w:val="bottom"/>
            <w:vMerge w:val="restart"/>
          </w:tcPr>
          <w:p>
            <w:pPr>
              <w:ind w:left="40"/>
              <w:spacing w:after="0"/>
              <w:rPr>
                <w:sz w:val="20"/>
                <w:szCs w:val="20"/>
                <w:color w:val="auto"/>
              </w:rPr>
            </w:pPr>
            <w:r>
              <w:rPr>
                <w:rFonts w:ascii="Arial" w:cs="Arial" w:eastAsia="Arial" w:hAnsi="Arial"/>
                <w:sz w:val="18"/>
                <w:szCs w:val="18"/>
                <w:color w:val="auto"/>
              </w:rPr>
              <w:t>2,874,675</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8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85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2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56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8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400" w:type="dxa"/>
            <w:vAlign w:val="bottom"/>
            <w:tcBorders>
              <w:left w:val="single" w:sz="8" w:color="auto"/>
            </w:tcBorders>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8460" w:type="dxa"/>
            <w:vAlign w:val="bottom"/>
          </w:tcPr>
          <w:p>
            <w:pPr>
              <w:ind w:left="40"/>
              <w:spacing w:after="0"/>
              <w:rPr>
                <w:sz w:val="20"/>
                <w:szCs w:val="20"/>
                <w:color w:val="auto"/>
              </w:rPr>
            </w:pPr>
            <w:r>
              <w:rPr>
                <w:rFonts w:ascii="Arial" w:cs="Arial" w:eastAsia="Arial" w:hAnsi="Arial"/>
                <w:sz w:val="18"/>
                <w:szCs w:val="18"/>
                <w:color w:val="auto"/>
              </w:rPr>
              <w:t>2,874,675</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2,874,675</w:t>
            </w:r>
          </w:p>
        </w:tc>
        <w:tc>
          <w:tcPr>
            <w:tcW w:w="46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8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40"/>
              <w:spacing w:after="0"/>
              <w:rPr>
                <w:sz w:val="20"/>
                <w:szCs w:val="20"/>
                <w:color w:val="auto"/>
              </w:rPr>
            </w:pPr>
            <w:r>
              <w:rPr>
                <w:rFonts w:ascii="Arial" w:cs="Arial" w:eastAsia="Arial" w:hAnsi="Arial"/>
                <w:sz w:val="18"/>
                <w:szCs w:val="18"/>
                <w:color w:val="auto"/>
              </w:rPr>
              <w:t>5.2%* (see Item 4)</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IN/HC</w:t>
            </w:r>
          </w:p>
        </w:tc>
        <w:tc>
          <w:tcPr>
            <w:tcW w:w="46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firstLine="8"/>
        <w:spacing w:after="0" w:line="291" w:lineRule="auto"/>
        <w:tabs>
          <w:tab w:leader="none" w:pos="135"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Percentage calculated by dividing (i) the sum of (a) 300 shares of common stock of the Issuer plus (b) 2,400 shares of common stock receivable upon exercise of options of the Issuer plus (c) 2,871,975 shares of common stock receivable upon conversion of convertible notes of the Issuer plus (ii) the sum of</w:t>
      </w:r>
    </w:p>
    <w:p>
      <w:pPr>
        <w:ind w:right="200"/>
        <w:spacing w:after="0" w:line="255" w:lineRule="auto"/>
        <w:rPr>
          <w:rFonts w:ascii="Arial" w:cs="Arial" w:eastAsia="Arial" w:hAnsi="Arial"/>
          <w:sz w:val="16"/>
          <w:szCs w:val="16"/>
          <w:color w:val="auto"/>
        </w:rPr>
      </w:pPr>
      <w:r>
        <w:rPr>
          <w:rFonts w:ascii="Arial" w:cs="Arial" w:eastAsia="Arial" w:hAnsi="Arial"/>
          <w:sz w:val="18"/>
          <w:szCs w:val="18"/>
          <w:color w:val="auto"/>
        </w:rPr>
        <w:t>(a) 52,475,070 (the number of shares of common stock outstanding as of January 25, 2019, as reported in the Issuer's Form 10-Q filed on January 30, 2019) and (b) 2,871,275 (the number of shares of common stock receivable upon conversion of convertible notes of the Issuer) plus (c) 2,400 shares of common stock receivable upon exercise of options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CUSIP No.: 302301106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2500 Bee Cave Road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Building 1,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TX 78746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Wolverine Asset Management,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Wolverine Holdings,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Wolverine Trading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Christopher L. Gust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R. Bellick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 Wolverine Asset Management,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175 West Jackson Blvd., Suite 340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Wolverine Asset Management, LLC –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Wolverine Holdings, L.P. –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Wolverine Trading Partners, Inc. –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Christopher L. Gust – US Citizen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R. Bellick – US Citizen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Common stock, par value $0.001 per share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302301106</w:t>
      </w:r>
    </w:p>
    <w:p>
      <w:pPr>
        <w:spacing w:after="0" w:line="248" w:lineRule="exact"/>
        <w:rPr>
          <w:sz w:val="20"/>
          <w:szCs w:val="20"/>
          <w:color w:val="auto"/>
        </w:rPr>
      </w:pPr>
    </w:p>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160" w:lineRule="exact"/>
        <w:rPr>
          <w:sz w:val="20"/>
          <w:szCs w:val="20"/>
          <w:color w:val="auto"/>
        </w:rPr>
      </w:pPr>
    </w:p>
    <w:p>
      <w:pPr>
        <w:ind w:left="300" w:hanging="292"/>
        <w:spacing w:after="0" w:line="207" w:lineRule="exact"/>
        <w:tabs>
          <w:tab w:leader="none" w:pos="3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78c);</w:t>
      </w:r>
    </w:p>
    <w:p>
      <w:pPr>
        <w:spacing w:after="0" w:line="57" w:lineRule="exact"/>
        <w:rPr>
          <w:rFonts w:ascii="Arial" w:cs="Arial" w:eastAsia="Arial" w:hAnsi="Arial"/>
          <w:sz w:val="18"/>
          <w:szCs w:val="18"/>
          <w:color w:val="auto"/>
        </w:rPr>
      </w:pPr>
    </w:p>
    <w:p>
      <w:pPr>
        <w:ind w:left="300" w:hanging="292"/>
        <w:spacing w:after="0" w:line="207" w:lineRule="exact"/>
        <w:tabs>
          <w:tab w:leader="none" w:pos="3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9" w:lineRule="exact"/>
        <w:rPr>
          <w:rFonts w:ascii="Arial" w:cs="Arial" w:eastAsia="Arial" w:hAnsi="Arial"/>
          <w:sz w:val="18"/>
          <w:szCs w:val="18"/>
          <w:color w:val="auto"/>
        </w:rPr>
      </w:pPr>
    </w:p>
    <w:p>
      <w:pPr>
        <w:ind w:left="300" w:hanging="292"/>
        <w:spacing w:after="0" w:line="207" w:lineRule="exact"/>
        <w:tabs>
          <w:tab w:leader="none" w:pos="3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240" w:top="121" w:right="559" w:bottom="1440" w:gutter="0" w:footer="0" w:header="0"/>
        </w:sectPr>
      </w:pPr>
    </w:p>
    <w:bookmarkStart w:id="7" w:name="page8"/>
    <w:bookmarkEnd w:id="7"/>
    <w:p>
      <w:pPr>
        <w:ind w:left="300" w:hanging="292"/>
        <w:spacing w:after="0" w:line="207" w:lineRule="exact"/>
        <w:tabs>
          <w:tab w:leader="none" w:pos="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58" w:lineRule="exact"/>
        <w:rPr>
          <w:rFonts w:ascii="Arial" w:cs="Arial" w:eastAsia="Arial" w:hAnsi="Arial"/>
          <w:sz w:val="18"/>
          <w:szCs w:val="18"/>
          <w:color w:val="auto"/>
        </w:rPr>
      </w:pPr>
    </w:p>
    <w:p>
      <w:pPr>
        <w:ind w:left="300" w:hanging="292"/>
        <w:spacing w:after="0" w:line="207" w:lineRule="exact"/>
        <w:tabs>
          <w:tab w:leader="none" w:pos="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9" w:lineRule="exact"/>
        <w:rPr>
          <w:rFonts w:ascii="Arial" w:cs="Arial" w:eastAsia="Arial" w:hAnsi="Arial"/>
          <w:sz w:val="18"/>
          <w:szCs w:val="18"/>
          <w:color w:val="auto"/>
        </w:rPr>
      </w:pPr>
    </w:p>
    <w:p>
      <w:pPr>
        <w:ind w:left="300" w:hanging="292"/>
        <w:spacing w:after="0" w:line="207" w:lineRule="exact"/>
        <w:tabs>
          <w:tab w:leader="none" w:pos="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9" w:lineRule="exact"/>
        <w:rPr>
          <w:rFonts w:ascii="Arial" w:cs="Arial" w:eastAsia="Arial" w:hAnsi="Arial"/>
          <w:sz w:val="18"/>
          <w:szCs w:val="18"/>
          <w:color w:val="auto"/>
        </w:rPr>
      </w:pPr>
    </w:p>
    <w:p>
      <w:pPr>
        <w:ind w:left="300" w:hanging="292"/>
        <w:spacing w:after="0" w:line="207" w:lineRule="exact"/>
        <w:tabs>
          <w:tab w:leader="none" w:pos="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9" w:lineRule="exact"/>
        <w:rPr>
          <w:rFonts w:ascii="Arial" w:cs="Arial" w:eastAsia="Arial" w:hAnsi="Arial"/>
          <w:sz w:val="18"/>
          <w:szCs w:val="18"/>
          <w:color w:val="auto"/>
        </w:rPr>
      </w:pPr>
    </w:p>
    <w:p>
      <w:pPr>
        <w:ind w:left="300" w:hanging="292"/>
        <w:spacing w:after="0" w:line="207" w:lineRule="exact"/>
        <w:tabs>
          <w:tab w:leader="none" w:pos="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9" w:lineRule="exact"/>
        <w:rPr>
          <w:rFonts w:ascii="Arial" w:cs="Arial" w:eastAsia="Arial" w:hAnsi="Arial"/>
          <w:sz w:val="18"/>
          <w:szCs w:val="18"/>
          <w:color w:val="auto"/>
        </w:rPr>
      </w:pPr>
    </w:p>
    <w:p>
      <w:pPr>
        <w:ind w:left="300" w:right="400" w:hanging="292"/>
        <w:spacing w:after="0" w:line="215" w:lineRule="exact"/>
        <w:tabs>
          <w:tab w:leader="none" w:pos="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ind w:left="300" w:hanging="292"/>
        <w:spacing w:after="0" w:line="207" w:lineRule="exact"/>
        <w:tabs>
          <w:tab w:leader="none" w:pos="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10" w:lineRule="exact"/>
        <w:rPr>
          <w:rFonts w:ascii="Arial" w:cs="Arial" w:eastAsia="Arial" w:hAnsi="Arial"/>
          <w:sz w:val="18"/>
          <w:szCs w:val="18"/>
          <w:color w:val="auto"/>
        </w:rPr>
      </w:pPr>
    </w:p>
    <w:p>
      <w:pPr>
        <w:ind w:left="300" w:right="180" w:hanging="292"/>
        <w:spacing w:after="0" w:line="215" w:lineRule="exact"/>
        <w:tabs>
          <w:tab w:leader="none" w:pos="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 If filing as a non-U.S. institution in accordance with 240.13d1(b)(1)(ii)(J), please specify the type of institution:</w:t>
      </w:r>
    </w:p>
    <w:p>
      <w:pPr>
        <w:spacing w:after="0" w:line="2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Amount beneficially owned:</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Wolverine Asset Management, LLC (“WAM”) is an investment manager and has voting and dispositive power over 2,871,975 shares of the common stock receivable upon conversion of convertible notes of the Issuer. The sole member and manager of WAM is Wolverine Holdings, L.P. (“Wolverine Holdings”). In addition to shares deemed beneficially owned by WAM, Wolverine Holdings may be deemed to be the beneficial owner of (i) 300 shares of common stock of the Issuer plus (ii) 2,400 shares of common stock receivable upon exercise of options of the Issuer held by affiliates other than WAM as of December 31, 2018. Robert R. Bellick and Christopher L. Gust may be deemed to control Wolverine Trading Partners, Inc. (“WTP”), the general partner of Wolverine Holdings.</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  Percent of class: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5.2%</w:t>
      </w:r>
    </w:p>
    <w:p>
      <w:pPr>
        <w:spacing w:after="0" w:line="25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WAM may be deemed the beneficial owner of 5.2% of the Issuer’s outstanding shares of common stock, and each of Wolverine Holdings, WTP, Mr. Bellick, and Mr. Gust may be deemed the beneficial owner of 5.2% of the Issuer’s outstanding shares of common stock. Percentages were calculated by dividing the number of shares deemed beneficially owned by each reporting person by the sum of (i) 52,475,070 (the number of shares of common stock outstanding as of January 25, 2019, as reported in the Issuer’s most recent Form 10-Q filed on January 30, 2019) and (ii) 2,871,975 (the number of shares of common stock receivable upon conversion of convertible notes of the Issuer) plus (iii) 2,400 (the number of shares of common stock receivable upon exercise of options of the Issuer held by affiliates other than WAM).</w:t>
      </w:r>
    </w:p>
    <w:p>
      <w:pPr>
        <w:spacing w:after="0" w:line="178"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800" w:right="6760" w:hanging="495"/>
        <w:spacing w:after="0" w:line="532" w:lineRule="auto"/>
        <w:tabs>
          <w:tab w:leader="none" w:pos="1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ind w:left="1800" w:hanging="495"/>
        <w:spacing w:after="0"/>
        <w:tabs>
          <w:tab w:leader="none" w:pos="1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52" w:lineRule="exact"/>
        <w:rPr>
          <w:rFonts w:ascii="Arial" w:cs="Arial" w:eastAsia="Arial" w:hAnsi="Arial"/>
          <w:sz w:val="18"/>
          <w:szCs w:val="18"/>
          <w:color w:val="auto"/>
        </w:rPr>
      </w:pPr>
    </w:p>
    <w:p>
      <w:pPr>
        <w:jc w:val="both"/>
        <w:ind w:left="1800"/>
        <w:spacing w:after="0" w:line="264" w:lineRule="auto"/>
        <w:rPr>
          <w:rFonts w:ascii="Arial" w:cs="Arial" w:eastAsia="Arial" w:hAnsi="Arial"/>
          <w:sz w:val="18"/>
          <w:szCs w:val="18"/>
          <w:color w:val="auto"/>
        </w:rPr>
      </w:pPr>
      <w:r>
        <w:rPr>
          <w:rFonts w:ascii="Arial" w:cs="Arial" w:eastAsia="Arial" w:hAnsi="Arial"/>
          <w:sz w:val="18"/>
          <w:szCs w:val="18"/>
          <w:color w:val="auto"/>
        </w:rPr>
        <w:t>WAM has shared power to vote or direct the vote of 2,871,975 shares of the common stock of the Issuer, and each of Wolverine Holdings, WTP, Mr. Bellick, and Mr. Gust has shared power to vote or direct the vote of 2,874,675 shares of the common stock of the Issuer, in each case as set forth in Item 4(a) above.</w:t>
      </w:r>
    </w:p>
    <w:p>
      <w:pPr>
        <w:spacing w:after="0" w:line="208" w:lineRule="exact"/>
        <w:rPr>
          <w:rFonts w:ascii="Arial" w:cs="Arial" w:eastAsia="Arial" w:hAnsi="Arial"/>
          <w:sz w:val="18"/>
          <w:szCs w:val="18"/>
          <w:color w:val="auto"/>
        </w:rPr>
      </w:pPr>
    </w:p>
    <w:p>
      <w:pPr>
        <w:ind w:left="1800" w:right="5860" w:hanging="495"/>
        <w:spacing w:after="0" w:line="532" w:lineRule="auto"/>
        <w:tabs>
          <w:tab w:leader="none" w:pos="1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ind w:left="1800" w:hanging="495"/>
        <w:spacing w:after="0"/>
        <w:tabs>
          <w:tab w:leader="none" w:pos="1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52" w:lineRule="exact"/>
        <w:rPr>
          <w:sz w:val="20"/>
          <w:szCs w:val="20"/>
          <w:color w:val="auto"/>
        </w:rPr>
      </w:pPr>
    </w:p>
    <w:p>
      <w:pPr>
        <w:jc w:val="both"/>
        <w:ind w:left="1800"/>
        <w:spacing w:after="0" w:line="264" w:lineRule="auto"/>
        <w:rPr>
          <w:sz w:val="20"/>
          <w:szCs w:val="20"/>
          <w:color w:val="auto"/>
        </w:rPr>
      </w:pPr>
      <w:r>
        <w:rPr>
          <w:rFonts w:ascii="Arial" w:cs="Arial" w:eastAsia="Arial" w:hAnsi="Arial"/>
          <w:sz w:val="18"/>
          <w:szCs w:val="18"/>
          <w:color w:val="auto"/>
        </w:rPr>
        <w:t>WAM has shared power to dispose or to direct the disposition of 2,871,975 shares of the common stock of the Issuer, and each of Wolverine Holdings, WTP, Mr. Bellick, and Mr. Gust has shared power to dispose or to direct the disposition of 2,874,675 shares of the common stock of the Issuer, in each case as set forth in Item 4(a) above.</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256" w:lineRule="exact"/>
        <w:rPr>
          <w:sz w:val="20"/>
          <w:szCs w:val="20"/>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Wolverine Flagship Fund Trading Limited is known to have the right to receive the receipt of dividends from, or the proceeds from the sale of, the shares of common stock covered by this statement that may be deemed to be beneficially owned by WAM.</w:t>
      </w:r>
    </w:p>
    <w:p>
      <w:pPr>
        <w:spacing w:after="0" w:line="193" w:lineRule="exact"/>
        <w:rPr>
          <w:sz w:val="20"/>
          <w:szCs w:val="20"/>
          <w:color w:val="auto"/>
        </w:rPr>
      </w:pPr>
    </w:p>
    <w:p>
      <w:pPr>
        <w:ind w:left="980" w:right="24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4(a) above.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ectPr>
          <w:pgSz w:w="11900" w:h="16838" w:orient="portrait"/>
          <w:cols w:equalWidth="0" w:num="1">
            <w:col w:w="11420"/>
          </w:cols>
          <w:pgMar w:left="240" w:top="91" w:right="239" w:bottom="0" w:gutter="0" w:footer="0" w:header="0"/>
        </w:sectPr>
      </w:pPr>
    </w:p>
    <w:bookmarkStart w:id="8" w:name="page9"/>
    <w:bookmarkEnd w:id="8"/>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CERTIFICATION:</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9" w:name="page10"/>
    <w:bookmarkEnd w:id="9"/>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2019</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Wolverine Asset Management, LLC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Kenneth L. Nadel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Kenneth L. Nadel, Chief Operating Officer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Name/Title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Wolverine Holdings, L.P.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/s/Christopher L. Gust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Christopher L. Gust, Managing Director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Name/Title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Wolverine Trading Partners,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/s/Christopher L. Gust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Christopher L. Gust, Authorized Signatory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/s/Christopher L. Gust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Christopher L. Gust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Robert R. Bellick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R. Bellick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060"/>
      </w:cols>
      <w:pgMar w:left="240" w:top="121"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4"/>
    </w:lvl>
  </w:abstractNum>
  <w:abstractNum w:abstractNumId="7">
    <w:nsid w:val="7545E146"/>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2020-01-09T20:43:49Z</dcterms:created>
  <dcterms:modified xsi:type="dcterms:W3CDTF">2020-01-09T20:43:49Z</dcterms:modified>
</cp:coreProperties>
</file>